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D83E" w14:textId="09112B1B" w:rsidR="004F4339" w:rsidRDefault="00CC0697">
      <w:pPr>
        <w:pStyle w:val="NoSpacing"/>
        <w:spacing w:before="1540" w:after="240"/>
        <w:jc w:val="center"/>
        <w:rPr>
          <w:rFonts w:asciiTheme="minorHAnsi" w:eastAsiaTheme="minorHAnsi" w:hAnsiTheme="minorHAnsi" w:cstheme="minorBidi"/>
          <w:color w:val="4F81BD" w:themeColor="accent1"/>
          <w:sz w:val="22"/>
          <w:szCs w:val="22"/>
        </w:rPr>
      </w:pPr>
      <w:bookmarkStart w:id="0" w:name="_Toc121023952"/>
      <w:bookmarkStart w:id="1" w:name="_Toc394667858"/>
      <w:bookmarkStart w:id="2" w:name="_Toc391377808"/>
      <w:r>
        <w:rPr>
          <w:rFonts w:asciiTheme="minorHAnsi" w:eastAsiaTheme="minorHAnsi" w:hAnsiTheme="minorHAnsi" w:cstheme="minorBidi"/>
          <w:color w:val="4F81BD" w:themeColor="accent1"/>
          <w:sz w:val="22"/>
          <w:szCs w:val="22"/>
        </w:rPr>
        <w:t xml:space="preserve"> </w:t>
      </w:r>
      <w:r w:rsidR="004F4339">
        <w:rPr>
          <w:rFonts w:asciiTheme="minorHAnsi" w:eastAsiaTheme="minorHAnsi" w:hAnsiTheme="minorHAnsi" w:cstheme="minorBidi"/>
          <w:color w:val="4F81BD" w:themeColor="accent1"/>
          <w:sz w:val="22"/>
          <w:szCs w:val="22"/>
        </w:rPr>
        <w:t xml:space="preserve"> </w:t>
      </w:r>
    </w:p>
    <w:sdt>
      <w:sdtPr>
        <w:rPr>
          <w:rFonts w:asciiTheme="minorHAnsi" w:eastAsiaTheme="minorHAnsi" w:hAnsiTheme="minorHAnsi" w:cstheme="minorBidi"/>
          <w:color w:val="4F81BD" w:themeColor="accent1"/>
          <w:sz w:val="22"/>
          <w:szCs w:val="22"/>
        </w:rPr>
        <w:id w:val="23999204"/>
        <w:docPartObj>
          <w:docPartGallery w:val="Cover Pages"/>
          <w:docPartUnique/>
        </w:docPartObj>
      </w:sdtPr>
      <w:sdtEndPr>
        <w:rPr>
          <w:rFonts w:eastAsia="Arial Unicode MS"/>
          <w:color w:val="auto"/>
        </w:rPr>
      </w:sdtEndPr>
      <w:sdtContent>
        <w:p w14:paraId="0F75ED75" w14:textId="56F114FB" w:rsidR="006E5D1E" w:rsidRDefault="006E5D1E">
          <w:pPr>
            <w:pStyle w:val="NoSpacing"/>
            <w:spacing w:before="1540" w:after="240"/>
            <w:jc w:val="center"/>
            <w:rPr>
              <w:color w:val="4F81BD" w:themeColor="accent1"/>
            </w:rPr>
          </w:pPr>
        </w:p>
        <w:p w14:paraId="3A235368" w14:textId="4A518E0E" w:rsidR="006E5D1E" w:rsidRPr="0013004B" w:rsidRDefault="00F8028B" w:rsidP="0013004B">
          <w:pPr>
            <w:pStyle w:val="NoSpacing"/>
            <w:pBdr>
              <w:top w:val="single" w:sz="6" w:space="6" w:color="4F81BD" w:themeColor="accent1"/>
              <w:bottom w:val="single" w:sz="6" w:space="6" w:color="4F81BD" w:themeColor="accent1"/>
            </w:pBdr>
            <w:spacing w:after="240"/>
            <w:jc w:val="right"/>
            <w:rPr>
              <w:rFonts w:eastAsiaTheme="majorEastAsia" w:cs="Arial"/>
              <w:caps/>
              <w:color w:val="auto"/>
              <w:sz w:val="80"/>
              <w:szCs w:val="80"/>
            </w:rPr>
          </w:pPr>
          <w:r>
            <w:rPr>
              <w:rFonts w:eastAsiaTheme="majorEastAsia" w:cs="Arial"/>
              <w:caps/>
              <w:color w:val="auto"/>
              <w:sz w:val="72"/>
              <w:szCs w:val="72"/>
            </w:rPr>
            <w:t>Section 2010</w:t>
          </w:r>
        </w:p>
        <w:p w14:paraId="78439591" w14:textId="40578268" w:rsidR="006E5D1E" w:rsidRPr="0013004B" w:rsidRDefault="00F8028B" w:rsidP="0013004B">
          <w:pPr>
            <w:pStyle w:val="NoSpacing"/>
            <w:jc w:val="right"/>
            <w:rPr>
              <w:b/>
              <w:color w:val="auto"/>
              <w:sz w:val="28"/>
              <w:szCs w:val="28"/>
            </w:rPr>
          </w:pPr>
          <w:r>
            <w:rPr>
              <w:b/>
              <w:sz w:val="28"/>
              <w:szCs w:val="28"/>
            </w:rPr>
            <w:t>Fed</w:t>
          </w:r>
          <w:r w:rsidR="008848DA">
            <w:rPr>
              <w:b/>
              <w:sz w:val="28"/>
              <w:szCs w:val="28"/>
            </w:rPr>
            <w:t xml:space="preserve">eral </w:t>
          </w:r>
          <w:r w:rsidR="002C1CFF">
            <w:rPr>
              <w:b/>
              <w:sz w:val="28"/>
              <w:szCs w:val="28"/>
            </w:rPr>
            <w:t>Financial</w:t>
          </w:r>
          <w:r>
            <w:rPr>
              <w:b/>
              <w:sz w:val="28"/>
              <w:szCs w:val="28"/>
            </w:rPr>
            <w:t xml:space="preserve"> Reporting</w:t>
          </w:r>
          <w:r w:rsidR="002C1CFF">
            <w:rPr>
              <w:b/>
              <w:sz w:val="28"/>
              <w:szCs w:val="28"/>
            </w:rPr>
            <w:t xml:space="preserve"> Checklist</w:t>
          </w:r>
        </w:p>
        <w:p w14:paraId="53CDE53E" w14:textId="191A9411" w:rsidR="006E5D1E" w:rsidRDefault="006E5D1E">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2FB07857" wp14:editId="2005818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930E8" w14:textId="7EB7F03E" w:rsidR="00AB3FC6" w:rsidRDefault="00AB3FC6">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FB0785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7E4930E8" w14:textId="7EB7F03E" w:rsidR="00AB3FC6" w:rsidRDefault="00AB3FC6">
                          <w:pPr>
                            <w:pStyle w:val="NoSpacing"/>
                            <w:jc w:val="center"/>
                            <w:rPr>
                              <w:color w:val="4F81BD" w:themeColor="accent1"/>
                            </w:rPr>
                          </w:pPr>
                        </w:p>
                      </w:txbxContent>
                    </v:textbox>
                    <w10:wrap anchorx="margin" anchory="page"/>
                  </v:shape>
                </w:pict>
              </mc:Fallback>
            </mc:AlternateContent>
          </w:r>
        </w:p>
        <w:p w14:paraId="0A6075AD" w14:textId="1007315D" w:rsidR="006E5D1E" w:rsidRDefault="006E5D1E">
          <w:pPr>
            <w:rPr>
              <w:rFonts w:ascii="Arial" w:eastAsia="Arial Unicode MS" w:hAnsi="Arial" w:cs="Arial"/>
              <w:color w:val="000000"/>
            </w:rPr>
          </w:pPr>
          <w:r>
            <w:rPr>
              <w:rFonts w:eastAsia="Arial Unicode MS"/>
            </w:rPr>
            <w:br w:type="page"/>
          </w:r>
        </w:p>
      </w:sdtContent>
    </w:sdt>
    <w:p w14:paraId="328B0E58" w14:textId="12455F29" w:rsidR="00A96FC8" w:rsidRPr="00D62750" w:rsidRDefault="00A96FC8" w:rsidP="003B61E9">
      <w:pPr>
        <w:pStyle w:val="Subtitle"/>
        <w:spacing w:before="240" w:line="240" w:lineRule="auto"/>
        <w:jc w:val="both"/>
        <w:rPr>
          <w:rFonts w:eastAsia="Arial Unicode MS"/>
          <w:sz w:val="34"/>
          <w:szCs w:val="34"/>
        </w:rPr>
      </w:pPr>
      <w:r w:rsidRPr="00D62750">
        <w:rPr>
          <w:rFonts w:eastAsia="Arial Unicode MS"/>
          <w:sz w:val="34"/>
          <w:szCs w:val="34"/>
        </w:rPr>
        <w:lastRenderedPageBreak/>
        <w:t>United States Government Accountability Office</w:t>
      </w:r>
    </w:p>
    <w:p w14:paraId="1BB20B5B" w14:textId="77777777" w:rsidR="00D62750" w:rsidRPr="00D62750" w:rsidRDefault="00D62750" w:rsidP="003B61E9">
      <w:pPr>
        <w:pStyle w:val="Subtitle"/>
        <w:spacing w:before="240" w:line="240" w:lineRule="auto"/>
        <w:jc w:val="both"/>
        <w:rPr>
          <w:rFonts w:eastAsia="Arial Unicode MS"/>
          <w:sz w:val="34"/>
          <w:szCs w:val="34"/>
        </w:rPr>
      </w:pPr>
      <w:r w:rsidRPr="00D62750">
        <w:rPr>
          <w:rFonts w:eastAsia="Arial Unicode MS"/>
          <w:sz w:val="34"/>
          <w:szCs w:val="34"/>
        </w:rPr>
        <w:t xml:space="preserve">Council of the Inspectors General on Integrity and Efficiency </w:t>
      </w:r>
    </w:p>
    <w:p w14:paraId="186A5D2E" w14:textId="77777777" w:rsidR="00A96FC8" w:rsidRPr="00DF658F" w:rsidRDefault="00A96FC8" w:rsidP="003B61E9">
      <w:pPr>
        <w:pStyle w:val="Subtitle"/>
        <w:spacing w:before="120" w:after="120" w:line="240" w:lineRule="auto"/>
        <w:rPr>
          <w:rFonts w:eastAsia="Arial Unicode MS"/>
          <w:sz w:val="22"/>
          <w:szCs w:val="22"/>
        </w:rPr>
      </w:pPr>
    </w:p>
    <w:p w14:paraId="43856D40" w14:textId="77777777" w:rsidR="00A96FC8" w:rsidRPr="00B0430E" w:rsidRDefault="00A96FC8" w:rsidP="003B61E9">
      <w:pPr>
        <w:pStyle w:val="Subtitle"/>
        <w:spacing w:before="120" w:after="120" w:line="240" w:lineRule="auto"/>
        <w:rPr>
          <w:rFonts w:eastAsia="Arial Unicode MS"/>
          <w:b/>
          <w:sz w:val="56"/>
          <w:szCs w:val="56"/>
        </w:rPr>
      </w:pPr>
      <w:r w:rsidRPr="00B0430E">
        <w:rPr>
          <w:rFonts w:eastAsia="Arial Unicode MS"/>
          <w:b/>
          <w:sz w:val="56"/>
          <w:szCs w:val="56"/>
        </w:rPr>
        <w:t>FINANCIAL AUDIT MANUAL</w:t>
      </w:r>
    </w:p>
    <w:p w14:paraId="70BD0B49" w14:textId="77777777" w:rsidR="00A96FC8" w:rsidRPr="00B0430E" w:rsidRDefault="00A96FC8" w:rsidP="003B61E9">
      <w:pPr>
        <w:pStyle w:val="Subtitle"/>
        <w:spacing w:before="120" w:after="120" w:line="240" w:lineRule="auto"/>
        <w:rPr>
          <w:rFonts w:eastAsia="Arial Unicode MS"/>
          <w:b/>
          <w:sz w:val="56"/>
          <w:szCs w:val="56"/>
        </w:rPr>
      </w:pPr>
      <w:r w:rsidRPr="00B0430E">
        <w:rPr>
          <w:rFonts w:eastAsia="Arial Unicode MS"/>
          <w:b/>
          <w:sz w:val="56"/>
          <w:szCs w:val="56"/>
        </w:rPr>
        <w:t>Volume 3</w:t>
      </w:r>
    </w:p>
    <w:p w14:paraId="1F66E3F6" w14:textId="77777777" w:rsidR="00A96FC8" w:rsidRPr="00DF658F" w:rsidRDefault="00A96FC8" w:rsidP="003B61E9">
      <w:pPr>
        <w:pStyle w:val="Subtitle"/>
        <w:spacing w:before="120" w:after="120" w:line="240" w:lineRule="auto"/>
        <w:rPr>
          <w:rFonts w:eastAsia="Arial Unicode MS"/>
          <w:sz w:val="22"/>
          <w:szCs w:val="22"/>
        </w:rPr>
      </w:pPr>
    </w:p>
    <w:p w14:paraId="49441255" w14:textId="77777777" w:rsidR="00A96FC8" w:rsidRPr="00B0430E" w:rsidRDefault="00931190" w:rsidP="003B61E9">
      <w:pPr>
        <w:pStyle w:val="Subtitle"/>
        <w:spacing w:before="120" w:after="120" w:line="240" w:lineRule="auto"/>
        <w:rPr>
          <w:rFonts w:eastAsia="Arial Unicode MS"/>
          <w:i/>
          <w:sz w:val="72"/>
          <w:szCs w:val="72"/>
        </w:rPr>
      </w:pPr>
      <w:r>
        <w:rPr>
          <w:rFonts w:eastAsia="Arial Unicode MS"/>
          <w:i/>
          <w:sz w:val="72"/>
          <w:szCs w:val="72"/>
        </w:rPr>
        <w:t xml:space="preserve">Federal Financial Reporting </w:t>
      </w:r>
      <w:r w:rsidR="00A96FC8" w:rsidRPr="00B0430E">
        <w:rPr>
          <w:rFonts w:eastAsia="Arial Unicode MS"/>
          <w:i/>
          <w:sz w:val="72"/>
          <w:szCs w:val="72"/>
        </w:rPr>
        <w:t>Checklist</w:t>
      </w:r>
      <w:r>
        <w:rPr>
          <w:rFonts w:eastAsia="Arial Unicode MS"/>
          <w:i/>
          <w:sz w:val="72"/>
          <w:szCs w:val="72"/>
        </w:rPr>
        <w:t xml:space="preserve"> </w:t>
      </w:r>
    </w:p>
    <w:p w14:paraId="53802909" w14:textId="77777777" w:rsidR="00A96FC8" w:rsidRPr="00DF658F" w:rsidRDefault="00A96FC8" w:rsidP="003B61E9">
      <w:pPr>
        <w:pStyle w:val="Subtitle"/>
        <w:spacing w:before="120" w:after="120" w:line="240" w:lineRule="auto"/>
        <w:rPr>
          <w:rFonts w:ascii="Arial Unicode MS" w:eastAsia="Arial Unicode MS" w:hAnsi="Arial Unicode MS"/>
          <w:sz w:val="22"/>
          <w:szCs w:val="22"/>
        </w:rPr>
      </w:pPr>
    </w:p>
    <w:p w14:paraId="76B31628" w14:textId="77777777" w:rsidR="00A96FC8" w:rsidRDefault="00A96FC8" w:rsidP="003B61E9">
      <w:pPr>
        <w:spacing w:line="240" w:lineRule="auto"/>
      </w:pPr>
      <w:r>
        <w:t xml:space="preserve"> </w:t>
      </w:r>
    </w:p>
    <w:p w14:paraId="4F65FF35" w14:textId="77777777" w:rsidR="00A96FC8" w:rsidRDefault="00A96FC8" w:rsidP="003B61E9">
      <w:pPr>
        <w:pStyle w:val="BodyText"/>
        <w:spacing w:line="240" w:lineRule="auto"/>
      </w:pPr>
    </w:p>
    <w:p w14:paraId="16FC65B4" w14:textId="77777777" w:rsidR="00A96FC8" w:rsidRPr="00A86064" w:rsidRDefault="00A96FC8" w:rsidP="003B61E9">
      <w:pPr>
        <w:pStyle w:val="BodyText"/>
        <w:spacing w:line="240" w:lineRule="auto"/>
      </w:pPr>
    </w:p>
    <w:p w14:paraId="6BD66EDF" w14:textId="77777777" w:rsidR="00A96FC8" w:rsidRPr="00A86064" w:rsidRDefault="00A96FC8" w:rsidP="003B61E9">
      <w:pPr>
        <w:pStyle w:val="BodyText"/>
        <w:spacing w:line="240" w:lineRule="auto"/>
        <w:rPr>
          <w:sz w:val="22"/>
          <w:szCs w:val="22"/>
        </w:rPr>
      </w:pPr>
      <w:r w:rsidRPr="00A86064">
        <w:rPr>
          <w:sz w:val="22"/>
          <w:szCs w:val="22"/>
        </w:rPr>
        <w:t>Notice:</w:t>
      </w:r>
    </w:p>
    <w:p w14:paraId="1C6861F7" w14:textId="52DD9C93" w:rsidR="00A96FC8" w:rsidRPr="00A86064" w:rsidRDefault="00A96FC8" w:rsidP="003B61E9">
      <w:pPr>
        <w:pStyle w:val="BodyText"/>
        <w:spacing w:line="240" w:lineRule="auto"/>
        <w:rPr>
          <w:sz w:val="22"/>
          <w:szCs w:val="22"/>
        </w:rPr>
      </w:pPr>
      <w:bookmarkStart w:id="3" w:name="_Hlk197096133"/>
      <w:r w:rsidRPr="00A86064">
        <w:rPr>
          <w:sz w:val="22"/>
          <w:szCs w:val="22"/>
        </w:rPr>
        <w:t xml:space="preserve">This checklist is designed to </w:t>
      </w:r>
      <w:r w:rsidR="00DB235C" w:rsidRPr="00DB235C">
        <w:rPr>
          <w:sz w:val="22"/>
          <w:szCs w:val="22"/>
        </w:rPr>
        <w:t>assist users in</w:t>
      </w:r>
      <w:bookmarkEnd w:id="3"/>
      <w:r w:rsidR="00DB235C" w:rsidRPr="00DB235C">
        <w:rPr>
          <w:sz w:val="22"/>
          <w:szCs w:val="22"/>
        </w:rPr>
        <w:t xml:space="preserve"> determining whether the financial statements are prepared in accordance with GAAP</w:t>
      </w:r>
      <w:r w:rsidRPr="00A86064">
        <w:rPr>
          <w:sz w:val="22"/>
          <w:szCs w:val="22"/>
        </w:rPr>
        <w:t xml:space="preserve">. </w:t>
      </w:r>
      <w:r w:rsidR="0085039F">
        <w:rPr>
          <w:sz w:val="22"/>
          <w:szCs w:val="22"/>
        </w:rPr>
        <w:t>U</w:t>
      </w:r>
      <w:r w:rsidRPr="00A86064">
        <w:rPr>
          <w:sz w:val="22"/>
          <w:szCs w:val="22"/>
        </w:rPr>
        <w:t xml:space="preserve">sers should exercise appropriate professional judgment and </w:t>
      </w:r>
      <w:r w:rsidR="00541950">
        <w:rPr>
          <w:sz w:val="22"/>
          <w:szCs w:val="22"/>
        </w:rPr>
        <w:t>understand</w:t>
      </w:r>
      <w:r w:rsidRPr="00A86064">
        <w:rPr>
          <w:sz w:val="22"/>
          <w:szCs w:val="22"/>
        </w:rPr>
        <w:t xml:space="preserve"> the detailed requirements in the corresponding accounting standards and guidance, including the FASAB Handbook, </w:t>
      </w:r>
      <w:r w:rsidRPr="003A00CD">
        <w:rPr>
          <w:sz w:val="22"/>
          <w:szCs w:val="22"/>
        </w:rPr>
        <w:t xml:space="preserve">and guidance </w:t>
      </w:r>
      <w:r w:rsidR="00866947">
        <w:rPr>
          <w:sz w:val="22"/>
          <w:szCs w:val="22"/>
        </w:rPr>
        <w:t>that the Office of Management and Budget (OMB) and the Department of the Treasury issue</w:t>
      </w:r>
      <w:r w:rsidRPr="00A86064">
        <w:rPr>
          <w:sz w:val="22"/>
          <w:szCs w:val="22"/>
        </w:rPr>
        <w:t xml:space="preserve">. </w:t>
      </w:r>
    </w:p>
    <w:p w14:paraId="6B830B6F" w14:textId="77777777" w:rsidR="00A96FC8" w:rsidRPr="00713BCB" w:rsidRDefault="00A96FC8" w:rsidP="003B61E9">
      <w:pPr>
        <w:pStyle w:val="BodyText"/>
        <w:spacing w:line="240" w:lineRule="auto"/>
        <w:rPr>
          <w:rFonts w:cs="Arial"/>
          <w:sz w:val="22"/>
          <w:szCs w:val="22"/>
        </w:rPr>
      </w:pPr>
    </w:p>
    <w:p w14:paraId="1D5A7ED6" w14:textId="7267798E" w:rsidR="00A96FC8" w:rsidRPr="005B5418" w:rsidRDefault="00A96FC8" w:rsidP="003B61E9">
      <w:pPr>
        <w:spacing w:line="240" w:lineRule="auto"/>
        <w:rPr>
          <w:rFonts w:ascii="Arial" w:hAnsi="Arial" w:cs="Arial"/>
        </w:rPr>
      </w:pPr>
      <w:r w:rsidRPr="00F24FB1">
        <w:rPr>
          <w:rFonts w:ascii="Arial" w:hAnsi="Arial" w:cs="Arial"/>
        </w:rPr>
        <w:t xml:space="preserve">This checklist incorporates accounting standards issued by </w:t>
      </w:r>
      <w:r w:rsidR="00D97CFF">
        <w:rPr>
          <w:rFonts w:ascii="Arial" w:hAnsi="Arial" w:cs="Arial"/>
        </w:rPr>
        <w:t xml:space="preserve">the </w:t>
      </w:r>
      <w:r w:rsidRPr="00F24FB1">
        <w:rPr>
          <w:rFonts w:ascii="Arial" w:hAnsi="Arial" w:cs="Arial"/>
        </w:rPr>
        <w:t xml:space="preserve">Federal Accounting Standards Advisory Board (FASAB) effective for </w:t>
      </w:r>
      <w:r w:rsidR="00D97CFF">
        <w:rPr>
          <w:rFonts w:ascii="Arial" w:hAnsi="Arial" w:cs="Arial"/>
        </w:rPr>
        <w:t xml:space="preserve">the </w:t>
      </w:r>
      <w:r w:rsidRPr="00F24FB1">
        <w:rPr>
          <w:rFonts w:ascii="Arial" w:hAnsi="Arial" w:cs="Arial"/>
        </w:rPr>
        <w:t xml:space="preserve">fiscal year ending September 30, </w:t>
      </w:r>
      <w:r w:rsidR="007D4579" w:rsidRPr="00F24FB1">
        <w:rPr>
          <w:rFonts w:ascii="Arial" w:hAnsi="Arial" w:cs="Arial"/>
        </w:rPr>
        <w:t>20</w:t>
      </w:r>
      <w:r w:rsidR="007D4579">
        <w:rPr>
          <w:rFonts w:ascii="Arial" w:hAnsi="Arial" w:cs="Arial"/>
        </w:rPr>
        <w:t>25</w:t>
      </w:r>
      <w:r w:rsidR="00D97CFF">
        <w:rPr>
          <w:rFonts w:ascii="Arial" w:hAnsi="Arial" w:cs="Arial"/>
        </w:rPr>
        <w:t>,</w:t>
      </w:r>
      <w:r w:rsidR="00DD34FB" w:rsidRPr="00F24FB1">
        <w:rPr>
          <w:rFonts w:ascii="Arial" w:hAnsi="Arial" w:cs="Arial"/>
        </w:rPr>
        <w:t xml:space="preserve"> </w:t>
      </w:r>
      <w:r w:rsidRPr="00F24FB1">
        <w:rPr>
          <w:rFonts w:ascii="Arial" w:hAnsi="Arial" w:cs="Arial"/>
        </w:rPr>
        <w:t xml:space="preserve">and OMB Circular </w:t>
      </w:r>
      <w:r w:rsidR="00032FCF">
        <w:rPr>
          <w:rFonts w:ascii="Arial" w:hAnsi="Arial" w:cs="Arial"/>
        </w:rPr>
        <w:t xml:space="preserve">No. </w:t>
      </w:r>
      <w:r w:rsidRPr="00F24FB1">
        <w:rPr>
          <w:rFonts w:ascii="Arial" w:hAnsi="Arial" w:cs="Arial"/>
        </w:rPr>
        <w:t xml:space="preserve">A-136, </w:t>
      </w:r>
      <w:r w:rsidRPr="00F24FB1">
        <w:rPr>
          <w:rFonts w:ascii="Arial" w:hAnsi="Arial" w:cs="Arial"/>
          <w:i/>
        </w:rPr>
        <w:t>Financial Reportin</w:t>
      </w:r>
      <w:r w:rsidRPr="005B5418">
        <w:rPr>
          <w:rFonts w:ascii="Arial" w:hAnsi="Arial" w:cs="Arial"/>
          <w:i/>
        </w:rPr>
        <w:t>g Requirements</w:t>
      </w:r>
      <w:r w:rsidR="00D97CFF" w:rsidRPr="005B5418">
        <w:rPr>
          <w:rFonts w:ascii="Arial" w:hAnsi="Arial" w:cs="Arial"/>
        </w:rPr>
        <w:t>,</w:t>
      </w:r>
      <w:r w:rsidRPr="005B5418">
        <w:rPr>
          <w:rFonts w:ascii="Arial" w:hAnsi="Arial" w:cs="Arial"/>
        </w:rPr>
        <w:t xml:space="preserve"> issued on </w:t>
      </w:r>
      <w:r w:rsidR="00937B53">
        <w:rPr>
          <w:rFonts w:ascii="Arial" w:hAnsi="Arial"/>
        </w:rPr>
        <w:t>July</w:t>
      </w:r>
      <w:r w:rsidR="00937B53" w:rsidRPr="005B5418">
        <w:rPr>
          <w:rFonts w:ascii="Arial" w:hAnsi="Arial"/>
        </w:rPr>
        <w:t xml:space="preserve"> </w:t>
      </w:r>
      <w:r w:rsidR="00937B53">
        <w:rPr>
          <w:rFonts w:ascii="Arial" w:hAnsi="Arial"/>
        </w:rPr>
        <w:t>14</w:t>
      </w:r>
      <w:r w:rsidR="00191B9D" w:rsidRPr="005B5418">
        <w:rPr>
          <w:rFonts w:ascii="Arial" w:hAnsi="Arial" w:cs="Arial"/>
        </w:rPr>
        <w:t>,</w:t>
      </w:r>
      <w:r w:rsidR="00303527" w:rsidRPr="005B5418">
        <w:rPr>
          <w:rFonts w:ascii="Arial" w:hAnsi="Arial" w:cs="Arial"/>
        </w:rPr>
        <w:t xml:space="preserve"> </w:t>
      </w:r>
      <w:r w:rsidR="007D4579" w:rsidRPr="005B5418">
        <w:rPr>
          <w:rFonts w:ascii="Arial" w:hAnsi="Arial" w:cs="Arial"/>
        </w:rPr>
        <w:t>2025</w:t>
      </w:r>
      <w:r w:rsidRPr="005B5418">
        <w:rPr>
          <w:rFonts w:ascii="Arial" w:hAnsi="Arial" w:cs="Arial"/>
        </w:rPr>
        <w:t xml:space="preserve">.  </w:t>
      </w:r>
    </w:p>
    <w:p w14:paraId="33C0A598" w14:textId="2FC495D7" w:rsidR="00A96FC8" w:rsidRPr="005B5418" w:rsidRDefault="00A96FC8" w:rsidP="003B61E9">
      <w:pPr>
        <w:pStyle w:val="TOC2"/>
        <w:tabs>
          <w:tab w:val="right" w:leader="dot" w:pos="9350"/>
        </w:tabs>
        <w:spacing w:line="240" w:lineRule="auto"/>
        <w:rPr>
          <w:rFonts w:eastAsia="Arial Unicode MS" w:cs="Arial"/>
          <w:sz w:val="22"/>
          <w:szCs w:val="22"/>
          <w:u w:val="single"/>
        </w:rPr>
      </w:pPr>
      <w:r w:rsidRPr="005B5418">
        <w:rPr>
          <w:sz w:val="22"/>
          <w:szCs w:val="22"/>
        </w:rPr>
        <w:br w:type="page"/>
      </w:r>
      <w:r w:rsidRPr="005B5418">
        <w:rPr>
          <w:rFonts w:eastAsia="Arial Unicode MS" w:cs="Arial"/>
          <w:sz w:val="22"/>
          <w:szCs w:val="22"/>
          <w:u w:val="single"/>
        </w:rPr>
        <w:lastRenderedPageBreak/>
        <w:t>Contents</w:t>
      </w:r>
    </w:p>
    <w:bookmarkEnd w:id="0"/>
    <w:p w14:paraId="009D877F" w14:textId="77777777" w:rsidR="000D07CD" w:rsidRPr="005B5418" w:rsidRDefault="00A96FC8" w:rsidP="00714255">
      <w:pPr>
        <w:pStyle w:val="TOC3"/>
        <w:tabs>
          <w:tab w:val="right" w:leader="dot" w:pos="9350"/>
        </w:tabs>
        <w:spacing w:line="240" w:lineRule="auto"/>
        <w:contextualSpacing/>
        <w:rPr>
          <w:rStyle w:val="Hyperlink"/>
          <w:sz w:val="22"/>
          <w:szCs w:val="22"/>
        </w:rPr>
      </w:pPr>
      <w:r w:rsidRPr="005B5418">
        <w:rPr>
          <w:rFonts w:eastAsia="Arial Unicode MS" w:cs="Arial"/>
          <w:sz w:val="22"/>
          <w:szCs w:val="22"/>
        </w:rPr>
        <w:fldChar w:fldCharType="begin"/>
      </w:r>
      <w:r w:rsidRPr="005B5418">
        <w:rPr>
          <w:rFonts w:eastAsia="Arial Unicode MS" w:cs="Arial"/>
          <w:sz w:val="22"/>
          <w:szCs w:val="22"/>
        </w:rPr>
        <w:instrText xml:space="preserve"> TOC \o "3-3" \h \z \t "Heading 1,1,Heading 2,2" </w:instrText>
      </w:r>
      <w:r w:rsidRPr="005B5418">
        <w:rPr>
          <w:rFonts w:eastAsia="Arial Unicode MS" w:cs="Arial"/>
          <w:sz w:val="22"/>
          <w:szCs w:val="22"/>
        </w:rPr>
        <w:fldChar w:fldCharType="separate"/>
      </w:r>
      <w:hyperlink w:anchor="_Toc18571188" w:history="1">
        <w:r w:rsidR="000D07CD" w:rsidRPr="005B5418">
          <w:rPr>
            <w:rStyle w:val="Hyperlink"/>
            <w:rFonts w:cs="Arial"/>
            <w:noProof/>
            <w:sz w:val="22"/>
            <w:szCs w:val="22"/>
          </w:rPr>
          <w:t>Abbreviations</w:t>
        </w:r>
        <w:r w:rsidR="000D07CD" w:rsidRPr="005B5418">
          <w:rPr>
            <w:rStyle w:val="Hyperlink"/>
            <w:webHidden/>
            <w:sz w:val="22"/>
            <w:szCs w:val="22"/>
          </w:rPr>
          <w:tab/>
        </w:r>
        <w:r w:rsidR="005E1A1B" w:rsidRPr="005B5418">
          <w:rPr>
            <w:rStyle w:val="Hyperlink"/>
            <w:webHidden/>
            <w:sz w:val="22"/>
            <w:szCs w:val="22"/>
          </w:rPr>
          <w:t>iii</w:t>
        </w:r>
      </w:hyperlink>
    </w:p>
    <w:p w14:paraId="3663CD5B" w14:textId="54497BB9" w:rsidR="000D07CD" w:rsidRPr="005B5418" w:rsidRDefault="000D07CD" w:rsidP="00714255">
      <w:pPr>
        <w:pStyle w:val="TOC3"/>
        <w:tabs>
          <w:tab w:val="right" w:leader="dot" w:pos="9350"/>
        </w:tabs>
        <w:spacing w:line="240" w:lineRule="auto"/>
        <w:contextualSpacing/>
        <w:rPr>
          <w:rStyle w:val="Hyperlink"/>
          <w:sz w:val="22"/>
          <w:szCs w:val="22"/>
        </w:rPr>
      </w:pPr>
      <w:hyperlink w:anchor="_Toc18571189" w:history="1">
        <w:r w:rsidRPr="005B5418">
          <w:rPr>
            <w:rStyle w:val="Hyperlink"/>
            <w:rFonts w:cs="Arial"/>
            <w:noProof/>
            <w:sz w:val="22"/>
            <w:szCs w:val="22"/>
          </w:rPr>
          <w:t>Checklist</w:t>
        </w:r>
        <w:r w:rsidR="00810A77" w:rsidRPr="005B5418">
          <w:rPr>
            <w:rStyle w:val="Hyperlink"/>
            <w:rFonts w:cs="Arial"/>
            <w:noProof/>
            <w:sz w:val="22"/>
            <w:szCs w:val="22"/>
          </w:rPr>
          <w:t xml:space="preserve"> Purpose</w:t>
        </w:r>
        <w:r w:rsidRPr="005B5418">
          <w:rPr>
            <w:rStyle w:val="Hyperlink"/>
            <w:rFonts w:cs="Arial"/>
            <w:noProof/>
            <w:sz w:val="22"/>
            <w:szCs w:val="22"/>
          </w:rPr>
          <w:t xml:space="preserve"> and Instructions</w:t>
        </w:r>
        <w:r w:rsidRPr="005B5418">
          <w:rPr>
            <w:rStyle w:val="Hyperlink"/>
            <w:webHidden/>
            <w:sz w:val="22"/>
            <w:szCs w:val="22"/>
          </w:rPr>
          <w:tab/>
        </w:r>
        <w:r w:rsidR="00E46149" w:rsidRPr="005B5418">
          <w:rPr>
            <w:rStyle w:val="Hyperlink"/>
            <w:webHidden/>
            <w:sz w:val="22"/>
            <w:szCs w:val="22"/>
          </w:rPr>
          <w:t>1</w:t>
        </w:r>
      </w:hyperlink>
    </w:p>
    <w:p w14:paraId="2DC9FB12" w14:textId="0C9B3362" w:rsidR="000D07CD" w:rsidRPr="005B5418" w:rsidRDefault="000D07CD" w:rsidP="00714255">
      <w:pPr>
        <w:pStyle w:val="TOC3"/>
        <w:tabs>
          <w:tab w:val="right" w:leader="dot" w:pos="9350"/>
        </w:tabs>
        <w:spacing w:line="240" w:lineRule="auto"/>
        <w:contextualSpacing/>
        <w:rPr>
          <w:rStyle w:val="Hyperlink"/>
          <w:sz w:val="22"/>
          <w:szCs w:val="22"/>
        </w:rPr>
      </w:pPr>
      <w:hyperlink w:anchor="_Toc18571190" w:history="1">
        <w:r w:rsidRPr="005B5418">
          <w:rPr>
            <w:rStyle w:val="Hyperlink"/>
            <w:rFonts w:cs="Arial"/>
            <w:noProof/>
            <w:sz w:val="22"/>
            <w:szCs w:val="22"/>
          </w:rPr>
          <w:t>Section I – Reporting Entity</w:t>
        </w:r>
        <w:r w:rsidRPr="005B5418">
          <w:rPr>
            <w:rStyle w:val="Hyperlink"/>
            <w:webHidden/>
            <w:sz w:val="22"/>
            <w:szCs w:val="22"/>
          </w:rPr>
          <w:tab/>
        </w:r>
        <w:r w:rsidR="00E46149" w:rsidRPr="005B5418">
          <w:rPr>
            <w:rStyle w:val="Hyperlink"/>
            <w:webHidden/>
            <w:sz w:val="22"/>
            <w:szCs w:val="22"/>
          </w:rPr>
          <w:t>6</w:t>
        </w:r>
      </w:hyperlink>
    </w:p>
    <w:p w14:paraId="38B1ACC5" w14:textId="3B1F13C4" w:rsidR="000D07CD" w:rsidRPr="005B5418" w:rsidRDefault="009022A5" w:rsidP="00714255">
      <w:pPr>
        <w:pStyle w:val="TOC3"/>
        <w:tabs>
          <w:tab w:val="right" w:leader="dot" w:pos="9350"/>
        </w:tabs>
        <w:spacing w:line="240" w:lineRule="auto"/>
        <w:contextualSpacing/>
        <w:rPr>
          <w:rStyle w:val="Hyperlink"/>
          <w:sz w:val="22"/>
          <w:szCs w:val="22"/>
        </w:rPr>
      </w:pPr>
      <w:hyperlink w:anchor="_Toc18571191" w:history="1">
        <w:r w:rsidRPr="005B5418">
          <w:rPr>
            <w:rStyle w:val="Hyperlink"/>
            <w:rFonts w:cs="Arial"/>
            <w:noProof/>
            <w:sz w:val="22"/>
            <w:szCs w:val="22"/>
          </w:rPr>
          <w:t>Section II.1 – Required Contents of the AFR or PAR</w:t>
        </w:r>
        <w:r w:rsidRPr="005B5418">
          <w:rPr>
            <w:rStyle w:val="Hyperlink"/>
            <w:webHidden/>
            <w:sz w:val="22"/>
            <w:szCs w:val="22"/>
          </w:rPr>
          <w:tab/>
          <w:t>11</w:t>
        </w:r>
      </w:hyperlink>
    </w:p>
    <w:p w14:paraId="133DC322" w14:textId="00AB0181" w:rsidR="000D07CD" w:rsidRPr="005B5418" w:rsidRDefault="009022A5" w:rsidP="00714255">
      <w:pPr>
        <w:pStyle w:val="TOC3"/>
        <w:tabs>
          <w:tab w:val="right" w:leader="dot" w:pos="9350"/>
        </w:tabs>
        <w:spacing w:line="240" w:lineRule="auto"/>
        <w:contextualSpacing/>
        <w:rPr>
          <w:rStyle w:val="Hyperlink"/>
          <w:sz w:val="22"/>
          <w:szCs w:val="22"/>
        </w:rPr>
      </w:pPr>
      <w:hyperlink w:anchor="_Toc18571192" w:history="1">
        <w:r w:rsidRPr="005B5418">
          <w:rPr>
            <w:rStyle w:val="Hyperlink"/>
            <w:rFonts w:cs="Arial"/>
            <w:noProof/>
            <w:sz w:val="22"/>
            <w:szCs w:val="22"/>
          </w:rPr>
          <w:t>Section II.2 – Management’s Discussion and Analysis</w:t>
        </w:r>
        <w:r w:rsidRPr="005B5418">
          <w:rPr>
            <w:rStyle w:val="Hyperlink"/>
            <w:webHidden/>
            <w:sz w:val="22"/>
            <w:szCs w:val="22"/>
          </w:rPr>
          <w:tab/>
          <w:t>13</w:t>
        </w:r>
      </w:hyperlink>
    </w:p>
    <w:p w14:paraId="4373A05B" w14:textId="28F5FA3D" w:rsidR="000D07CD" w:rsidRPr="005B5418" w:rsidRDefault="00A8588D" w:rsidP="00714255">
      <w:pPr>
        <w:pStyle w:val="TOC3"/>
        <w:tabs>
          <w:tab w:val="right" w:leader="dot" w:pos="9350"/>
        </w:tabs>
        <w:spacing w:line="240" w:lineRule="auto"/>
        <w:contextualSpacing/>
        <w:rPr>
          <w:rStyle w:val="Hyperlink"/>
          <w:sz w:val="22"/>
          <w:szCs w:val="22"/>
        </w:rPr>
      </w:pPr>
      <w:hyperlink w:anchor="_Toc18571193" w:history="1">
        <w:r w:rsidRPr="005B5418">
          <w:rPr>
            <w:rStyle w:val="Hyperlink"/>
            <w:rFonts w:cs="Arial"/>
            <w:noProof/>
            <w:sz w:val="22"/>
            <w:szCs w:val="22"/>
          </w:rPr>
          <w:t>Section II.3.1 - II.3.7 – Financial Statements</w:t>
        </w:r>
        <w:r w:rsidRPr="005B5418">
          <w:rPr>
            <w:rStyle w:val="Hyperlink"/>
            <w:webHidden/>
            <w:sz w:val="22"/>
            <w:szCs w:val="22"/>
          </w:rPr>
          <w:tab/>
        </w:r>
        <w:r>
          <w:rPr>
            <w:rStyle w:val="Hyperlink"/>
            <w:webHidden/>
            <w:sz w:val="22"/>
            <w:szCs w:val="22"/>
          </w:rPr>
          <w:t>26</w:t>
        </w:r>
      </w:hyperlink>
    </w:p>
    <w:p w14:paraId="45DB94F5" w14:textId="7F8DCF3F" w:rsidR="000D07CD" w:rsidRPr="005B5418" w:rsidRDefault="000D07CD" w:rsidP="00714255">
      <w:pPr>
        <w:pStyle w:val="TOC3"/>
        <w:tabs>
          <w:tab w:val="right" w:leader="dot" w:pos="9350"/>
        </w:tabs>
        <w:spacing w:line="240" w:lineRule="auto"/>
        <w:contextualSpacing/>
        <w:rPr>
          <w:rStyle w:val="Hyperlink"/>
          <w:sz w:val="22"/>
          <w:szCs w:val="22"/>
        </w:rPr>
      </w:pPr>
      <w:hyperlink w:anchor="_Toc18571194" w:history="1">
        <w:r w:rsidRPr="005B5418">
          <w:rPr>
            <w:rStyle w:val="Hyperlink"/>
            <w:rFonts w:cs="Arial"/>
            <w:noProof/>
            <w:sz w:val="22"/>
            <w:szCs w:val="22"/>
          </w:rPr>
          <w:t>Section II.3.8 – Accounting and Disclosure by Specific Topic</w:t>
        </w:r>
        <w:r w:rsidRPr="005B5418">
          <w:rPr>
            <w:rStyle w:val="Hyperlink"/>
            <w:webHidden/>
            <w:sz w:val="22"/>
            <w:szCs w:val="22"/>
          </w:rPr>
          <w:tab/>
        </w:r>
      </w:hyperlink>
      <w:r w:rsidR="00A8588D" w:rsidRPr="005B5418">
        <w:rPr>
          <w:rStyle w:val="Hyperlink"/>
          <w:color w:val="auto"/>
          <w:sz w:val="22"/>
          <w:szCs w:val="22"/>
          <w:u w:val="none"/>
        </w:rPr>
        <w:t>6</w:t>
      </w:r>
      <w:r w:rsidR="00A8588D">
        <w:rPr>
          <w:rStyle w:val="Hyperlink"/>
          <w:color w:val="auto"/>
          <w:sz w:val="22"/>
          <w:szCs w:val="22"/>
          <w:u w:val="none"/>
        </w:rPr>
        <w:t>7</w:t>
      </w:r>
    </w:p>
    <w:p w14:paraId="13EE42F0" w14:textId="10E75C7C" w:rsidR="000D07CD" w:rsidRPr="005B5418" w:rsidRDefault="00A8588D" w:rsidP="00714255">
      <w:pPr>
        <w:pStyle w:val="TOC3"/>
        <w:tabs>
          <w:tab w:val="right" w:leader="dot" w:pos="9350"/>
        </w:tabs>
        <w:spacing w:line="240" w:lineRule="auto"/>
        <w:contextualSpacing/>
        <w:rPr>
          <w:rFonts w:eastAsiaTheme="minorEastAsia" w:cs="Arial"/>
          <w:noProof/>
          <w:color w:val="auto"/>
          <w:sz w:val="22"/>
          <w:szCs w:val="22"/>
        </w:rPr>
      </w:pPr>
      <w:hyperlink w:anchor="_Toc18571196" w:history="1">
        <w:r w:rsidRPr="005B5418">
          <w:rPr>
            <w:rStyle w:val="Hyperlink"/>
            <w:rFonts w:cs="Arial"/>
            <w:noProof/>
            <w:sz w:val="22"/>
            <w:szCs w:val="22"/>
          </w:rPr>
          <w:t>Section II.3.9 – Required Supplementary Information</w:t>
        </w:r>
        <w:r w:rsidRPr="005B5418">
          <w:rPr>
            <w:rFonts w:cs="Arial"/>
            <w:noProof/>
            <w:webHidden/>
            <w:sz w:val="22"/>
            <w:szCs w:val="22"/>
          </w:rPr>
          <w:tab/>
          <w:t>2</w:t>
        </w:r>
      </w:hyperlink>
      <w:r>
        <w:rPr>
          <w:rFonts w:cs="Arial"/>
          <w:noProof/>
          <w:sz w:val="22"/>
          <w:szCs w:val="22"/>
        </w:rPr>
        <w:t>9</w:t>
      </w:r>
      <w:r w:rsidR="005B1EBE">
        <w:rPr>
          <w:rFonts w:cs="Arial"/>
          <w:noProof/>
          <w:sz w:val="22"/>
          <w:szCs w:val="22"/>
        </w:rPr>
        <w:t>6</w:t>
      </w:r>
    </w:p>
    <w:p w14:paraId="368AB30D" w14:textId="5B68E3AD" w:rsidR="000D07CD" w:rsidRPr="005B5418" w:rsidRDefault="000D07CD" w:rsidP="00714255">
      <w:pPr>
        <w:pStyle w:val="TOC3"/>
        <w:tabs>
          <w:tab w:val="right" w:leader="dot" w:pos="9350"/>
        </w:tabs>
        <w:spacing w:line="240" w:lineRule="auto"/>
        <w:contextualSpacing/>
        <w:rPr>
          <w:rFonts w:eastAsiaTheme="minorEastAsia" w:cs="Arial"/>
          <w:noProof/>
          <w:color w:val="auto"/>
          <w:sz w:val="22"/>
          <w:szCs w:val="22"/>
        </w:rPr>
      </w:pPr>
      <w:hyperlink w:anchor="_Toc18571197" w:history="1">
        <w:r w:rsidRPr="005B5418">
          <w:rPr>
            <w:rStyle w:val="Hyperlink"/>
            <w:rFonts w:cs="Arial"/>
            <w:noProof/>
            <w:sz w:val="22"/>
            <w:szCs w:val="22"/>
          </w:rPr>
          <w:t>Section II.4 – Other Information</w:t>
        </w:r>
        <w:r w:rsidRPr="005B5418">
          <w:rPr>
            <w:rFonts w:cs="Arial"/>
            <w:noProof/>
            <w:webHidden/>
            <w:sz w:val="22"/>
            <w:szCs w:val="22"/>
          </w:rPr>
          <w:tab/>
        </w:r>
      </w:hyperlink>
      <w:r w:rsidR="00A8588D" w:rsidRPr="005B5418">
        <w:rPr>
          <w:rFonts w:cs="Arial"/>
          <w:noProof/>
          <w:sz w:val="22"/>
          <w:szCs w:val="22"/>
        </w:rPr>
        <w:t>3</w:t>
      </w:r>
      <w:r w:rsidR="00A8588D">
        <w:rPr>
          <w:rFonts w:cs="Arial"/>
          <w:noProof/>
          <w:sz w:val="22"/>
          <w:szCs w:val="22"/>
        </w:rPr>
        <w:t>2</w:t>
      </w:r>
      <w:r w:rsidR="005B1EBE">
        <w:rPr>
          <w:rFonts w:cs="Arial"/>
          <w:noProof/>
          <w:sz w:val="22"/>
          <w:szCs w:val="22"/>
        </w:rPr>
        <w:t>3</w:t>
      </w:r>
    </w:p>
    <w:p w14:paraId="0203C69A" w14:textId="0A8FD133" w:rsidR="000D07CD" w:rsidRPr="005B5418" w:rsidRDefault="000D07CD" w:rsidP="00714255">
      <w:pPr>
        <w:pStyle w:val="TOC3"/>
        <w:tabs>
          <w:tab w:val="right" w:leader="dot" w:pos="9350"/>
        </w:tabs>
        <w:spacing w:line="240" w:lineRule="auto"/>
        <w:contextualSpacing/>
        <w:rPr>
          <w:rFonts w:eastAsiaTheme="minorEastAsia" w:cs="Arial"/>
          <w:noProof/>
          <w:color w:val="auto"/>
          <w:sz w:val="22"/>
          <w:szCs w:val="22"/>
        </w:rPr>
      </w:pPr>
      <w:hyperlink w:anchor="_Toc18571198" w:history="1">
        <w:r w:rsidRPr="005B5418">
          <w:rPr>
            <w:rStyle w:val="Hyperlink"/>
            <w:rFonts w:cs="Arial"/>
            <w:noProof/>
            <w:sz w:val="22"/>
            <w:szCs w:val="22"/>
          </w:rPr>
          <w:t>Appendix A – Authoritative Sources</w:t>
        </w:r>
        <w:r w:rsidRPr="005B5418">
          <w:rPr>
            <w:rFonts w:cs="Arial"/>
            <w:noProof/>
            <w:webHidden/>
            <w:sz w:val="22"/>
            <w:szCs w:val="22"/>
          </w:rPr>
          <w:tab/>
        </w:r>
      </w:hyperlink>
      <w:r w:rsidR="00A8588D" w:rsidRPr="005B5418">
        <w:rPr>
          <w:rFonts w:cs="Arial"/>
          <w:noProof/>
          <w:sz w:val="22"/>
          <w:szCs w:val="22"/>
        </w:rPr>
        <w:t>3</w:t>
      </w:r>
      <w:r w:rsidR="005B1EBE">
        <w:rPr>
          <w:rFonts w:cs="Arial"/>
          <w:noProof/>
          <w:sz w:val="22"/>
          <w:szCs w:val="22"/>
        </w:rPr>
        <w:t>38</w:t>
      </w:r>
    </w:p>
    <w:p w14:paraId="1264BBB4" w14:textId="77777777" w:rsidR="00A96FC8" w:rsidRPr="005B5418" w:rsidRDefault="00A96FC8" w:rsidP="00714255">
      <w:pPr>
        <w:pStyle w:val="TOC3"/>
        <w:tabs>
          <w:tab w:val="right" w:leader="dot" w:pos="9350"/>
        </w:tabs>
        <w:spacing w:line="240" w:lineRule="auto"/>
        <w:contextualSpacing/>
        <w:rPr>
          <w:rFonts w:eastAsia="Arial Unicode MS" w:cs="Arial"/>
          <w:sz w:val="22"/>
          <w:szCs w:val="22"/>
        </w:rPr>
      </w:pPr>
      <w:r w:rsidRPr="005B5418">
        <w:rPr>
          <w:rFonts w:eastAsia="Arial Unicode MS" w:cs="Arial"/>
          <w:sz w:val="22"/>
          <w:szCs w:val="22"/>
        </w:rPr>
        <w:fldChar w:fldCharType="end"/>
      </w:r>
    </w:p>
    <w:p w14:paraId="3292AACF" w14:textId="77777777" w:rsidR="003C0B6E" w:rsidRPr="005B5418" w:rsidRDefault="003C0B6E" w:rsidP="007A7A92"/>
    <w:p w14:paraId="4F90F081" w14:textId="77777777" w:rsidR="003C0B6E" w:rsidRPr="005B5418" w:rsidRDefault="003C0B6E" w:rsidP="007A7A92"/>
    <w:p w14:paraId="4597DD59" w14:textId="77777777" w:rsidR="003C0B6E" w:rsidRPr="005B5418" w:rsidRDefault="003C0B6E" w:rsidP="007A7A92"/>
    <w:p w14:paraId="7D38F1D9" w14:textId="77777777" w:rsidR="003C0B6E" w:rsidRPr="005B5418" w:rsidRDefault="003C0B6E" w:rsidP="007A7A92"/>
    <w:p w14:paraId="6902DD7A" w14:textId="77777777" w:rsidR="003C0B6E" w:rsidRPr="005B5418" w:rsidRDefault="003C0B6E" w:rsidP="007A7A92"/>
    <w:p w14:paraId="0B660C93" w14:textId="77777777" w:rsidR="003C0B6E" w:rsidRPr="005B5418" w:rsidRDefault="003C0B6E" w:rsidP="007A7A92"/>
    <w:p w14:paraId="5C04ABAD" w14:textId="77777777" w:rsidR="003C0B6E" w:rsidRPr="005B5418" w:rsidRDefault="003C0B6E" w:rsidP="007A7A92"/>
    <w:p w14:paraId="039B1F4F" w14:textId="77777777" w:rsidR="003C0B6E" w:rsidRPr="005B5418" w:rsidRDefault="003C0B6E" w:rsidP="007A7A92"/>
    <w:p w14:paraId="1136BF65" w14:textId="77777777" w:rsidR="003C0B6E" w:rsidRPr="005B5418" w:rsidRDefault="003C0B6E" w:rsidP="007A7A92"/>
    <w:p w14:paraId="09401246" w14:textId="77777777" w:rsidR="003C0B6E" w:rsidRPr="005B5418" w:rsidRDefault="003C0B6E" w:rsidP="007A7A92"/>
    <w:p w14:paraId="64AA0D0D" w14:textId="77777777" w:rsidR="003C0B6E" w:rsidRPr="005B5418" w:rsidRDefault="003C0B6E" w:rsidP="007A7A92"/>
    <w:p w14:paraId="6DA20C0C" w14:textId="77777777" w:rsidR="003C0B6E" w:rsidRPr="005B5418" w:rsidRDefault="003C0B6E" w:rsidP="003C0B6E">
      <w:pPr>
        <w:rPr>
          <w:rFonts w:ascii="Arial" w:eastAsia="Arial Unicode MS" w:hAnsi="Arial" w:cs="Arial"/>
          <w:color w:val="000000"/>
        </w:rPr>
      </w:pPr>
    </w:p>
    <w:p w14:paraId="29BC00AF" w14:textId="4FD3B096" w:rsidR="003C0B6E" w:rsidRPr="005B5418" w:rsidRDefault="003C0B6E" w:rsidP="007A7A92">
      <w:pPr>
        <w:tabs>
          <w:tab w:val="left" w:pos="5299"/>
        </w:tabs>
        <w:rPr>
          <w:rFonts w:ascii="Arial" w:eastAsia="Arial Unicode MS" w:hAnsi="Arial" w:cs="Arial"/>
          <w:color w:val="000000"/>
        </w:rPr>
      </w:pPr>
      <w:r w:rsidRPr="005B5418">
        <w:rPr>
          <w:rFonts w:ascii="Arial" w:eastAsia="Arial Unicode MS" w:hAnsi="Arial" w:cs="Arial"/>
          <w:color w:val="000000"/>
        </w:rPr>
        <w:tab/>
      </w:r>
    </w:p>
    <w:p w14:paraId="65E6C35B" w14:textId="1C24EE39" w:rsidR="003C0B6E" w:rsidRPr="005B5418" w:rsidRDefault="003C0B6E" w:rsidP="007A7A92">
      <w:pPr>
        <w:tabs>
          <w:tab w:val="left" w:pos="5299"/>
        </w:tabs>
        <w:sectPr w:rsidR="003C0B6E" w:rsidRPr="005B5418" w:rsidSect="008848DA">
          <w:headerReference w:type="default" r:id="rId8"/>
          <w:footerReference w:type="default" r:id="rId9"/>
          <w:pgSz w:w="12240" w:h="15840" w:code="1"/>
          <w:pgMar w:top="1440" w:right="1440" w:bottom="1440" w:left="1440" w:header="432" w:footer="720" w:gutter="0"/>
          <w:pgNumType w:fmt="lowerRoman" w:start="0"/>
          <w:cols w:space="720"/>
          <w:titlePg/>
          <w:docGrid w:linePitch="299"/>
        </w:sectPr>
      </w:pPr>
      <w:r w:rsidRPr="005B5418">
        <w:tab/>
      </w:r>
    </w:p>
    <w:p w14:paraId="60E169DA" w14:textId="77777777" w:rsidR="00A96FC8" w:rsidRPr="005B5418" w:rsidRDefault="00A96FC8" w:rsidP="003B61E9">
      <w:pPr>
        <w:pStyle w:val="Heading3"/>
        <w:spacing w:line="240" w:lineRule="auto"/>
        <w:rPr>
          <w:sz w:val="22"/>
          <w:szCs w:val="22"/>
        </w:rPr>
      </w:pPr>
      <w:bookmarkStart w:id="4" w:name="_Toc161653420"/>
      <w:bookmarkStart w:id="5" w:name="_Toc289099354"/>
      <w:bookmarkStart w:id="6" w:name="_Ref384212023"/>
      <w:bookmarkStart w:id="7" w:name="_Toc18571188"/>
      <w:bookmarkStart w:id="8" w:name="_Toc72727504"/>
      <w:bookmarkStart w:id="9" w:name="_Toc73947565"/>
      <w:bookmarkStart w:id="10" w:name="_Toc121023955"/>
      <w:r w:rsidRPr="005B5418">
        <w:rPr>
          <w:sz w:val="22"/>
          <w:szCs w:val="22"/>
        </w:rPr>
        <w:lastRenderedPageBreak/>
        <w:t>Abbreviations</w:t>
      </w:r>
      <w:bookmarkEnd w:id="4"/>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7320"/>
      </w:tblGrid>
      <w:tr w:rsidR="003C410C" w:rsidRPr="005B5418" w14:paraId="377A56F0" w14:textId="18E6F1A9" w:rsidTr="0085039F">
        <w:tc>
          <w:tcPr>
            <w:tcW w:w="1886" w:type="dxa"/>
          </w:tcPr>
          <w:p w14:paraId="42A6C156" w14:textId="642E8844" w:rsidR="003C410C" w:rsidRPr="005B5418" w:rsidRDefault="003C410C" w:rsidP="003B61E9">
            <w:pPr>
              <w:pStyle w:val="Table-Cell-Left"/>
              <w:spacing w:line="240" w:lineRule="auto"/>
              <w:rPr>
                <w:rFonts w:eastAsia="Arial Unicode MS" w:cs="Arial"/>
                <w:sz w:val="22"/>
                <w:szCs w:val="22"/>
              </w:rPr>
            </w:pPr>
            <w:r w:rsidRPr="005B5418">
              <w:rPr>
                <w:rFonts w:eastAsia="Arial Unicode MS" w:cs="Arial"/>
                <w:sz w:val="22"/>
                <w:szCs w:val="22"/>
              </w:rPr>
              <w:t>A-11</w:t>
            </w:r>
          </w:p>
        </w:tc>
        <w:tc>
          <w:tcPr>
            <w:tcW w:w="7320" w:type="dxa"/>
          </w:tcPr>
          <w:p w14:paraId="1253E4B9" w14:textId="01EE94F7" w:rsidR="003C410C" w:rsidRPr="005B5418" w:rsidRDefault="003C410C" w:rsidP="004C756B">
            <w:pPr>
              <w:pStyle w:val="Table-Cell-Left"/>
              <w:spacing w:line="240" w:lineRule="auto"/>
              <w:rPr>
                <w:rFonts w:eastAsia="Arial Unicode MS" w:cs="Arial"/>
                <w:sz w:val="22"/>
                <w:szCs w:val="22"/>
              </w:rPr>
            </w:pPr>
            <w:r w:rsidRPr="005B5418">
              <w:rPr>
                <w:rStyle w:val="Strong"/>
                <w:rFonts w:eastAsia="Arial Unicode MS" w:cs="Arial"/>
                <w:b w:val="0"/>
                <w:color w:val="auto"/>
                <w:sz w:val="22"/>
                <w:szCs w:val="22"/>
                <w:shd w:val="clear" w:color="auto" w:fill="FFFFFF"/>
              </w:rPr>
              <w:t xml:space="preserve">Office of Management and Budget Circular </w:t>
            </w:r>
            <w:r w:rsidR="00032FCF" w:rsidRPr="005B5418">
              <w:rPr>
                <w:rStyle w:val="Strong"/>
                <w:rFonts w:eastAsia="Arial Unicode MS" w:cs="Arial"/>
                <w:b w:val="0"/>
                <w:color w:val="auto"/>
                <w:sz w:val="22"/>
                <w:szCs w:val="22"/>
                <w:shd w:val="clear" w:color="auto" w:fill="FFFFFF"/>
              </w:rPr>
              <w:t>No.</w:t>
            </w:r>
            <w:r w:rsidR="004C756B" w:rsidRPr="005B5418">
              <w:rPr>
                <w:rStyle w:val="Strong"/>
                <w:rFonts w:eastAsia="Arial Unicode MS" w:cs="Arial"/>
                <w:b w:val="0"/>
                <w:color w:val="auto"/>
                <w:sz w:val="22"/>
                <w:szCs w:val="22"/>
                <w:shd w:val="clear" w:color="auto" w:fill="FFFFFF"/>
              </w:rPr>
              <w:t xml:space="preserve"> </w:t>
            </w:r>
            <w:r w:rsidRPr="005B5418">
              <w:rPr>
                <w:rStyle w:val="Strong"/>
                <w:rFonts w:eastAsia="Arial Unicode MS" w:cs="Arial"/>
                <w:b w:val="0"/>
                <w:color w:val="auto"/>
                <w:sz w:val="22"/>
                <w:szCs w:val="22"/>
                <w:shd w:val="clear" w:color="auto" w:fill="FFFFFF"/>
              </w:rPr>
              <w:t>A-11</w:t>
            </w:r>
            <w:r w:rsidRPr="005B5418">
              <w:rPr>
                <w:rFonts w:cs="Arial"/>
                <w:color w:val="auto"/>
                <w:sz w:val="22"/>
                <w:szCs w:val="22"/>
                <w:shd w:val="clear" w:color="auto" w:fill="FFFFFF"/>
              </w:rPr>
              <w:t xml:space="preserve">, </w:t>
            </w:r>
            <w:r w:rsidRPr="005B5418">
              <w:rPr>
                <w:rFonts w:cs="Arial"/>
                <w:i/>
                <w:color w:val="auto"/>
                <w:sz w:val="22"/>
                <w:szCs w:val="22"/>
                <w:shd w:val="clear" w:color="auto" w:fill="FFFFFF"/>
              </w:rPr>
              <w:t>Preparation, Submission</w:t>
            </w:r>
            <w:r w:rsidR="0085039F" w:rsidRPr="005B5418">
              <w:rPr>
                <w:rFonts w:cs="Arial"/>
                <w:i/>
                <w:color w:val="auto"/>
                <w:sz w:val="22"/>
                <w:szCs w:val="22"/>
                <w:shd w:val="clear" w:color="auto" w:fill="FFFFFF"/>
              </w:rPr>
              <w:t>,</w:t>
            </w:r>
            <w:r w:rsidRPr="005B5418">
              <w:rPr>
                <w:rFonts w:cs="Arial"/>
                <w:color w:val="auto"/>
                <w:sz w:val="22"/>
                <w:szCs w:val="22"/>
                <w:shd w:val="clear" w:color="auto" w:fill="FFFFFF"/>
              </w:rPr>
              <w:t xml:space="preserve"> </w:t>
            </w:r>
            <w:r w:rsidRPr="005B5418">
              <w:rPr>
                <w:rFonts w:cs="Arial"/>
                <w:i/>
                <w:color w:val="auto"/>
                <w:sz w:val="22"/>
                <w:szCs w:val="22"/>
                <w:shd w:val="clear" w:color="auto" w:fill="FFFFFF"/>
              </w:rPr>
              <w:t>and Execution of the Budget</w:t>
            </w:r>
          </w:p>
        </w:tc>
      </w:tr>
      <w:tr w:rsidR="00A96FC8" w:rsidRPr="005B5418" w14:paraId="45DF4364" w14:textId="235BE639" w:rsidTr="0085039F">
        <w:tc>
          <w:tcPr>
            <w:tcW w:w="1886" w:type="dxa"/>
          </w:tcPr>
          <w:p w14:paraId="6B6604D5" w14:textId="0D78EBA0" w:rsidR="00A96FC8" w:rsidRPr="005B5418" w:rsidRDefault="00A96FC8" w:rsidP="003B61E9">
            <w:pPr>
              <w:pStyle w:val="Table-Cell-Left"/>
              <w:spacing w:line="240" w:lineRule="auto"/>
              <w:rPr>
                <w:rFonts w:eastAsia="Arial Unicode MS" w:cs="Arial"/>
                <w:sz w:val="22"/>
                <w:szCs w:val="22"/>
              </w:rPr>
            </w:pPr>
            <w:r w:rsidRPr="005B5418">
              <w:rPr>
                <w:rFonts w:eastAsia="Arial Unicode MS" w:cs="Arial"/>
                <w:sz w:val="22"/>
                <w:szCs w:val="22"/>
              </w:rPr>
              <w:t>A-136</w:t>
            </w:r>
          </w:p>
        </w:tc>
        <w:tc>
          <w:tcPr>
            <w:tcW w:w="7320" w:type="dxa"/>
          </w:tcPr>
          <w:p w14:paraId="43D462CE" w14:textId="1265AF7E" w:rsidR="00A96FC8" w:rsidRPr="005B5418" w:rsidRDefault="00A96FC8" w:rsidP="00A33CE3">
            <w:pPr>
              <w:pStyle w:val="Table-Cell-Left"/>
              <w:spacing w:line="240" w:lineRule="auto"/>
              <w:rPr>
                <w:rFonts w:eastAsia="Arial Unicode MS" w:cs="Arial"/>
                <w:i/>
                <w:sz w:val="22"/>
                <w:szCs w:val="22"/>
              </w:rPr>
            </w:pPr>
            <w:r w:rsidRPr="005B5418">
              <w:rPr>
                <w:rFonts w:eastAsia="Arial Unicode MS" w:cs="Arial"/>
                <w:sz w:val="22"/>
                <w:szCs w:val="22"/>
              </w:rPr>
              <w:t xml:space="preserve">Office of Management and Budget Circular </w:t>
            </w:r>
            <w:r w:rsidR="00032FCF" w:rsidRPr="005B5418">
              <w:rPr>
                <w:rFonts w:eastAsia="Arial Unicode MS" w:cs="Arial"/>
                <w:sz w:val="22"/>
                <w:szCs w:val="22"/>
              </w:rPr>
              <w:t xml:space="preserve">No. </w:t>
            </w:r>
            <w:r w:rsidRPr="005B5418">
              <w:rPr>
                <w:rFonts w:eastAsia="Arial Unicode MS" w:cs="Arial"/>
                <w:sz w:val="22"/>
                <w:szCs w:val="22"/>
              </w:rPr>
              <w:t xml:space="preserve">A-136, </w:t>
            </w:r>
            <w:r w:rsidRPr="005B5418">
              <w:rPr>
                <w:rFonts w:eastAsia="Arial Unicode MS" w:cs="Arial"/>
                <w:i/>
                <w:sz w:val="22"/>
                <w:szCs w:val="22"/>
              </w:rPr>
              <w:t>Financial Reporting Requirements</w:t>
            </w:r>
          </w:p>
        </w:tc>
      </w:tr>
      <w:tr w:rsidR="00303527" w:rsidRPr="005B5418" w14:paraId="4BE8179D" w14:textId="77777777" w:rsidTr="0085039F">
        <w:tc>
          <w:tcPr>
            <w:tcW w:w="1886" w:type="dxa"/>
          </w:tcPr>
          <w:p w14:paraId="212922E7"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AFR</w:t>
            </w:r>
          </w:p>
        </w:tc>
        <w:tc>
          <w:tcPr>
            <w:tcW w:w="7320" w:type="dxa"/>
          </w:tcPr>
          <w:p w14:paraId="422CCE03" w14:textId="62554772" w:rsidR="00303527" w:rsidRPr="005B5418" w:rsidRDefault="00351D06" w:rsidP="00351D06">
            <w:pPr>
              <w:pStyle w:val="Table-Cell-Left"/>
              <w:spacing w:line="240" w:lineRule="auto"/>
              <w:rPr>
                <w:rFonts w:eastAsia="Arial Unicode MS" w:cs="Arial"/>
                <w:sz w:val="22"/>
                <w:szCs w:val="22"/>
              </w:rPr>
            </w:pPr>
            <w:r w:rsidRPr="005B5418">
              <w:rPr>
                <w:rFonts w:eastAsia="Arial Unicode MS" w:cs="Arial"/>
                <w:sz w:val="22"/>
                <w:szCs w:val="22"/>
              </w:rPr>
              <w:t>agency financial report</w:t>
            </w:r>
          </w:p>
        </w:tc>
      </w:tr>
      <w:tr w:rsidR="0012502A" w:rsidRPr="005B5418" w14:paraId="4E56F312" w14:textId="77777777" w:rsidTr="005D5580">
        <w:tc>
          <w:tcPr>
            <w:tcW w:w="1886" w:type="dxa"/>
          </w:tcPr>
          <w:p w14:paraId="7350586D" w14:textId="3CBBDF96" w:rsidR="0012502A" w:rsidRPr="005B5418" w:rsidRDefault="0012502A" w:rsidP="003B61E9">
            <w:pPr>
              <w:pStyle w:val="Table-Cell-Left"/>
              <w:spacing w:line="240" w:lineRule="auto"/>
              <w:rPr>
                <w:rFonts w:eastAsia="Arial Unicode MS" w:cs="Arial"/>
                <w:sz w:val="22"/>
                <w:szCs w:val="22"/>
              </w:rPr>
            </w:pPr>
            <w:r w:rsidRPr="005B5418">
              <w:rPr>
                <w:rFonts w:eastAsia="Arial Unicode MS" w:cs="Arial"/>
                <w:sz w:val="22"/>
                <w:szCs w:val="22"/>
              </w:rPr>
              <w:t>ASC</w:t>
            </w:r>
          </w:p>
        </w:tc>
        <w:tc>
          <w:tcPr>
            <w:tcW w:w="7320" w:type="dxa"/>
          </w:tcPr>
          <w:p w14:paraId="6C5D3213" w14:textId="3E96F778" w:rsidR="0012502A" w:rsidRPr="005B5418" w:rsidDel="00351D06" w:rsidRDefault="0012502A" w:rsidP="00351D06">
            <w:pPr>
              <w:pStyle w:val="Table-Cell-Left"/>
              <w:spacing w:line="240" w:lineRule="auto"/>
              <w:rPr>
                <w:rFonts w:eastAsia="Arial Unicode MS" w:cs="Arial"/>
                <w:sz w:val="22"/>
                <w:szCs w:val="22"/>
              </w:rPr>
            </w:pPr>
            <w:r w:rsidRPr="005B5418">
              <w:rPr>
                <w:rFonts w:eastAsia="Arial Unicode MS" w:cs="Arial"/>
                <w:sz w:val="22"/>
                <w:szCs w:val="22"/>
              </w:rPr>
              <w:t>Accounting Standards Codification</w:t>
            </w:r>
          </w:p>
        </w:tc>
      </w:tr>
      <w:tr w:rsidR="00A96FC8" w:rsidRPr="005B5418" w14:paraId="2D268BA2" w14:textId="77777777" w:rsidTr="0085039F">
        <w:tc>
          <w:tcPr>
            <w:tcW w:w="1886" w:type="dxa"/>
          </w:tcPr>
          <w:p w14:paraId="21DEC9AA" w14:textId="77777777" w:rsidR="00A96FC8" w:rsidRPr="005B5418" w:rsidRDefault="00A96FC8" w:rsidP="003B61E9">
            <w:pPr>
              <w:pStyle w:val="Table-Cell-Left"/>
              <w:spacing w:line="240" w:lineRule="auto"/>
              <w:rPr>
                <w:rFonts w:eastAsia="Arial Unicode MS" w:cs="Arial"/>
                <w:sz w:val="22"/>
                <w:szCs w:val="22"/>
              </w:rPr>
            </w:pPr>
            <w:r w:rsidRPr="005B5418">
              <w:rPr>
                <w:rFonts w:eastAsia="Arial Unicode MS" w:cs="Arial"/>
                <w:sz w:val="22"/>
                <w:szCs w:val="22"/>
              </w:rPr>
              <w:t>AICPA</w:t>
            </w:r>
          </w:p>
        </w:tc>
        <w:tc>
          <w:tcPr>
            <w:tcW w:w="7320" w:type="dxa"/>
          </w:tcPr>
          <w:p w14:paraId="7AEB3A3F" w14:textId="4FA31D8C" w:rsidR="00A96FC8" w:rsidRPr="005B5418" w:rsidRDefault="00A96FC8" w:rsidP="003B61E9">
            <w:pPr>
              <w:pStyle w:val="Table-Cell-Left"/>
              <w:spacing w:line="240" w:lineRule="auto"/>
              <w:rPr>
                <w:rFonts w:eastAsia="Arial Unicode MS" w:cs="Arial"/>
                <w:sz w:val="22"/>
                <w:szCs w:val="22"/>
              </w:rPr>
            </w:pPr>
            <w:r w:rsidRPr="005B5418">
              <w:rPr>
                <w:rFonts w:eastAsia="Arial Unicode MS" w:cs="Arial"/>
                <w:sz w:val="22"/>
                <w:szCs w:val="22"/>
              </w:rPr>
              <w:t>American Institute of Certified Public Accountants</w:t>
            </w:r>
          </w:p>
        </w:tc>
      </w:tr>
      <w:tr w:rsidR="00303527" w:rsidRPr="005B5418" w14:paraId="548EE40E" w14:textId="77777777" w:rsidTr="0085039F">
        <w:tc>
          <w:tcPr>
            <w:tcW w:w="1886" w:type="dxa"/>
          </w:tcPr>
          <w:p w14:paraId="3AC78C5C"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APR</w:t>
            </w:r>
          </w:p>
        </w:tc>
        <w:tc>
          <w:tcPr>
            <w:tcW w:w="7320" w:type="dxa"/>
          </w:tcPr>
          <w:p w14:paraId="14607C57" w14:textId="575131C9" w:rsidR="00303527" w:rsidRPr="005B5418" w:rsidRDefault="00351D06" w:rsidP="00351D06">
            <w:pPr>
              <w:pStyle w:val="Table-Cell-Left"/>
              <w:spacing w:line="240" w:lineRule="auto"/>
              <w:rPr>
                <w:rFonts w:eastAsia="Arial Unicode MS" w:cs="Arial"/>
                <w:sz w:val="22"/>
                <w:szCs w:val="22"/>
              </w:rPr>
            </w:pPr>
            <w:r w:rsidRPr="005B5418">
              <w:rPr>
                <w:rFonts w:eastAsia="Arial Unicode MS" w:cs="Arial"/>
                <w:sz w:val="22"/>
                <w:szCs w:val="22"/>
              </w:rPr>
              <w:t>annual performance report</w:t>
            </w:r>
          </w:p>
        </w:tc>
      </w:tr>
      <w:tr w:rsidR="009E43E7" w:rsidRPr="005B5418" w:rsidDel="00872A72" w14:paraId="0AA14F91" w14:textId="77777777" w:rsidTr="005D5580">
        <w:tc>
          <w:tcPr>
            <w:tcW w:w="1886" w:type="dxa"/>
          </w:tcPr>
          <w:p w14:paraId="25E87771" w14:textId="7F6B03D6" w:rsidR="009E43E7" w:rsidRPr="005B5418" w:rsidRDefault="009E43E7" w:rsidP="003B61E9">
            <w:pPr>
              <w:pStyle w:val="Table-Cell-Left"/>
              <w:spacing w:line="240" w:lineRule="auto"/>
              <w:rPr>
                <w:rFonts w:cs="Arial"/>
                <w:sz w:val="22"/>
                <w:szCs w:val="22"/>
              </w:rPr>
            </w:pPr>
            <w:r w:rsidRPr="005B5418">
              <w:rPr>
                <w:rFonts w:cs="Arial"/>
                <w:sz w:val="22"/>
                <w:szCs w:val="22"/>
              </w:rPr>
              <w:t>BAR</w:t>
            </w:r>
          </w:p>
        </w:tc>
        <w:tc>
          <w:tcPr>
            <w:tcW w:w="7320" w:type="dxa"/>
          </w:tcPr>
          <w:p w14:paraId="623AF3A1" w14:textId="4A5E1846" w:rsidR="009E43E7" w:rsidRPr="005B5418" w:rsidDel="00351D06" w:rsidRDefault="009E43E7" w:rsidP="00351D06">
            <w:pPr>
              <w:pStyle w:val="Table-Cell-Left"/>
              <w:spacing w:line="240" w:lineRule="auto"/>
              <w:rPr>
                <w:rFonts w:cs="Arial"/>
                <w:sz w:val="22"/>
                <w:szCs w:val="22"/>
              </w:rPr>
            </w:pPr>
            <w:r w:rsidRPr="005B5418">
              <w:rPr>
                <w:rFonts w:cs="Arial"/>
                <w:sz w:val="22"/>
                <w:szCs w:val="22"/>
              </w:rPr>
              <w:t>budget and accrual reconciliation</w:t>
            </w:r>
          </w:p>
        </w:tc>
      </w:tr>
      <w:tr w:rsidR="00C23FFA" w:rsidRPr="005B5418" w:rsidDel="00872A72" w14:paraId="65AF5A01" w14:textId="77777777" w:rsidTr="0085039F">
        <w:tc>
          <w:tcPr>
            <w:tcW w:w="1886" w:type="dxa"/>
          </w:tcPr>
          <w:p w14:paraId="08CFCDBF" w14:textId="77777777" w:rsidR="00C23FFA" w:rsidRPr="005B5418" w:rsidDel="00872A72" w:rsidRDefault="00C23FFA" w:rsidP="003B61E9">
            <w:pPr>
              <w:pStyle w:val="Table-Cell-Left"/>
              <w:spacing w:line="240" w:lineRule="auto"/>
              <w:rPr>
                <w:rFonts w:cs="Arial"/>
                <w:sz w:val="22"/>
                <w:szCs w:val="22"/>
              </w:rPr>
            </w:pPr>
            <w:r w:rsidRPr="005B5418">
              <w:rPr>
                <w:rFonts w:cs="Arial"/>
                <w:sz w:val="22"/>
                <w:szCs w:val="22"/>
              </w:rPr>
              <w:t>CAE</w:t>
            </w:r>
          </w:p>
        </w:tc>
        <w:tc>
          <w:tcPr>
            <w:tcW w:w="7320" w:type="dxa"/>
          </w:tcPr>
          <w:p w14:paraId="2714D801" w14:textId="3256A1E9" w:rsidR="00C23FFA" w:rsidRPr="005B5418" w:rsidDel="00872A72" w:rsidRDefault="00351D06" w:rsidP="00351D06">
            <w:pPr>
              <w:pStyle w:val="Table-Cell-Left"/>
              <w:spacing w:line="240" w:lineRule="auto"/>
              <w:rPr>
                <w:rFonts w:cs="Arial"/>
                <w:sz w:val="22"/>
                <w:szCs w:val="22"/>
              </w:rPr>
            </w:pPr>
            <w:r w:rsidRPr="005B5418">
              <w:rPr>
                <w:rFonts w:cs="Arial"/>
                <w:sz w:val="22"/>
                <w:szCs w:val="22"/>
              </w:rPr>
              <w:t>claim adjustment expense</w:t>
            </w:r>
          </w:p>
        </w:tc>
      </w:tr>
      <w:tr w:rsidR="00DF7A11" w:rsidRPr="005B5418" w:rsidDel="00872A72" w14:paraId="1D421394" w14:textId="77777777" w:rsidTr="0085039F">
        <w:tc>
          <w:tcPr>
            <w:tcW w:w="1886" w:type="dxa"/>
          </w:tcPr>
          <w:p w14:paraId="60023EDD" w14:textId="70F3ED6A" w:rsidR="00DF7A11" w:rsidRPr="005B5418" w:rsidRDefault="00DF7A11" w:rsidP="003B61E9">
            <w:pPr>
              <w:pStyle w:val="Table-Cell-Left"/>
              <w:spacing w:line="240" w:lineRule="auto"/>
              <w:rPr>
                <w:rFonts w:cs="Arial"/>
                <w:sz w:val="22"/>
                <w:szCs w:val="22"/>
              </w:rPr>
            </w:pPr>
            <w:r w:rsidRPr="005B5418">
              <w:rPr>
                <w:rFonts w:cs="Arial"/>
                <w:sz w:val="22"/>
                <w:szCs w:val="22"/>
              </w:rPr>
              <w:t>CFO Act</w:t>
            </w:r>
          </w:p>
        </w:tc>
        <w:tc>
          <w:tcPr>
            <w:tcW w:w="7320" w:type="dxa"/>
          </w:tcPr>
          <w:p w14:paraId="513299C6" w14:textId="7AE4208A" w:rsidR="00DF7A11" w:rsidRPr="005B5418" w:rsidRDefault="00DF7A11" w:rsidP="00351D06">
            <w:pPr>
              <w:pStyle w:val="Table-Cell-Left"/>
              <w:spacing w:line="240" w:lineRule="auto"/>
              <w:rPr>
                <w:rFonts w:cs="Arial"/>
                <w:sz w:val="22"/>
                <w:szCs w:val="22"/>
              </w:rPr>
            </w:pPr>
            <w:r w:rsidRPr="005B5418">
              <w:rPr>
                <w:rFonts w:cs="Arial"/>
                <w:sz w:val="22"/>
                <w:szCs w:val="22"/>
              </w:rPr>
              <w:t>Chief Financial Officers Act of 1990</w:t>
            </w:r>
          </w:p>
        </w:tc>
      </w:tr>
      <w:tr w:rsidR="0012502A" w:rsidRPr="005B5418" w:rsidDel="00872A72" w14:paraId="3A1E2783" w14:textId="77777777" w:rsidTr="005D5580">
        <w:tc>
          <w:tcPr>
            <w:tcW w:w="1886" w:type="dxa"/>
          </w:tcPr>
          <w:p w14:paraId="1B101AC2" w14:textId="0310281D" w:rsidR="0012502A" w:rsidRPr="005B5418" w:rsidRDefault="0012502A" w:rsidP="003B61E9">
            <w:pPr>
              <w:pStyle w:val="Table-Cell-Left"/>
              <w:spacing w:line="240" w:lineRule="auto"/>
              <w:rPr>
                <w:rFonts w:cs="Arial"/>
                <w:sz w:val="22"/>
                <w:szCs w:val="22"/>
              </w:rPr>
            </w:pPr>
            <w:r w:rsidRPr="005B5418">
              <w:rPr>
                <w:rFonts w:cs="Arial"/>
                <w:sz w:val="22"/>
                <w:szCs w:val="22"/>
              </w:rPr>
              <w:t>COTS</w:t>
            </w:r>
          </w:p>
        </w:tc>
        <w:tc>
          <w:tcPr>
            <w:tcW w:w="7320" w:type="dxa"/>
          </w:tcPr>
          <w:p w14:paraId="53DF571F" w14:textId="29D3060A" w:rsidR="0012502A" w:rsidRPr="005B5418" w:rsidDel="00351D06" w:rsidRDefault="0012502A" w:rsidP="00351D06">
            <w:pPr>
              <w:pStyle w:val="Table-Cell-Left"/>
              <w:spacing w:line="240" w:lineRule="auto"/>
              <w:rPr>
                <w:rFonts w:cs="Arial"/>
                <w:sz w:val="22"/>
                <w:szCs w:val="22"/>
              </w:rPr>
            </w:pPr>
            <w:r w:rsidRPr="005B5418">
              <w:rPr>
                <w:rFonts w:cs="Arial"/>
                <w:sz w:val="22"/>
                <w:szCs w:val="22"/>
              </w:rPr>
              <w:t>commercial off-the-shelf</w:t>
            </w:r>
          </w:p>
        </w:tc>
      </w:tr>
      <w:tr w:rsidR="00303527" w:rsidRPr="005B5418" w14:paraId="76640279" w14:textId="77777777" w:rsidTr="0085039F">
        <w:tc>
          <w:tcPr>
            <w:tcW w:w="1886" w:type="dxa"/>
          </w:tcPr>
          <w:p w14:paraId="1BBFDDAA"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CSRS</w:t>
            </w:r>
          </w:p>
        </w:tc>
        <w:tc>
          <w:tcPr>
            <w:tcW w:w="7320" w:type="dxa"/>
          </w:tcPr>
          <w:p w14:paraId="2AA77C9B"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Civil Service Retirement System</w:t>
            </w:r>
          </w:p>
        </w:tc>
      </w:tr>
      <w:tr w:rsidR="00303527" w:rsidRPr="005B5418" w14:paraId="0C8B3BDE" w14:textId="77777777" w:rsidTr="0085039F">
        <w:tc>
          <w:tcPr>
            <w:tcW w:w="1886" w:type="dxa"/>
          </w:tcPr>
          <w:p w14:paraId="75BFD6B0"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DM&amp;R</w:t>
            </w:r>
          </w:p>
        </w:tc>
        <w:tc>
          <w:tcPr>
            <w:tcW w:w="7320" w:type="dxa"/>
          </w:tcPr>
          <w:p w14:paraId="5B9C0C28"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Deferred Maintenance and Repairs</w:t>
            </w:r>
          </w:p>
        </w:tc>
      </w:tr>
      <w:tr w:rsidR="00303527" w:rsidRPr="005B5418" w14:paraId="3DEBCDBC" w14:textId="77777777" w:rsidTr="0085039F">
        <w:tc>
          <w:tcPr>
            <w:tcW w:w="1886" w:type="dxa"/>
          </w:tcPr>
          <w:p w14:paraId="54846540"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FASAB</w:t>
            </w:r>
          </w:p>
        </w:tc>
        <w:tc>
          <w:tcPr>
            <w:tcW w:w="7320" w:type="dxa"/>
          </w:tcPr>
          <w:p w14:paraId="762D2B87"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Federal Accounting Standards Advisory Board</w:t>
            </w:r>
          </w:p>
        </w:tc>
      </w:tr>
      <w:tr w:rsidR="00303527" w:rsidRPr="005B5418" w14:paraId="7D6E64F7" w14:textId="77777777" w:rsidTr="0085039F">
        <w:tc>
          <w:tcPr>
            <w:tcW w:w="1886" w:type="dxa"/>
          </w:tcPr>
          <w:p w14:paraId="1A406A29"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FASB</w:t>
            </w:r>
          </w:p>
        </w:tc>
        <w:tc>
          <w:tcPr>
            <w:tcW w:w="7320" w:type="dxa"/>
          </w:tcPr>
          <w:p w14:paraId="34355799"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Financial Accounting Standards Board</w:t>
            </w:r>
          </w:p>
        </w:tc>
      </w:tr>
      <w:tr w:rsidR="00303527" w:rsidRPr="005B5418" w14:paraId="25602E9B" w14:textId="77777777" w:rsidTr="0085039F">
        <w:tc>
          <w:tcPr>
            <w:tcW w:w="1886" w:type="dxa"/>
          </w:tcPr>
          <w:p w14:paraId="0F245683"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FBWT</w:t>
            </w:r>
          </w:p>
        </w:tc>
        <w:tc>
          <w:tcPr>
            <w:tcW w:w="7320" w:type="dxa"/>
          </w:tcPr>
          <w:p w14:paraId="00179FF5"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Fund Balance with Treasury</w:t>
            </w:r>
          </w:p>
        </w:tc>
      </w:tr>
      <w:tr w:rsidR="00303527" w:rsidRPr="005B5418" w14:paraId="287B12A9" w14:textId="77777777" w:rsidTr="0085039F">
        <w:tc>
          <w:tcPr>
            <w:tcW w:w="1886" w:type="dxa"/>
          </w:tcPr>
          <w:p w14:paraId="75E8B76A"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FCRA</w:t>
            </w:r>
          </w:p>
        </w:tc>
        <w:tc>
          <w:tcPr>
            <w:tcW w:w="7320" w:type="dxa"/>
          </w:tcPr>
          <w:p w14:paraId="7BD15371" w14:textId="0BB3790F"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Federal Credit Reform Act</w:t>
            </w:r>
            <w:r w:rsidR="000B26DB" w:rsidRPr="005B5418">
              <w:rPr>
                <w:rFonts w:eastAsia="Arial Unicode MS" w:cs="Arial"/>
                <w:sz w:val="22"/>
                <w:szCs w:val="22"/>
              </w:rPr>
              <w:t xml:space="preserve"> of 1990</w:t>
            </w:r>
          </w:p>
        </w:tc>
      </w:tr>
      <w:tr w:rsidR="00303527" w:rsidRPr="005B5418" w14:paraId="7D81D306" w14:textId="77777777" w:rsidTr="0085039F">
        <w:tc>
          <w:tcPr>
            <w:tcW w:w="1886" w:type="dxa"/>
          </w:tcPr>
          <w:p w14:paraId="14879392"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FERS</w:t>
            </w:r>
          </w:p>
        </w:tc>
        <w:tc>
          <w:tcPr>
            <w:tcW w:w="7320" w:type="dxa"/>
          </w:tcPr>
          <w:p w14:paraId="30350807"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Federal Employees Retirement System</w:t>
            </w:r>
          </w:p>
        </w:tc>
      </w:tr>
      <w:tr w:rsidR="00303527" w:rsidRPr="005B5418" w14:paraId="32344029" w14:textId="77777777" w:rsidTr="0085039F">
        <w:tc>
          <w:tcPr>
            <w:tcW w:w="1886" w:type="dxa"/>
          </w:tcPr>
          <w:p w14:paraId="78898F41" w14:textId="77777777" w:rsidR="00303527" w:rsidRPr="005B5418" w:rsidRDefault="00303527" w:rsidP="003B61E9">
            <w:pPr>
              <w:pStyle w:val="Table-Cell-Left"/>
              <w:spacing w:line="240" w:lineRule="auto"/>
              <w:rPr>
                <w:rFonts w:cs="Arial"/>
                <w:sz w:val="22"/>
                <w:szCs w:val="22"/>
              </w:rPr>
            </w:pPr>
            <w:r w:rsidRPr="005B5418">
              <w:rPr>
                <w:rFonts w:cs="Arial"/>
                <w:sz w:val="22"/>
                <w:szCs w:val="22"/>
              </w:rPr>
              <w:t>FFMIA</w:t>
            </w:r>
          </w:p>
        </w:tc>
        <w:tc>
          <w:tcPr>
            <w:tcW w:w="7320" w:type="dxa"/>
          </w:tcPr>
          <w:p w14:paraId="5049970A" w14:textId="477BEFE6" w:rsidR="00303527" w:rsidRPr="005B5418" w:rsidRDefault="00303527" w:rsidP="009C5725">
            <w:pPr>
              <w:pStyle w:val="Table-Cell-Left"/>
              <w:spacing w:line="240" w:lineRule="auto"/>
              <w:rPr>
                <w:rFonts w:cs="Arial"/>
                <w:sz w:val="22"/>
                <w:szCs w:val="22"/>
              </w:rPr>
            </w:pPr>
            <w:r w:rsidRPr="005B5418">
              <w:rPr>
                <w:rFonts w:cs="Arial"/>
                <w:sz w:val="22"/>
                <w:szCs w:val="22"/>
              </w:rPr>
              <w:t xml:space="preserve">Federal Financial Management Improvement Act </w:t>
            </w:r>
            <w:r w:rsidR="009E51A4" w:rsidRPr="005B5418">
              <w:rPr>
                <w:rFonts w:cs="Arial"/>
                <w:sz w:val="22"/>
                <w:szCs w:val="22"/>
              </w:rPr>
              <w:t>of 1996</w:t>
            </w:r>
          </w:p>
        </w:tc>
      </w:tr>
      <w:tr w:rsidR="00303527" w:rsidRPr="005B5418" w14:paraId="086CA999" w14:textId="77777777" w:rsidTr="0085039F">
        <w:tc>
          <w:tcPr>
            <w:tcW w:w="1886" w:type="dxa"/>
          </w:tcPr>
          <w:p w14:paraId="198E4375"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FHA</w:t>
            </w:r>
          </w:p>
        </w:tc>
        <w:tc>
          <w:tcPr>
            <w:tcW w:w="7320" w:type="dxa"/>
          </w:tcPr>
          <w:p w14:paraId="01BE9BD3"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Federal Housing Administration</w:t>
            </w:r>
          </w:p>
        </w:tc>
      </w:tr>
      <w:tr w:rsidR="00303527" w:rsidRPr="005B5418" w14:paraId="3082AC72" w14:textId="77777777" w:rsidTr="0085039F">
        <w:tc>
          <w:tcPr>
            <w:tcW w:w="1886" w:type="dxa"/>
          </w:tcPr>
          <w:p w14:paraId="4BB3120C"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FIFO</w:t>
            </w:r>
          </w:p>
        </w:tc>
        <w:tc>
          <w:tcPr>
            <w:tcW w:w="7320" w:type="dxa"/>
          </w:tcPr>
          <w:p w14:paraId="2FC8416D"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First-In, First-Out (method of inventory valuation)</w:t>
            </w:r>
          </w:p>
        </w:tc>
      </w:tr>
      <w:tr w:rsidR="00303527" w:rsidRPr="005B5418" w14:paraId="3878F335" w14:textId="4BF92AFE" w:rsidTr="0085039F">
        <w:tc>
          <w:tcPr>
            <w:tcW w:w="1886" w:type="dxa"/>
          </w:tcPr>
          <w:p w14:paraId="201E4D95" w14:textId="6C4DEC43" w:rsidR="00303527" w:rsidRPr="005B5418" w:rsidRDefault="00303527" w:rsidP="003B61E9">
            <w:pPr>
              <w:pStyle w:val="Table-Cell-Left"/>
              <w:spacing w:line="240" w:lineRule="auto"/>
              <w:rPr>
                <w:rFonts w:cs="Arial"/>
                <w:sz w:val="22"/>
                <w:szCs w:val="22"/>
              </w:rPr>
            </w:pPr>
            <w:r w:rsidRPr="005B5418">
              <w:rPr>
                <w:rFonts w:cs="Arial"/>
                <w:sz w:val="22"/>
                <w:szCs w:val="22"/>
              </w:rPr>
              <w:t>FMFIA</w:t>
            </w:r>
          </w:p>
        </w:tc>
        <w:tc>
          <w:tcPr>
            <w:tcW w:w="7320" w:type="dxa"/>
          </w:tcPr>
          <w:p w14:paraId="45932180" w14:textId="5E9601AD" w:rsidR="00303527" w:rsidRPr="005B5418" w:rsidRDefault="00FE612E" w:rsidP="009C5725">
            <w:pPr>
              <w:pStyle w:val="Table-Cell-Left"/>
              <w:spacing w:line="240" w:lineRule="auto"/>
              <w:rPr>
                <w:rFonts w:cs="Arial"/>
                <w:sz w:val="22"/>
                <w:szCs w:val="22"/>
              </w:rPr>
            </w:pPr>
            <w:r w:rsidRPr="005B5418">
              <w:rPr>
                <w:rFonts w:cs="Arial"/>
                <w:sz w:val="22"/>
                <w:szCs w:val="22"/>
              </w:rPr>
              <w:t xml:space="preserve">31 U.S.C. 3512(c), (d), commonly known as </w:t>
            </w:r>
            <w:r w:rsidR="007969DE">
              <w:rPr>
                <w:rFonts w:cs="Arial"/>
                <w:sz w:val="22"/>
                <w:szCs w:val="22"/>
              </w:rPr>
              <w:t xml:space="preserve">the </w:t>
            </w:r>
            <w:r w:rsidR="00303527" w:rsidRPr="005B5418">
              <w:rPr>
                <w:rFonts w:cs="Arial"/>
                <w:sz w:val="22"/>
                <w:szCs w:val="22"/>
              </w:rPr>
              <w:t xml:space="preserve">Federal Managers’ Financial Integrity Act </w:t>
            </w:r>
            <w:r w:rsidR="007969DE">
              <w:rPr>
                <w:rFonts w:cs="Arial"/>
                <w:sz w:val="22"/>
                <w:szCs w:val="22"/>
              </w:rPr>
              <w:t>of 1982</w:t>
            </w:r>
          </w:p>
        </w:tc>
      </w:tr>
      <w:tr w:rsidR="00303527" w:rsidRPr="005B5418" w14:paraId="59477D3B" w14:textId="77777777" w:rsidTr="0085039F">
        <w:tc>
          <w:tcPr>
            <w:tcW w:w="1886" w:type="dxa"/>
          </w:tcPr>
          <w:p w14:paraId="13170B94" w14:textId="77777777" w:rsidR="00303527" w:rsidRPr="005B5418" w:rsidRDefault="00303527" w:rsidP="003B61E9">
            <w:pPr>
              <w:pStyle w:val="Table-Cell-Left"/>
              <w:spacing w:line="240" w:lineRule="auto"/>
              <w:rPr>
                <w:rFonts w:cs="Arial"/>
                <w:sz w:val="22"/>
                <w:szCs w:val="22"/>
              </w:rPr>
            </w:pPr>
            <w:r w:rsidRPr="005B5418">
              <w:rPr>
                <w:rFonts w:cs="Arial"/>
                <w:sz w:val="22"/>
                <w:szCs w:val="22"/>
              </w:rPr>
              <w:t>FR</w:t>
            </w:r>
          </w:p>
        </w:tc>
        <w:tc>
          <w:tcPr>
            <w:tcW w:w="7320" w:type="dxa"/>
          </w:tcPr>
          <w:p w14:paraId="7623DFA4" w14:textId="77777777" w:rsidR="00303527" w:rsidRPr="005B5418" w:rsidRDefault="00303527" w:rsidP="00872A72">
            <w:pPr>
              <w:pStyle w:val="Table-Cell-Left"/>
              <w:spacing w:line="240" w:lineRule="auto"/>
              <w:rPr>
                <w:rFonts w:cs="Arial"/>
                <w:i/>
                <w:sz w:val="22"/>
                <w:szCs w:val="22"/>
              </w:rPr>
            </w:pPr>
            <w:r w:rsidRPr="005B5418">
              <w:rPr>
                <w:rFonts w:cs="Arial"/>
                <w:i/>
                <w:sz w:val="22"/>
                <w:szCs w:val="22"/>
              </w:rPr>
              <w:t>Financial Report of the U</w:t>
            </w:r>
            <w:r w:rsidR="00872A72" w:rsidRPr="005B5418">
              <w:rPr>
                <w:rFonts w:cs="Arial"/>
                <w:i/>
                <w:sz w:val="22"/>
                <w:szCs w:val="22"/>
              </w:rPr>
              <w:t xml:space="preserve">nited </w:t>
            </w:r>
            <w:r w:rsidRPr="005B5418">
              <w:rPr>
                <w:rFonts w:cs="Arial"/>
                <w:i/>
                <w:sz w:val="22"/>
                <w:szCs w:val="22"/>
              </w:rPr>
              <w:t>S</w:t>
            </w:r>
            <w:r w:rsidR="00872A72" w:rsidRPr="005B5418">
              <w:rPr>
                <w:rFonts w:cs="Arial"/>
                <w:i/>
                <w:sz w:val="22"/>
                <w:szCs w:val="22"/>
              </w:rPr>
              <w:t>tates</w:t>
            </w:r>
            <w:r w:rsidRPr="005B5418">
              <w:rPr>
                <w:rFonts w:cs="Arial"/>
                <w:i/>
                <w:sz w:val="22"/>
                <w:szCs w:val="22"/>
              </w:rPr>
              <w:t xml:space="preserve"> Government</w:t>
            </w:r>
          </w:p>
        </w:tc>
      </w:tr>
      <w:tr w:rsidR="00303527" w:rsidRPr="005B5418" w14:paraId="211D6C26" w14:textId="77777777" w:rsidTr="0085039F">
        <w:tc>
          <w:tcPr>
            <w:tcW w:w="1886" w:type="dxa"/>
          </w:tcPr>
          <w:p w14:paraId="269C1494" w14:textId="77777777" w:rsidR="00303527" w:rsidRPr="005B5418" w:rsidRDefault="00303527" w:rsidP="003B61E9">
            <w:pPr>
              <w:pStyle w:val="Table-Cell-Left"/>
              <w:spacing w:line="240" w:lineRule="auto"/>
              <w:rPr>
                <w:rFonts w:cs="Arial"/>
                <w:sz w:val="22"/>
                <w:szCs w:val="22"/>
              </w:rPr>
            </w:pPr>
            <w:r w:rsidRPr="005B5418">
              <w:rPr>
                <w:rFonts w:cs="Arial"/>
                <w:sz w:val="22"/>
                <w:szCs w:val="22"/>
              </w:rPr>
              <w:t>FY</w:t>
            </w:r>
          </w:p>
        </w:tc>
        <w:tc>
          <w:tcPr>
            <w:tcW w:w="7320" w:type="dxa"/>
          </w:tcPr>
          <w:p w14:paraId="4CCE4AEE" w14:textId="280EE818" w:rsidR="00303527" w:rsidRPr="005B5418" w:rsidRDefault="00351D06" w:rsidP="00351D06">
            <w:pPr>
              <w:pStyle w:val="Table-Cell-Left"/>
              <w:spacing w:line="240" w:lineRule="auto"/>
              <w:rPr>
                <w:rFonts w:cs="Arial"/>
                <w:sz w:val="22"/>
                <w:szCs w:val="22"/>
              </w:rPr>
            </w:pPr>
            <w:r w:rsidRPr="005B5418">
              <w:rPr>
                <w:rFonts w:cs="Arial"/>
                <w:sz w:val="22"/>
                <w:szCs w:val="22"/>
              </w:rPr>
              <w:t>fiscal year</w:t>
            </w:r>
          </w:p>
        </w:tc>
      </w:tr>
      <w:tr w:rsidR="00303527" w:rsidRPr="005B5418" w14:paraId="6263D2EB" w14:textId="77777777" w:rsidTr="0085039F">
        <w:tc>
          <w:tcPr>
            <w:tcW w:w="1886" w:type="dxa"/>
          </w:tcPr>
          <w:p w14:paraId="00CA9F90"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GAAP</w:t>
            </w:r>
          </w:p>
        </w:tc>
        <w:tc>
          <w:tcPr>
            <w:tcW w:w="7320" w:type="dxa"/>
          </w:tcPr>
          <w:p w14:paraId="7857FBCD" w14:textId="324175E6" w:rsidR="00303527" w:rsidRPr="005B5418" w:rsidRDefault="00351D06" w:rsidP="00351D06">
            <w:pPr>
              <w:pStyle w:val="Table-Cell-Left"/>
              <w:spacing w:line="240" w:lineRule="auto"/>
              <w:rPr>
                <w:rFonts w:eastAsia="Arial Unicode MS" w:cs="Arial"/>
                <w:sz w:val="22"/>
                <w:szCs w:val="22"/>
              </w:rPr>
            </w:pPr>
            <w:r w:rsidRPr="005B5418">
              <w:rPr>
                <w:rFonts w:eastAsia="Arial Unicode MS" w:cs="Arial"/>
                <w:sz w:val="22"/>
                <w:szCs w:val="22"/>
              </w:rPr>
              <w:t xml:space="preserve">U.S. generally accepted accounting principles </w:t>
            </w:r>
          </w:p>
        </w:tc>
      </w:tr>
      <w:tr w:rsidR="004948F0" w:rsidRPr="005B5418" w14:paraId="23FE7988" w14:textId="77777777" w:rsidTr="0085039F">
        <w:tc>
          <w:tcPr>
            <w:tcW w:w="1886" w:type="dxa"/>
          </w:tcPr>
          <w:p w14:paraId="1EA8ED8F" w14:textId="4574F4FB" w:rsidR="004948F0" w:rsidRPr="005B5418" w:rsidRDefault="004948F0" w:rsidP="003B61E9">
            <w:pPr>
              <w:pStyle w:val="Table-Cell-Left"/>
              <w:spacing w:line="240" w:lineRule="auto"/>
              <w:rPr>
                <w:rFonts w:eastAsia="Arial Unicode MS" w:cs="Arial"/>
                <w:sz w:val="22"/>
                <w:szCs w:val="22"/>
              </w:rPr>
            </w:pPr>
            <w:r w:rsidRPr="005B5418">
              <w:rPr>
                <w:rFonts w:eastAsia="Arial Unicode MS" w:cs="Arial"/>
                <w:sz w:val="22"/>
                <w:szCs w:val="22"/>
              </w:rPr>
              <w:t>GPFFR</w:t>
            </w:r>
          </w:p>
        </w:tc>
        <w:tc>
          <w:tcPr>
            <w:tcW w:w="7320" w:type="dxa"/>
          </w:tcPr>
          <w:p w14:paraId="51AE3A46" w14:textId="04401321" w:rsidR="004948F0" w:rsidRPr="005B5418" w:rsidRDefault="00330DA6" w:rsidP="00330DA6">
            <w:pPr>
              <w:pStyle w:val="Table-Cell-Left"/>
              <w:spacing w:line="240" w:lineRule="auto"/>
              <w:rPr>
                <w:rFonts w:eastAsia="Arial Unicode MS" w:cs="Arial"/>
                <w:sz w:val="22"/>
                <w:szCs w:val="22"/>
              </w:rPr>
            </w:pPr>
            <w:r w:rsidRPr="005B5418">
              <w:rPr>
                <w:rFonts w:eastAsia="Arial Unicode MS" w:cs="Arial"/>
                <w:sz w:val="22"/>
                <w:szCs w:val="22"/>
              </w:rPr>
              <w:t>general purpose federal financial report</w:t>
            </w:r>
          </w:p>
        </w:tc>
      </w:tr>
      <w:tr w:rsidR="00303527" w:rsidRPr="005B5418" w14:paraId="17F22E1A" w14:textId="77777777" w:rsidTr="0085039F">
        <w:tc>
          <w:tcPr>
            <w:tcW w:w="1886" w:type="dxa"/>
          </w:tcPr>
          <w:p w14:paraId="748911AC" w14:textId="77777777" w:rsidR="00303527" w:rsidRPr="005B5418" w:rsidRDefault="00303527" w:rsidP="003B61E9">
            <w:pPr>
              <w:pStyle w:val="Table-Cell-Left"/>
              <w:spacing w:line="240" w:lineRule="auto"/>
              <w:rPr>
                <w:rFonts w:cs="Arial"/>
                <w:sz w:val="22"/>
                <w:szCs w:val="22"/>
              </w:rPr>
            </w:pPr>
            <w:r w:rsidRPr="005B5418">
              <w:rPr>
                <w:rFonts w:cs="Arial"/>
                <w:sz w:val="22"/>
                <w:szCs w:val="22"/>
              </w:rPr>
              <w:t>GSE</w:t>
            </w:r>
          </w:p>
        </w:tc>
        <w:tc>
          <w:tcPr>
            <w:tcW w:w="7320" w:type="dxa"/>
          </w:tcPr>
          <w:p w14:paraId="4977E753" w14:textId="458D1A86" w:rsidR="00303527" w:rsidRPr="005B5418" w:rsidRDefault="00330DA6" w:rsidP="00330DA6">
            <w:pPr>
              <w:pStyle w:val="Table-Cell-Left"/>
              <w:spacing w:line="240" w:lineRule="auto"/>
              <w:rPr>
                <w:rFonts w:cs="Arial"/>
                <w:sz w:val="22"/>
                <w:szCs w:val="22"/>
              </w:rPr>
            </w:pPr>
            <w:r w:rsidRPr="005B5418">
              <w:rPr>
                <w:rFonts w:cs="Arial"/>
                <w:sz w:val="22"/>
                <w:szCs w:val="22"/>
              </w:rPr>
              <w:t>government-sponsored enterprise</w:t>
            </w:r>
          </w:p>
        </w:tc>
      </w:tr>
      <w:tr w:rsidR="00303527" w:rsidRPr="005B5418" w14:paraId="6D3BE1E7" w14:textId="77777777" w:rsidTr="0085039F">
        <w:tc>
          <w:tcPr>
            <w:tcW w:w="1886" w:type="dxa"/>
          </w:tcPr>
          <w:p w14:paraId="40DF51D8"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GTAS</w:t>
            </w:r>
          </w:p>
        </w:tc>
        <w:tc>
          <w:tcPr>
            <w:tcW w:w="7320" w:type="dxa"/>
          </w:tcPr>
          <w:p w14:paraId="5253A05D" w14:textId="77777777" w:rsidR="00303527" w:rsidRPr="005B5418" w:rsidRDefault="00303527" w:rsidP="0085039F">
            <w:pPr>
              <w:pStyle w:val="Table-Cell-Left"/>
              <w:spacing w:line="240" w:lineRule="auto"/>
              <w:jc w:val="left"/>
              <w:rPr>
                <w:rFonts w:eastAsia="Arial Unicode MS" w:cs="Arial"/>
                <w:sz w:val="22"/>
                <w:szCs w:val="22"/>
              </w:rPr>
            </w:pPr>
            <w:r w:rsidRPr="005B5418">
              <w:rPr>
                <w:rFonts w:eastAsia="Arial Unicode MS" w:cs="Arial"/>
                <w:sz w:val="22"/>
                <w:szCs w:val="22"/>
              </w:rPr>
              <w:t>Governmentwide Treasury Account Symbol Adjusted</w:t>
            </w:r>
            <w:r w:rsidR="00872A72" w:rsidRPr="005B5418">
              <w:rPr>
                <w:rFonts w:eastAsia="Arial Unicode MS" w:cs="Arial"/>
                <w:sz w:val="22"/>
                <w:szCs w:val="22"/>
              </w:rPr>
              <w:t xml:space="preserve"> Trial Balance System</w:t>
            </w:r>
          </w:p>
        </w:tc>
      </w:tr>
      <w:tr w:rsidR="00205E66" w:rsidRPr="005B5418" w14:paraId="331D9726" w14:textId="77777777" w:rsidTr="005D5580">
        <w:tc>
          <w:tcPr>
            <w:tcW w:w="1886" w:type="dxa"/>
          </w:tcPr>
          <w:p w14:paraId="3C9ABC0C" w14:textId="557F140B" w:rsidR="00205E66" w:rsidRPr="005B5418" w:rsidRDefault="00205E66" w:rsidP="003B61E9">
            <w:pPr>
              <w:pStyle w:val="Table-Cell-Left"/>
              <w:spacing w:line="240" w:lineRule="auto"/>
              <w:rPr>
                <w:rFonts w:eastAsia="Arial Unicode MS" w:cs="Arial"/>
                <w:sz w:val="22"/>
                <w:szCs w:val="22"/>
              </w:rPr>
            </w:pPr>
            <w:r w:rsidRPr="005B5418">
              <w:rPr>
                <w:rFonts w:eastAsia="Arial Unicode MS" w:cs="Arial"/>
                <w:sz w:val="22"/>
                <w:szCs w:val="22"/>
              </w:rPr>
              <w:t>HI</w:t>
            </w:r>
          </w:p>
        </w:tc>
        <w:tc>
          <w:tcPr>
            <w:tcW w:w="7320" w:type="dxa"/>
          </w:tcPr>
          <w:p w14:paraId="172CF772" w14:textId="68E614D4" w:rsidR="00205E66" w:rsidRPr="005B5418" w:rsidRDefault="00205E66">
            <w:pPr>
              <w:pStyle w:val="Table-Cell-Left"/>
              <w:spacing w:line="240" w:lineRule="auto"/>
              <w:jc w:val="left"/>
              <w:rPr>
                <w:rFonts w:eastAsia="Arial Unicode MS" w:cs="Arial"/>
                <w:sz w:val="22"/>
                <w:szCs w:val="22"/>
              </w:rPr>
            </w:pPr>
            <w:r w:rsidRPr="005B5418">
              <w:rPr>
                <w:rFonts w:eastAsia="Arial Unicode MS" w:cs="Arial"/>
                <w:sz w:val="22"/>
                <w:szCs w:val="22"/>
              </w:rPr>
              <w:t>Hospital Insurance</w:t>
            </w:r>
          </w:p>
        </w:tc>
      </w:tr>
      <w:tr w:rsidR="00120D17" w:rsidRPr="005B5418" w14:paraId="65E67755" w14:textId="77777777" w:rsidTr="0085039F">
        <w:tc>
          <w:tcPr>
            <w:tcW w:w="1886" w:type="dxa"/>
          </w:tcPr>
          <w:p w14:paraId="30CD2D35" w14:textId="77777777" w:rsidR="00120D17" w:rsidRPr="005B5418" w:rsidRDefault="00120D17" w:rsidP="003B61E9">
            <w:pPr>
              <w:pStyle w:val="Table-Cell-Left"/>
              <w:spacing w:line="240" w:lineRule="auto"/>
              <w:rPr>
                <w:rFonts w:cs="Arial"/>
                <w:sz w:val="22"/>
                <w:szCs w:val="22"/>
              </w:rPr>
            </w:pPr>
            <w:r w:rsidRPr="005B5418">
              <w:rPr>
                <w:rFonts w:cs="Arial"/>
                <w:sz w:val="22"/>
                <w:szCs w:val="22"/>
              </w:rPr>
              <w:t>IBNR</w:t>
            </w:r>
          </w:p>
        </w:tc>
        <w:tc>
          <w:tcPr>
            <w:tcW w:w="7320" w:type="dxa"/>
          </w:tcPr>
          <w:p w14:paraId="4A4C22F9" w14:textId="4345218B" w:rsidR="00120D17" w:rsidRPr="005B5418" w:rsidRDefault="00330DA6" w:rsidP="00330DA6">
            <w:pPr>
              <w:pStyle w:val="Table-Cell-Left"/>
              <w:spacing w:line="240" w:lineRule="auto"/>
              <w:rPr>
                <w:rFonts w:cs="Arial"/>
                <w:sz w:val="22"/>
                <w:szCs w:val="22"/>
              </w:rPr>
            </w:pPr>
            <w:r w:rsidRPr="005B5418">
              <w:rPr>
                <w:sz w:val="22"/>
                <w:szCs w:val="22"/>
              </w:rPr>
              <w:t>incurred but not reported</w:t>
            </w:r>
          </w:p>
        </w:tc>
      </w:tr>
      <w:tr w:rsidR="00205E66" w:rsidRPr="005B5418" w14:paraId="15032515" w14:textId="77777777" w:rsidTr="005D5580">
        <w:tc>
          <w:tcPr>
            <w:tcW w:w="1886" w:type="dxa"/>
          </w:tcPr>
          <w:p w14:paraId="349D20F8" w14:textId="514ADECB" w:rsidR="00205E66" w:rsidRPr="005B5418" w:rsidRDefault="00205E66" w:rsidP="003B61E9">
            <w:pPr>
              <w:pStyle w:val="Table-Cell-Left"/>
              <w:spacing w:line="240" w:lineRule="auto"/>
              <w:rPr>
                <w:rFonts w:cs="Arial"/>
                <w:sz w:val="22"/>
                <w:szCs w:val="22"/>
              </w:rPr>
            </w:pPr>
            <w:r w:rsidRPr="005B5418">
              <w:rPr>
                <w:rFonts w:cs="Arial"/>
                <w:sz w:val="22"/>
                <w:szCs w:val="22"/>
              </w:rPr>
              <w:t>IG</w:t>
            </w:r>
          </w:p>
        </w:tc>
        <w:tc>
          <w:tcPr>
            <w:tcW w:w="7320" w:type="dxa"/>
          </w:tcPr>
          <w:p w14:paraId="0B068AAF" w14:textId="336FDF6D" w:rsidR="00205E66" w:rsidRPr="005B5418" w:rsidDel="00330DA6" w:rsidRDefault="00205E66" w:rsidP="00330DA6">
            <w:pPr>
              <w:pStyle w:val="Table-Cell-Left"/>
              <w:spacing w:line="240" w:lineRule="auto"/>
              <w:rPr>
                <w:sz w:val="22"/>
                <w:szCs w:val="22"/>
              </w:rPr>
            </w:pPr>
            <w:r w:rsidRPr="005B5418">
              <w:rPr>
                <w:sz w:val="22"/>
                <w:szCs w:val="22"/>
              </w:rPr>
              <w:t>inspector general</w:t>
            </w:r>
          </w:p>
        </w:tc>
      </w:tr>
      <w:tr w:rsidR="00303527" w:rsidRPr="005B5418" w14:paraId="4B1AFE01" w14:textId="77777777" w:rsidTr="0085039F">
        <w:tc>
          <w:tcPr>
            <w:tcW w:w="1886" w:type="dxa"/>
          </w:tcPr>
          <w:p w14:paraId="557CDFA7"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IMF</w:t>
            </w:r>
          </w:p>
        </w:tc>
        <w:tc>
          <w:tcPr>
            <w:tcW w:w="7320" w:type="dxa"/>
          </w:tcPr>
          <w:p w14:paraId="329CF976" w14:textId="77777777" w:rsidR="00303527" w:rsidRPr="005B5418" w:rsidRDefault="00303527" w:rsidP="003B61E9">
            <w:pPr>
              <w:pStyle w:val="Table-Cell-Left"/>
              <w:spacing w:line="240" w:lineRule="auto"/>
              <w:rPr>
                <w:rFonts w:eastAsia="Arial Unicode MS" w:cs="Arial"/>
                <w:sz w:val="22"/>
                <w:szCs w:val="22"/>
              </w:rPr>
            </w:pPr>
            <w:r w:rsidRPr="005B5418">
              <w:rPr>
                <w:rFonts w:eastAsia="Arial Unicode MS" w:cs="Arial"/>
                <w:sz w:val="22"/>
                <w:szCs w:val="22"/>
              </w:rPr>
              <w:t>International Monetary Fund</w:t>
            </w:r>
          </w:p>
        </w:tc>
      </w:tr>
      <w:tr w:rsidR="000C6AD2" w:rsidRPr="005B5418" w14:paraId="0949D8F3" w14:textId="77777777" w:rsidTr="0085039F">
        <w:tc>
          <w:tcPr>
            <w:tcW w:w="1886" w:type="dxa"/>
          </w:tcPr>
          <w:p w14:paraId="658F59E8" w14:textId="77777777" w:rsidR="000C6AD2" w:rsidRPr="005B5418" w:rsidRDefault="000C6AD2" w:rsidP="003B61E9">
            <w:pPr>
              <w:pStyle w:val="Table-Cell-Left"/>
              <w:spacing w:line="240" w:lineRule="auto"/>
              <w:rPr>
                <w:rFonts w:cs="Arial"/>
                <w:sz w:val="22"/>
                <w:szCs w:val="22"/>
              </w:rPr>
            </w:pPr>
            <w:r w:rsidRPr="005B5418">
              <w:rPr>
                <w:rFonts w:cs="Arial"/>
                <w:sz w:val="22"/>
                <w:szCs w:val="22"/>
              </w:rPr>
              <w:t>MD&amp;A</w:t>
            </w:r>
          </w:p>
        </w:tc>
        <w:tc>
          <w:tcPr>
            <w:tcW w:w="7320" w:type="dxa"/>
          </w:tcPr>
          <w:p w14:paraId="4779088D" w14:textId="77777777" w:rsidR="000C6AD2" w:rsidRPr="005B5418" w:rsidRDefault="000C6AD2" w:rsidP="003B61E9">
            <w:pPr>
              <w:pStyle w:val="Table-Cell-Left"/>
              <w:spacing w:line="240" w:lineRule="auto"/>
              <w:rPr>
                <w:rFonts w:cs="Arial"/>
                <w:sz w:val="22"/>
                <w:szCs w:val="22"/>
              </w:rPr>
            </w:pPr>
            <w:r w:rsidRPr="005B5418">
              <w:rPr>
                <w:rFonts w:cs="Arial"/>
                <w:sz w:val="22"/>
                <w:szCs w:val="22"/>
              </w:rPr>
              <w:t>Management’s Discussion and Analysis</w:t>
            </w:r>
          </w:p>
        </w:tc>
      </w:tr>
      <w:tr w:rsidR="000C6AD2" w:rsidRPr="005B5418" w14:paraId="66F4DFB0" w14:textId="77777777" w:rsidTr="0085039F">
        <w:tc>
          <w:tcPr>
            <w:tcW w:w="1886" w:type="dxa"/>
          </w:tcPr>
          <w:p w14:paraId="71149FF1"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MRS</w:t>
            </w:r>
          </w:p>
        </w:tc>
        <w:tc>
          <w:tcPr>
            <w:tcW w:w="7320" w:type="dxa"/>
          </w:tcPr>
          <w:p w14:paraId="3F48CD32"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Military Retirement System</w:t>
            </w:r>
          </w:p>
        </w:tc>
      </w:tr>
      <w:tr w:rsidR="004A32B1" w:rsidRPr="005B5418" w14:paraId="727E805C" w14:textId="77777777" w:rsidTr="0085039F">
        <w:tc>
          <w:tcPr>
            <w:tcW w:w="1886" w:type="dxa"/>
          </w:tcPr>
          <w:p w14:paraId="5B364BB0" w14:textId="77777777" w:rsidR="004A32B1" w:rsidRPr="005B5418" w:rsidRDefault="004A32B1" w:rsidP="003B61E9">
            <w:pPr>
              <w:pStyle w:val="Table-Cell-Left"/>
              <w:spacing w:line="240" w:lineRule="auto"/>
              <w:rPr>
                <w:rFonts w:eastAsia="Arial Unicode MS" w:cs="Arial"/>
                <w:sz w:val="22"/>
                <w:szCs w:val="22"/>
              </w:rPr>
            </w:pPr>
            <w:r w:rsidRPr="005B5418">
              <w:rPr>
                <w:rFonts w:eastAsia="Arial Unicode MS" w:cs="Arial"/>
                <w:sz w:val="22"/>
                <w:szCs w:val="22"/>
              </w:rPr>
              <w:t>NRV</w:t>
            </w:r>
          </w:p>
        </w:tc>
        <w:tc>
          <w:tcPr>
            <w:tcW w:w="7320" w:type="dxa"/>
          </w:tcPr>
          <w:p w14:paraId="4D02763A" w14:textId="32071DDD" w:rsidR="004A32B1" w:rsidRPr="005B5418" w:rsidRDefault="00330DA6" w:rsidP="00330DA6">
            <w:pPr>
              <w:pStyle w:val="Table-Cell-Left"/>
              <w:spacing w:line="240" w:lineRule="auto"/>
              <w:rPr>
                <w:rFonts w:eastAsia="Arial Unicode MS" w:cs="Arial"/>
                <w:sz w:val="22"/>
                <w:szCs w:val="22"/>
              </w:rPr>
            </w:pPr>
            <w:r w:rsidRPr="005B5418">
              <w:rPr>
                <w:rFonts w:eastAsia="Arial Unicode MS" w:cs="Arial"/>
                <w:sz w:val="22"/>
                <w:szCs w:val="22"/>
              </w:rPr>
              <w:t>net realizable value</w:t>
            </w:r>
          </w:p>
        </w:tc>
      </w:tr>
      <w:tr w:rsidR="000C6AD2" w:rsidRPr="005B5418" w14:paraId="40F73F90" w14:textId="77777777" w:rsidTr="0085039F">
        <w:tc>
          <w:tcPr>
            <w:tcW w:w="1886" w:type="dxa"/>
          </w:tcPr>
          <w:p w14:paraId="7A0F3BD6" w14:textId="77777777" w:rsidR="000C6AD2" w:rsidRPr="005B5418" w:rsidRDefault="000C6AD2" w:rsidP="003B61E9">
            <w:pPr>
              <w:pStyle w:val="Table-Cell-Left"/>
              <w:spacing w:line="240" w:lineRule="auto"/>
              <w:rPr>
                <w:rFonts w:cs="Arial"/>
                <w:sz w:val="22"/>
                <w:szCs w:val="22"/>
              </w:rPr>
            </w:pPr>
            <w:r w:rsidRPr="005B5418">
              <w:rPr>
                <w:rFonts w:cs="Arial"/>
                <w:sz w:val="22"/>
                <w:szCs w:val="22"/>
              </w:rPr>
              <w:t>OI</w:t>
            </w:r>
          </w:p>
        </w:tc>
        <w:tc>
          <w:tcPr>
            <w:tcW w:w="7320" w:type="dxa"/>
          </w:tcPr>
          <w:p w14:paraId="357768AB" w14:textId="340E6CB7" w:rsidR="000C6AD2" w:rsidRPr="005B5418" w:rsidRDefault="00330DA6" w:rsidP="00330DA6">
            <w:pPr>
              <w:pStyle w:val="Table-Cell-Left"/>
              <w:spacing w:line="240" w:lineRule="auto"/>
              <w:rPr>
                <w:rFonts w:cs="Arial"/>
                <w:sz w:val="22"/>
                <w:szCs w:val="22"/>
              </w:rPr>
            </w:pPr>
            <w:r w:rsidRPr="005B5418">
              <w:rPr>
                <w:rFonts w:cs="Arial"/>
                <w:sz w:val="22"/>
                <w:szCs w:val="22"/>
              </w:rPr>
              <w:t>other information</w:t>
            </w:r>
          </w:p>
        </w:tc>
      </w:tr>
      <w:tr w:rsidR="000C6AD2" w:rsidRPr="005B5418" w14:paraId="42C1AEEB" w14:textId="77777777" w:rsidTr="0085039F">
        <w:tc>
          <w:tcPr>
            <w:tcW w:w="1886" w:type="dxa"/>
          </w:tcPr>
          <w:p w14:paraId="684E502D" w14:textId="77777777" w:rsidR="000C6AD2" w:rsidRPr="005B5418" w:rsidRDefault="000C6AD2" w:rsidP="003B61E9">
            <w:pPr>
              <w:pStyle w:val="Table-Cell-Left"/>
              <w:spacing w:line="240" w:lineRule="auto"/>
              <w:rPr>
                <w:rFonts w:cs="Arial"/>
                <w:sz w:val="22"/>
                <w:szCs w:val="22"/>
              </w:rPr>
            </w:pPr>
            <w:r w:rsidRPr="005B5418">
              <w:rPr>
                <w:rFonts w:cs="Arial"/>
                <w:sz w:val="22"/>
                <w:szCs w:val="22"/>
              </w:rPr>
              <w:t>OASDI</w:t>
            </w:r>
          </w:p>
        </w:tc>
        <w:tc>
          <w:tcPr>
            <w:tcW w:w="7320" w:type="dxa"/>
          </w:tcPr>
          <w:p w14:paraId="1F66B886" w14:textId="77777777" w:rsidR="000C6AD2" w:rsidRPr="005B5418" w:rsidRDefault="000C6AD2" w:rsidP="003B61E9">
            <w:pPr>
              <w:pStyle w:val="Table-Cell-Left"/>
              <w:spacing w:line="240" w:lineRule="auto"/>
              <w:rPr>
                <w:rFonts w:cs="Arial"/>
                <w:sz w:val="22"/>
                <w:szCs w:val="22"/>
              </w:rPr>
            </w:pPr>
            <w:r w:rsidRPr="005B5418">
              <w:rPr>
                <w:rFonts w:cs="Arial"/>
                <w:sz w:val="22"/>
                <w:szCs w:val="22"/>
              </w:rPr>
              <w:t>Old Age, Survivors, and Disability Insurance</w:t>
            </w:r>
          </w:p>
        </w:tc>
      </w:tr>
      <w:tr w:rsidR="000C6AD2" w:rsidRPr="005B5418" w14:paraId="53C65453" w14:textId="77777777" w:rsidTr="0085039F">
        <w:tc>
          <w:tcPr>
            <w:tcW w:w="1886" w:type="dxa"/>
          </w:tcPr>
          <w:p w14:paraId="1B6036BA"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OMB</w:t>
            </w:r>
          </w:p>
        </w:tc>
        <w:tc>
          <w:tcPr>
            <w:tcW w:w="7320" w:type="dxa"/>
          </w:tcPr>
          <w:p w14:paraId="552050BD"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Office of Management and Budget</w:t>
            </w:r>
          </w:p>
        </w:tc>
      </w:tr>
      <w:tr w:rsidR="000C6AD2" w:rsidRPr="005B5418" w14:paraId="4E9C0AA7" w14:textId="77777777" w:rsidTr="0085039F">
        <w:tc>
          <w:tcPr>
            <w:tcW w:w="1886" w:type="dxa"/>
          </w:tcPr>
          <w:p w14:paraId="7A9DE30B"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OPEB</w:t>
            </w:r>
          </w:p>
        </w:tc>
        <w:tc>
          <w:tcPr>
            <w:tcW w:w="7320" w:type="dxa"/>
          </w:tcPr>
          <w:p w14:paraId="161C169C"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Other Post-Employment Benefits</w:t>
            </w:r>
          </w:p>
        </w:tc>
      </w:tr>
      <w:tr w:rsidR="000C6AD2" w:rsidRPr="005B5418" w14:paraId="40E9F211" w14:textId="77777777" w:rsidTr="0085039F">
        <w:tc>
          <w:tcPr>
            <w:tcW w:w="1886" w:type="dxa"/>
          </w:tcPr>
          <w:p w14:paraId="53519A69"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ORB</w:t>
            </w:r>
          </w:p>
        </w:tc>
        <w:tc>
          <w:tcPr>
            <w:tcW w:w="7320" w:type="dxa"/>
          </w:tcPr>
          <w:p w14:paraId="7C9D7DA4"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Other Retirement Benefits</w:t>
            </w:r>
          </w:p>
        </w:tc>
      </w:tr>
      <w:tr w:rsidR="005E24E5" w:rsidRPr="005B5418" w14:paraId="0808DA02" w14:textId="77777777" w:rsidTr="0085039F">
        <w:tc>
          <w:tcPr>
            <w:tcW w:w="1886" w:type="dxa"/>
          </w:tcPr>
          <w:p w14:paraId="25D73DB5" w14:textId="6CA2FC7F" w:rsidR="005E24E5" w:rsidRPr="005B5418" w:rsidRDefault="005E24E5" w:rsidP="003B61E9">
            <w:pPr>
              <w:pStyle w:val="Table-Cell-Left"/>
              <w:spacing w:line="240" w:lineRule="auto"/>
              <w:rPr>
                <w:rFonts w:cs="Arial"/>
                <w:sz w:val="22"/>
                <w:szCs w:val="22"/>
              </w:rPr>
            </w:pPr>
            <w:r>
              <w:rPr>
                <w:rFonts w:cs="Arial"/>
                <w:sz w:val="22"/>
                <w:szCs w:val="22"/>
              </w:rPr>
              <w:t>P3</w:t>
            </w:r>
          </w:p>
        </w:tc>
        <w:tc>
          <w:tcPr>
            <w:tcW w:w="7320" w:type="dxa"/>
          </w:tcPr>
          <w:p w14:paraId="4D671E79" w14:textId="1CAFF529" w:rsidR="005E24E5" w:rsidRPr="005B5418" w:rsidRDefault="005E24E5" w:rsidP="00330DA6">
            <w:pPr>
              <w:pStyle w:val="Table-Cell-Left"/>
              <w:spacing w:line="240" w:lineRule="auto"/>
              <w:rPr>
                <w:rFonts w:cs="Arial"/>
                <w:sz w:val="22"/>
                <w:szCs w:val="22"/>
              </w:rPr>
            </w:pPr>
            <w:r>
              <w:rPr>
                <w:rFonts w:cs="Arial"/>
                <w:sz w:val="22"/>
                <w:szCs w:val="22"/>
              </w:rPr>
              <w:t>Public-Private Partnership</w:t>
            </w:r>
          </w:p>
        </w:tc>
      </w:tr>
      <w:tr w:rsidR="000C6AD2" w:rsidRPr="005B5418" w14:paraId="49729E83" w14:textId="77777777" w:rsidTr="0085039F">
        <w:tc>
          <w:tcPr>
            <w:tcW w:w="1886" w:type="dxa"/>
          </w:tcPr>
          <w:p w14:paraId="69F848D2" w14:textId="77777777" w:rsidR="000C6AD2" w:rsidRPr="005B5418" w:rsidRDefault="000C6AD2" w:rsidP="003B61E9">
            <w:pPr>
              <w:pStyle w:val="Table-Cell-Left"/>
              <w:spacing w:line="240" w:lineRule="auto"/>
              <w:rPr>
                <w:rFonts w:cs="Arial"/>
                <w:sz w:val="22"/>
                <w:szCs w:val="22"/>
              </w:rPr>
            </w:pPr>
            <w:r w:rsidRPr="005B5418">
              <w:rPr>
                <w:rFonts w:cs="Arial"/>
                <w:sz w:val="22"/>
                <w:szCs w:val="22"/>
              </w:rPr>
              <w:t>PAR</w:t>
            </w:r>
          </w:p>
        </w:tc>
        <w:tc>
          <w:tcPr>
            <w:tcW w:w="7320" w:type="dxa"/>
          </w:tcPr>
          <w:p w14:paraId="750E878A" w14:textId="02B24B0F" w:rsidR="000C6AD2" w:rsidRPr="005B5418" w:rsidRDefault="00330DA6" w:rsidP="00330DA6">
            <w:pPr>
              <w:pStyle w:val="Table-Cell-Left"/>
              <w:spacing w:line="240" w:lineRule="auto"/>
              <w:rPr>
                <w:rFonts w:cs="Arial"/>
                <w:sz w:val="22"/>
                <w:szCs w:val="22"/>
              </w:rPr>
            </w:pPr>
            <w:r w:rsidRPr="005B5418">
              <w:rPr>
                <w:rFonts w:cs="Arial"/>
                <w:sz w:val="22"/>
                <w:szCs w:val="22"/>
              </w:rPr>
              <w:t xml:space="preserve">performance </w:t>
            </w:r>
            <w:r w:rsidR="000C6AD2" w:rsidRPr="005B5418">
              <w:rPr>
                <w:rFonts w:cs="Arial"/>
                <w:sz w:val="22"/>
                <w:szCs w:val="22"/>
              </w:rPr>
              <w:t xml:space="preserve">and </w:t>
            </w:r>
            <w:r w:rsidRPr="005B5418">
              <w:rPr>
                <w:rFonts w:cs="Arial"/>
                <w:sz w:val="22"/>
                <w:szCs w:val="22"/>
              </w:rPr>
              <w:t>accountability report</w:t>
            </w:r>
          </w:p>
        </w:tc>
      </w:tr>
      <w:tr w:rsidR="000C6AD2" w:rsidRPr="005B5418" w14:paraId="77F3029B" w14:textId="77777777" w:rsidTr="0085039F">
        <w:tc>
          <w:tcPr>
            <w:tcW w:w="1886" w:type="dxa"/>
          </w:tcPr>
          <w:p w14:paraId="63AE5A16"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PP&amp;E</w:t>
            </w:r>
          </w:p>
        </w:tc>
        <w:tc>
          <w:tcPr>
            <w:tcW w:w="7320" w:type="dxa"/>
          </w:tcPr>
          <w:p w14:paraId="32C2D85C" w14:textId="6CE57568" w:rsidR="000C6AD2" w:rsidRPr="005B5418" w:rsidRDefault="00330DA6" w:rsidP="00330DA6">
            <w:pPr>
              <w:pStyle w:val="Table-Cell-Left"/>
              <w:spacing w:line="240" w:lineRule="auto"/>
              <w:rPr>
                <w:rFonts w:eastAsia="Arial Unicode MS" w:cs="Arial"/>
                <w:sz w:val="22"/>
                <w:szCs w:val="22"/>
              </w:rPr>
            </w:pPr>
            <w:r w:rsidRPr="005B5418">
              <w:rPr>
                <w:rFonts w:eastAsia="Arial Unicode MS" w:cs="Arial"/>
                <w:sz w:val="22"/>
                <w:szCs w:val="22"/>
              </w:rPr>
              <w:t>property</w:t>
            </w:r>
            <w:r w:rsidR="000C6AD2" w:rsidRPr="005B5418">
              <w:rPr>
                <w:rFonts w:eastAsia="Arial Unicode MS" w:cs="Arial"/>
                <w:sz w:val="22"/>
                <w:szCs w:val="22"/>
              </w:rPr>
              <w:t xml:space="preserve">, </w:t>
            </w:r>
            <w:r w:rsidRPr="005B5418">
              <w:rPr>
                <w:rFonts w:eastAsia="Arial Unicode MS" w:cs="Arial"/>
                <w:sz w:val="22"/>
                <w:szCs w:val="22"/>
              </w:rPr>
              <w:t>plant</w:t>
            </w:r>
            <w:r w:rsidR="000C6AD2" w:rsidRPr="005B5418">
              <w:rPr>
                <w:rFonts w:eastAsia="Arial Unicode MS" w:cs="Arial"/>
                <w:sz w:val="22"/>
                <w:szCs w:val="22"/>
              </w:rPr>
              <w:t xml:space="preserve">, and </w:t>
            </w:r>
            <w:r w:rsidRPr="005B5418">
              <w:rPr>
                <w:rFonts w:eastAsia="Arial Unicode MS" w:cs="Arial"/>
                <w:sz w:val="22"/>
                <w:szCs w:val="22"/>
              </w:rPr>
              <w:t>equipment</w:t>
            </w:r>
          </w:p>
        </w:tc>
      </w:tr>
      <w:tr w:rsidR="000C6AD2" w:rsidRPr="005B5418" w14:paraId="39E6FC0E" w14:textId="77777777" w:rsidTr="0085039F">
        <w:tc>
          <w:tcPr>
            <w:tcW w:w="1886" w:type="dxa"/>
          </w:tcPr>
          <w:p w14:paraId="52528826"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RSI</w:t>
            </w:r>
          </w:p>
        </w:tc>
        <w:tc>
          <w:tcPr>
            <w:tcW w:w="7320" w:type="dxa"/>
          </w:tcPr>
          <w:p w14:paraId="433DEE2D" w14:textId="453C612C" w:rsidR="000C6AD2" w:rsidRPr="005B5418" w:rsidRDefault="00330DA6" w:rsidP="00330DA6">
            <w:pPr>
              <w:pStyle w:val="Table-Cell-Left"/>
              <w:spacing w:line="240" w:lineRule="auto"/>
              <w:rPr>
                <w:rFonts w:eastAsia="Arial Unicode MS" w:cs="Arial"/>
                <w:sz w:val="22"/>
                <w:szCs w:val="22"/>
              </w:rPr>
            </w:pPr>
            <w:r w:rsidRPr="005B5418">
              <w:rPr>
                <w:rFonts w:eastAsia="Arial Unicode MS" w:cs="Arial"/>
                <w:sz w:val="22"/>
                <w:szCs w:val="22"/>
              </w:rPr>
              <w:t>required supplementary information</w:t>
            </w:r>
          </w:p>
        </w:tc>
      </w:tr>
      <w:tr w:rsidR="000C6AD2" w:rsidRPr="005B5418" w14:paraId="4E32318B" w14:textId="77777777" w:rsidTr="0085039F">
        <w:tc>
          <w:tcPr>
            <w:tcW w:w="1886" w:type="dxa"/>
          </w:tcPr>
          <w:p w14:paraId="6D607867"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SBR</w:t>
            </w:r>
          </w:p>
        </w:tc>
        <w:tc>
          <w:tcPr>
            <w:tcW w:w="7320" w:type="dxa"/>
          </w:tcPr>
          <w:p w14:paraId="28F80706"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Statement of Budgetary Resources</w:t>
            </w:r>
          </w:p>
        </w:tc>
      </w:tr>
      <w:tr w:rsidR="000C6AD2" w:rsidRPr="005B5418" w14:paraId="578915D5" w14:textId="77777777" w:rsidTr="0085039F">
        <w:tc>
          <w:tcPr>
            <w:tcW w:w="1886" w:type="dxa"/>
          </w:tcPr>
          <w:p w14:paraId="76A37C75"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SCA</w:t>
            </w:r>
          </w:p>
        </w:tc>
        <w:tc>
          <w:tcPr>
            <w:tcW w:w="7320" w:type="dxa"/>
          </w:tcPr>
          <w:p w14:paraId="78EA81F9"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Statement of Custodial Activity</w:t>
            </w:r>
          </w:p>
        </w:tc>
      </w:tr>
      <w:tr w:rsidR="000C6AD2" w:rsidRPr="005B5418" w14:paraId="1B4CF150" w14:textId="77777777" w:rsidTr="0085039F">
        <w:tc>
          <w:tcPr>
            <w:tcW w:w="1886" w:type="dxa"/>
          </w:tcPr>
          <w:p w14:paraId="41176744"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lastRenderedPageBreak/>
              <w:t>SCNP</w:t>
            </w:r>
          </w:p>
        </w:tc>
        <w:tc>
          <w:tcPr>
            <w:tcW w:w="7320" w:type="dxa"/>
          </w:tcPr>
          <w:p w14:paraId="39E18235"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Statement of Change</w:t>
            </w:r>
            <w:r w:rsidR="00872A72" w:rsidRPr="005B5418">
              <w:rPr>
                <w:rFonts w:eastAsia="Arial Unicode MS" w:cs="Arial"/>
                <w:sz w:val="22"/>
                <w:szCs w:val="22"/>
              </w:rPr>
              <w:t>s</w:t>
            </w:r>
            <w:r w:rsidRPr="005B5418">
              <w:rPr>
                <w:rFonts w:eastAsia="Arial Unicode MS" w:cs="Arial"/>
                <w:sz w:val="22"/>
                <w:szCs w:val="22"/>
              </w:rPr>
              <w:t xml:space="preserve"> in Net Position</w:t>
            </w:r>
          </w:p>
        </w:tc>
      </w:tr>
      <w:tr w:rsidR="000C6AD2" w:rsidRPr="005B5418" w14:paraId="76BE5F9C" w14:textId="77777777" w:rsidTr="0085039F">
        <w:tc>
          <w:tcPr>
            <w:tcW w:w="1886" w:type="dxa"/>
          </w:tcPr>
          <w:p w14:paraId="71D25D88"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SCSIA</w:t>
            </w:r>
          </w:p>
        </w:tc>
        <w:tc>
          <w:tcPr>
            <w:tcW w:w="7320" w:type="dxa"/>
          </w:tcPr>
          <w:p w14:paraId="2E5B1195"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Statement of Changes in Social Insurance Amounts</w:t>
            </w:r>
          </w:p>
        </w:tc>
      </w:tr>
      <w:tr w:rsidR="000C6AD2" w:rsidRPr="005B5418" w14:paraId="45DA2F04" w14:textId="77777777" w:rsidTr="0085039F">
        <w:tc>
          <w:tcPr>
            <w:tcW w:w="1886" w:type="dxa"/>
          </w:tcPr>
          <w:p w14:paraId="0066E5C0"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SFFAC</w:t>
            </w:r>
          </w:p>
        </w:tc>
        <w:tc>
          <w:tcPr>
            <w:tcW w:w="7320" w:type="dxa"/>
          </w:tcPr>
          <w:p w14:paraId="0688B6D1" w14:textId="77777777" w:rsidR="000C6AD2" w:rsidRPr="005B5418" w:rsidRDefault="000C6AD2" w:rsidP="00872A72">
            <w:pPr>
              <w:pStyle w:val="Table-Cell-Left"/>
              <w:spacing w:line="240" w:lineRule="auto"/>
              <w:rPr>
                <w:rFonts w:eastAsia="Arial Unicode MS" w:cs="Arial"/>
                <w:sz w:val="22"/>
                <w:szCs w:val="22"/>
              </w:rPr>
            </w:pPr>
            <w:r w:rsidRPr="005B5418">
              <w:rPr>
                <w:rFonts w:eastAsia="Arial Unicode MS" w:cs="Arial"/>
                <w:sz w:val="22"/>
                <w:szCs w:val="22"/>
              </w:rPr>
              <w:t>Statement of Federal Financial Accounting Concepts</w:t>
            </w:r>
          </w:p>
        </w:tc>
      </w:tr>
      <w:tr w:rsidR="000C6AD2" w:rsidRPr="005B5418" w14:paraId="40556D23" w14:textId="77777777" w:rsidTr="0085039F">
        <w:tc>
          <w:tcPr>
            <w:tcW w:w="1886" w:type="dxa"/>
          </w:tcPr>
          <w:p w14:paraId="5E4A926A"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SFFAS</w:t>
            </w:r>
          </w:p>
        </w:tc>
        <w:tc>
          <w:tcPr>
            <w:tcW w:w="7320" w:type="dxa"/>
          </w:tcPr>
          <w:p w14:paraId="6DDFDE06" w14:textId="77777777" w:rsidR="000C6AD2" w:rsidRPr="005B5418" w:rsidRDefault="000C6AD2" w:rsidP="00872A72">
            <w:pPr>
              <w:pStyle w:val="Table-Cell-Left"/>
              <w:spacing w:line="240" w:lineRule="auto"/>
              <w:rPr>
                <w:rFonts w:eastAsia="Arial Unicode MS" w:cs="Arial"/>
                <w:sz w:val="22"/>
                <w:szCs w:val="22"/>
              </w:rPr>
            </w:pPr>
            <w:r w:rsidRPr="005B5418">
              <w:rPr>
                <w:rFonts w:eastAsia="Arial Unicode MS" w:cs="Arial"/>
                <w:sz w:val="22"/>
                <w:szCs w:val="22"/>
              </w:rPr>
              <w:t>Statement of Federal Financial Accounting Standards</w:t>
            </w:r>
          </w:p>
        </w:tc>
      </w:tr>
      <w:tr w:rsidR="000C6AD2" w:rsidRPr="005B5418" w14:paraId="1126E339" w14:textId="77777777" w:rsidTr="0085039F">
        <w:tc>
          <w:tcPr>
            <w:tcW w:w="1886" w:type="dxa"/>
          </w:tcPr>
          <w:p w14:paraId="3981283E"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SNC</w:t>
            </w:r>
          </w:p>
        </w:tc>
        <w:tc>
          <w:tcPr>
            <w:tcW w:w="7320" w:type="dxa"/>
          </w:tcPr>
          <w:p w14:paraId="2AF1967C"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Statement of Net Cost</w:t>
            </w:r>
          </w:p>
        </w:tc>
      </w:tr>
      <w:tr w:rsidR="000C6AD2" w:rsidRPr="005B5418" w14:paraId="4EA5C9E0" w14:textId="77777777" w:rsidTr="0085039F">
        <w:tc>
          <w:tcPr>
            <w:tcW w:w="1886" w:type="dxa"/>
          </w:tcPr>
          <w:p w14:paraId="1BE7C2D2"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SOSI</w:t>
            </w:r>
          </w:p>
        </w:tc>
        <w:tc>
          <w:tcPr>
            <w:tcW w:w="7320" w:type="dxa"/>
          </w:tcPr>
          <w:p w14:paraId="2529C636"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Statement of Social Insurance</w:t>
            </w:r>
          </w:p>
        </w:tc>
      </w:tr>
      <w:tr w:rsidR="00E9232C" w:rsidRPr="005B5418" w14:paraId="1844AC6B" w14:textId="77777777" w:rsidTr="0085039F">
        <w:tc>
          <w:tcPr>
            <w:tcW w:w="1886" w:type="dxa"/>
          </w:tcPr>
          <w:p w14:paraId="6D792A59" w14:textId="0083AB56" w:rsidR="00E9232C" w:rsidRPr="005B5418" w:rsidRDefault="00E9232C" w:rsidP="003B61E9">
            <w:pPr>
              <w:pStyle w:val="Table-Cell-Left"/>
              <w:spacing w:line="240" w:lineRule="auto"/>
              <w:rPr>
                <w:rFonts w:eastAsia="Arial Unicode MS" w:cs="Arial"/>
                <w:sz w:val="22"/>
                <w:szCs w:val="22"/>
              </w:rPr>
            </w:pPr>
            <w:r w:rsidRPr="005B5418">
              <w:rPr>
                <w:rFonts w:eastAsia="Arial Unicode MS" w:cs="Arial"/>
                <w:sz w:val="22"/>
                <w:szCs w:val="22"/>
              </w:rPr>
              <w:t>TB</w:t>
            </w:r>
          </w:p>
        </w:tc>
        <w:tc>
          <w:tcPr>
            <w:tcW w:w="7320" w:type="dxa"/>
          </w:tcPr>
          <w:p w14:paraId="5C5A88F3" w14:textId="07E66EEF" w:rsidR="00E9232C" w:rsidRPr="005B5418" w:rsidRDefault="00E9232C" w:rsidP="003B61E9">
            <w:pPr>
              <w:pStyle w:val="Table-Cell-Left"/>
              <w:spacing w:line="240" w:lineRule="auto"/>
              <w:rPr>
                <w:rFonts w:eastAsia="Arial Unicode MS" w:cs="Arial"/>
                <w:sz w:val="22"/>
                <w:szCs w:val="22"/>
              </w:rPr>
            </w:pPr>
            <w:r w:rsidRPr="005B5418">
              <w:rPr>
                <w:rFonts w:eastAsia="Arial Unicode MS" w:cs="Arial"/>
                <w:sz w:val="22"/>
                <w:szCs w:val="22"/>
              </w:rPr>
              <w:t>Technical Bulletin</w:t>
            </w:r>
          </w:p>
        </w:tc>
      </w:tr>
      <w:tr w:rsidR="000C6AD2" w:rsidRPr="005B5418" w14:paraId="6992C67D" w14:textId="77777777" w:rsidTr="0085039F">
        <w:tc>
          <w:tcPr>
            <w:tcW w:w="1886" w:type="dxa"/>
          </w:tcPr>
          <w:p w14:paraId="493E826C"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TFM</w:t>
            </w:r>
          </w:p>
        </w:tc>
        <w:tc>
          <w:tcPr>
            <w:tcW w:w="7320" w:type="dxa"/>
          </w:tcPr>
          <w:p w14:paraId="7E1E4039"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 xml:space="preserve">Treasury Financial Manual </w:t>
            </w:r>
          </w:p>
        </w:tc>
      </w:tr>
      <w:tr w:rsidR="000C6AD2" w:rsidRPr="005B5418" w14:paraId="7C05BE2F" w14:textId="77777777" w:rsidTr="0085039F">
        <w:tc>
          <w:tcPr>
            <w:tcW w:w="1886" w:type="dxa"/>
          </w:tcPr>
          <w:p w14:paraId="3ED585F2"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TR</w:t>
            </w:r>
          </w:p>
        </w:tc>
        <w:tc>
          <w:tcPr>
            <w:tcW w:w="7320" w:type="dxa"/>
          </w:tcPr>
          <w:p w14:paraId="20807B45" w14:textId="306121F2" w:rsidR="000C6AD2" w:rsidRPr="005B5418" w:rsidRDefault="000C6AD2" w:rsidP="00330DA6">
            <w:pPr>
              <w:pStyle w:val="Table-Cell-Left"/>
              <w:spacing w:line="240" w:lineRule="auto"/>
              <w:rPr>
                <w:rFonts w:eastAsia="Arial Unicode MS" w:cs="Arial"/>
                <w:sz w:val="22"/>
                <w:szCs w:val="22"/>
              </w:rPr>
            </w:pPr>
            <w:r w:rsidRPr="005B5418">
              <w:rPr>
                <w:rFonts w:eastAsia="Arial Unicode MS" w:cs="Arial"/>
                <w:sz w:val="22"/>
                <w:szCs w:val="22"/>
              </w:rPr>
              <w:t>Technical Release</w:t>
            </w:r>
          </w:p>
        </w:tc>
      </w:tr>
      <w:tr w:rsidR="000C6AD2" w:rsidRPr="005B5418" w14:paraId="794ADFE2" w14:textId="77777777" w:rsidTr="0085039F">
        <w:tc>
          <w:tcPr>
            <w:tcW w:w="1886" w:type="dxa"/>
          </w:tcPr>
          <w:p w14:paraId="035E1327" w14:textId="77777777" w:rsidR="000C6AD2" w:rsidRPr="005B5418" w:rsidRDefault="000C6AD2" w:rsidP="003B61E9">
            <w:pPr>
              <w:pStyle w:val="Table-Cell-Left"/>
              <w:spacing w:line="240" w:lineRule="auto"/>
              <w:rPr>
                <w:rFonts w:cs="Arial"/>
                <w:sz w:val="22"/>
                <w:szCs w:val="22"/>
              </w:rPr>
            </w:pPr>
            <w:r w:rsidRPr="005B5418">
              <w:rPr>
                <w:rFonts w:cs="Arial"/>
                <w:sz w:val="22"/>
                <w:szCs w:val="22"/>
              </w:rPr>
              <w:t>UI</w:t>
            </w:r>
          </w:p>
        </w:tc>
        <w:tc>
          <w:tcPr>
            <w:tcW w:w="7320" w:type="dxa"/>
          </w:tcPr>
          <w:p w14:paraId="4B117F3B" w14:textId="03CFB6AE" w:rsidR="000C6AD2" w:rsidRPr="005B5418" w:rsidRDefault="000C6AD2" w:rsidP="00330DA6">
            <w:pPr>
              <w:pStyle w:val="Table-Cell-Left"/>
              <w:spacing w:line="240" w:lineRule="auto"/>
              <w:rPr>
                <w:rFonts w:cs="Arial"/>
                <w:sz w:val="22"/>
                <w:szCs w:val="22"/>
              </w:rPr>
            </w:pPr>
            <w:r w:rsidRPr="005B5418">
              <w:rPr>
                <w:rFonts w:cs="Arial"/>
                <w:sz w:val="22"/>
                <w:szCs w:val="22"/>
              </w:rPr>
              <w:t xml:space="preserve">Unemployment </w:t>
            </w:r>
            <w:r w:rsidR="00330DA6" w:rsidRPr="005B5418">
              <w:rPr>
                <w:rFonts w:cs="Arial"/>
                <w:sz w:val="22"/>
                <w:szCs w:val="22"/>
              </w:rPr>
              <w:t xml:space="preserve">Insurance </w:t>
            </w:r>
          </w:p>
        </w:tc>
      </w:tr>
      <w:tr w:rsidR="000C6AD2" w:rsidRPr="005B5418" w14:paraId="67638044" w14:textId="77777777" w:rsidTr="0085039F">
        <w:tc>
          <w:tcPr>
            <w:tcW w:w="1886" w:type="dxa"/>
          </w:tcPr>
          <w:p w14:paraId="487BDF0E" w14:textId="77777777" w:rsidR="000C6AD2" w:rsidRPr="005B5418" w:rsidRDefault="000C6AD2" w:rsidP="003B61E9">
            <w:pPr>
              <w:pStyle w:val="Table-Cell-Left"/>
              <w:spacing w:line="240" w:lineRule="auto"/>
              <w:rPr>
                <w:rFonts w:cs="Arial"/>
                <w:sz w:val="22"/>
                <w:szCs w:val="22"/>
              </w:rPr>
            </w:pPr>
            <w:r w:rsidRPr="005B5418">
              <w:rPr>
                <w:rFonts w:cs="Arial"/>
                <w:sz w:val="22"/>
                <w:szCs w:val="22"/>
              </w:rPr>
              <w:t>USSGL</w:t>
            </w:r>
          </w:p>
        </w:tc>
        <w:tc>
          <w:tcPr>
            <w:tcW w:w="7320" w:type="dxa"/>
          </w:tcPr>
          <w:p w14:paraId="532902F6" w14:textId="77777777" w:rsidR="000C6AD2" w:rsidRPr="005B5418" w:rsidRDefault="000C6AD2" w:rsidP="003B61E9">
            <w:pPr>
              <w:pStyle w:val="Table-Cell-Left"/>
              <w:spacing w:line="240" w:lineRule="auto"/>
              <w:rPr>
                <w:rFonts w:cs="Arial"/>
                <w:i/>
                <w:sz w:val="22"/>
                <w:szCs w:val="22"/>
              </w:rPr>
            </w:pPr>
            <w:r w:rsidRPr="005B5418">
              <w:rPr>
                <w:rFonts w:cs="Arial"/>
                <w:i/>
                <w:sz w:val="22"/>
                <w:szCs w:val="22"/>
              </w:rPr>
              <w:t>U</w:t>
            </w:r>
            <w:r w:rsidR="00872A72" w:rsidRPr="005B5418">
              <w:rPr>
                <w:rFonts w:cs="Arial"/>
                <w:i/>
                <w:sz w:val="22"/>
                <w:szCs w:val="22"/>
              </w:rPr>
              <w:t>.</w:t>
            </w:r>
            <w:r w:rsidRPr="005B5418">
              <w:rPr>
                <w:rFonts w:cs="Arial"/>
                <w:i/>
                <w:sz w:val="22"/>
                <w:szCs w:val="22"/>
              </w:rPr>
              <w:t>S</w:t>
            </w:r>
            <w:r w:rsidR="00872A72" w:rsidRPr="005B5418">
              <w:rPr>
                <w:rFonts w:cs="Arial"/>
                <w:i/>
                <w:sz w:val="22"/>
                <w:szCs w:val="22"/>
              </w:rPr>
              <w:t>.</w:t>
            </w:r>
            <w:r w:rsidRPr="005B5418">
              <w:rPr>
                <w:rFonts w:cs="Arial"/>
                <w:i/>
                <w:sz w:val="22"/>
                <w:szCs w:val="22"/>
              </w:rPr>
              <w:t xml:space="preserve"> Standard General Ledger</w:t>
            </w:r>
          </w:p>
        </w:tc>
      </w:tr>
      <w:tr w:rsidR="000C6AD2" w:rsidRPr="005B5418" w14:paraId="6D29D28A" w14:textId="77777777" w:rsidTr="0085039F">
        <w:tc>
          <w:tcPr>
            <w:tcW w:w="1886" w:type="dxa"/>
          </w:tcPr>
          <w:p w14:paraId="6F3C95EE"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UTF</w:t>
            </w:r>
          </w:p>
        </w:tc>
        <w:tc>
          <w:tcPr>
            <w:tcW w:w="7320" w:type="dxa"/>
          </w:tcPr>
          <w:p w14:paraId="0250B484" w14:textId="77777777" w:rsidR="000C6AD2" w:rsidRPr="005B5418" w:rsidRDefault="000C6AD2" w:rsidP="003B61E9">
            <w:pPr>
              <w:pStyle w:val="Table-Cell-Left"/>
              <w:spacing w:line="240" w:lineRule="auto"/>
              <w:rPr>
                <w:rFonts w:eastAsia="Arial Unicode MS" w:cs="Arial"/>
                <w:sz w:val="22"/>
                <w:szCs w:val="22"/>
              </w:rPr>
            </w:pPr>
            <w:r w:rsidRPr="005B5418">
              <w:rPr>
                <w:rFonts w:eastAsia="Arial Unicode MS" w:cs="Arial"/>
                <w:sz w:val="22"/>
                <w:szCs w:val="22"/>
              </w:rPr>
              <w:t>Unemployment Trust Fund</w:t>
            </w:r>
          </w:p>
        </w:tc>
      </w:tr>
      <w:bookmarkEnd w:id="8"/>
      <w:bookmarkEnd w:id="9"/>
      <w:bookmarkEnd w:id="10"/>
    </w:tbl>
    <w:p w14:paraId="787EE6E0" w14:textId="77777777" w:rsidR="00A96FC8" w:rsidRPr="005B5418" w:rsidRDefault="00A96FC8" w:rsidP="003B61E9">
      <w:pPr>
        <w:pStyle w:val="BodyText"/>
        <w:spacing w:before="120" w:line="240" w:lineRule="auto"/>
        <w:rPr>
          <w:sz w:val="22"/>
          <w:szCs w:val="22"/>
        </w:rPr>
        <w:sectPr w:rsidR="00A96FC8" w:rsidRPr="005B5418" w:rsidSect="00A96FC8">
          <w:headerReference w:type="default" r:id="rId10"/>
          <w:pgSz w:w="12240" w:h="15840" w:code="1"/>
          <w:pgMar w:top="1260" w:right="1440" w:bottom="1152" w:left="1440" w:header="432" w:footer="720" w:gutter="0"/>
          <w:pgNumType w:fmt="lowerRoman"/>
          <w:cols w:space="720"/>
        </w:sectPr>
      </w:pPr>
    </w:p>
    <w:p w14:paraId="376C2220" w14:textId="6D3A1897" w:rsidR="00A96FC8" w:rsidRPr="005B5418" w:rsidRDefault="00A96FC8" w:rsidP="003B61E9">
      <w:pPr>
        <w:pStyle w:val="Heading3"/>
        <w:spacing w:line="240" w:lineRule="auto"/>
        <w:rPr>
          <w:rFonts w:eastAsia="Arial Unicode MS"/>
          <w:sz w:val="22"/>
          <w:szCs w:val="22"/>
        </w:rPr>
      </w:pPr>
      <w:bookmarkStart w:id="11" w:name="_Toc18571189"/>
      <w:bookmarkStart w:id="12" w:name="_Toc161653422"/>
      <w:bookmarkStart w:id="13" w:name="_Toc162339904"/>
      <w:r w:rsidRPr="005B5418">
        <w:rPr>
          <w:rFonts w:eastAsia="Arial Unicode MS"/>
          <w:sz w:val="22"/>
          <w:szCs w:val="22"/>
        </w:rPr>
        <w:lastRenderedPageBreak/>
        <w:t xml:space="preserve">Checklist </w:t>
      </w:r>
      <w:r w:rsidR="005D5580" w:rsidRPr="005B5418">
        <w:rPr>
          <w:rFonts w:eastAsia="Arial Unicode MS"/>
          <w:sz w:val="22"/>
          <w:szCs w:val="22"/>
        </w:rPr>
        <w:t xml:space="preserve">Purpose </w:t>
      </w:r>
      <w:r w:rsidRPr="005B5418">
        <w:rPr>
          <w:rFonts w:eastAsia="Arial Unicode MS"/>
          <w:sz w:val="22"/>
          <w:szCs w:val="22"/>
        </w:rPr>
        <w:t xml:space="preserve">and Instructions </w:t>
      </w:r>
      <w:bookmarkEnd w:id="11"/>
    </w:p>
    <w:p w14:paraId="4A65FE1D" w14:textId="70139FC9" w:rsidR="00A96FC8" w:rsidRPr="005B5418" w:rsidRDefault="00A96FC8" w:rsidP="003B61E9">
      <w:pPr>
        <w:pStyle w:val="BodyText"/>
        <w:spacing w:after="0" w:line="240" w:lineRule="auto"/>
        <w:rPr>
          <w:rFonts w:eastAsia="Arial Unicode MS"/>
          <w:b/>
          <w:i/>
          <w:sz w:val="22"/>
          <w:szCs w:val="22"/>
        </w:rPr>
      </w:pPr>
      <w:bookmarkStart w:id="14" w:name="_Toc161652827"/>
      <w:bookmarkStart w:id="15" w:name="_Toc161653423"/>
      <w:bookmarkStart w:id="16" w:name="_Toc162339905"/>
      <w:bookmarkStart w:id="17" w:name="_Toc162421019"/>
      <w:bookmarkStart w:id="18" w:name="_Toc162766392"/>
      <w:bookmarkStart w:id="19" w:name="_Toc162775574"/>
      <w:bookmarkStart w:id="20" w:name="_Toc162845829"/>
      <w:bookmarkStart w:id="21" w:name="_Toc162852919"/>
      <w:bookmarkStart w:id="22" w:name="_Toc162866420"/>
      <w:bookmarkStart w:id="23" w:name="_Toc162924116"/>
      <w:bookmarkStart w:id="24" w:name="_Toc289099357"/>
      <w:bookmarkEnd w:id="12"/>
      <w:bookmarkEnd w:id="13"/>
    </w:p>
    <w:p w14:paraId="3BE5E6B8" w14:textId="05C16D9B" w:rsidR="00A33929" w:rsidRPr="005B5418" w:rsidRDefault="00A33929" w:rsidP="003B61E9">
      <w:pPr>
        <w:pStyle w:val="BodyText"/>
        <w:spacing w:after="0" w:line="240" w:lineRule="auto"/>
        <w:rPr>
          <w:rFonts w:eastAsia="Arial Unicode MS"/>
          <w:sz w:val="22"/>
          <w:szCs w:val="22"/>
          <w:u w:val="single"/>
        </w:rPr>
      </w:pPr>
      <w:r w:rsidRPr="005B5418">
        <w:rPr>
          <w:rFonts w:eastAsia="Arial Unicode MS"/>
          <w:sz w:val="22"/>
          <w:szCs w:val="22"/>
          <w:u w:val="single"/>
        </w:rPr>
        <w:t>Purpose</w:t>
      </w:r>
    </w:p>
    <w:p w14:paraId="05005972" w14:textId="77777777" w:rsidR="00A33929" w:rsidRPr="005B5418" w:rsidRDefault="00A33929" w:rsidP="003B61E9">
      <w:pPr>
        <w:pStyle w:val="BodyText"/>
        <w:spacing w:after="0" w:line="240" w:lineRule="auto"/>
        <w:rPr>
          <w:rFonts w:eastAsia="Arial Unicode MS"/>
          <w:b/>
          <w:i/>
          <w:sz w:val="22"/>
          <w:szCs w:val="22"/>
        </w:rPr>
      </w:pPr>
    </w:p>
    <w:p w14:paraId="45D28C3B" w14:textId="77777777" w:rsidR="00A96FC8" w:rsidRPr="005B5418" w:rsidRDefault="00246E91" w:rsidP="003B61E9">
      <w:pPr>
        <w:pStyle w:val="BodyText"/>
        <w:spacing w:after="0" w:line="240" w:lineRule="auto"/>
        <w:jc w:val="left"/>
        <w:rPr>
          <w:rFonts w:eastAsia="Arial Unicode MS" w:cs="Arial"/>
          <w:sz w:val="22"/>
          <w:szCs w:val="22"/>
        </w:rPr>
      </w:pPr>
      <w:bookmarkStart w:id="25" w:name="_Toc72726997"/>
      <w:bookmarkStart w:id="26" w:name="_Toc72727506"/>
      <w:bookmarkStart w:id="27" w:name="_Toc72732505"/>
      <w:bookmarkStart w:id="28" w:name="_Toc73947567"/>
      <w:bookmarkEnd w:id="14"/>
      <w:bookmarkEnd w:id="15"/>
      <w:bookmarkEnd w:id="16"/>
      <w:bookmarkEnd w:id="17"/>
      <w:bookmarkEnd w:id="18"/>
      <w:bookmarkEnd w:id="19"/>
      <w:bookmarkEnd w:id="20"/>
      <w:bookmarkEnd w:id="21"/>
      <w:bookmarkEnd w:id="22"/>
      <w:bookmarkEnd w:id="23"/>
      <w:bookmarkEnd w:id="24"/>
      <w:r w:rsidRPr="005B5418">
        <w:rPr>
          <w:rFonts w:eastAsia="Arial Unicode MS" w:cs="Arial"/>
          <w:sz w:val="22"/>
          <w:szCs w:val="22"/>
        </w:rPr>
        <w:t>The</w:t>
      </w:r>
      <w:r w:rsidRPr="005B5418">
        <w:rPr>
          <w:rFonts w:eastAsia="Arial Unicode MS" w:cs="Arial"/>
          <w:i/>
          <w:sz w:val="22"/>
          <w:szCs w:val="22"/>
        </w:rPr>
        <w:t xml:space="preserve"> Federal Financial Reporting </w:t>
      </w:r>
      <w:r w:rsidR="00DD3FC4" w:rsidRPr="005B5418">
        <w:rPr>
          <w:rFonts w:eastAsia="Arial Unicode MS" w:cs="Arial"/>
          <w:i/>
          <w:sz w:val="22"/>
          <w:szCs w:val="22"/>
        </w:rPr>
        <w:t>Checklist</w:t>
      </w:r>
      <w:r w:rsidRPr="005B5418">
        <w:rPr>
          <w:rFonts w:eastAsia="Arial Unicode MS" w:cs="Arial"/>
          <w:i/>
          <w:sz w:val="22"/>
          <w:szCs w:val="22"/>
        </w:rPr>
        <w:t xml:space="preserve"> </w:t>
      </w:r>
      <w:r w:rsidR="00A96FC8" w:rsidRPr="005B5418">
        <w:rPr>
          <w:rFonts w:eastAsia="Arial Unicode MS" w:cs="Arial"/>
          <w:sz w:val="22"/>
          <w:szCs w:val="22"/>
        </w:rPr>
        <w:t xml:space="preserve">is designed to help </w:t>
      </w:r>
    </w:p>
    <w:p w14:paraId="395A8A47" w14:textId="77777777" w:rsidR="00A96FC8" w:rsidRPr="005B5418" w:rsidRDefault="00A96FC8" w:rsidP="003B61E9">
      <w:pPr>
        <w:pStyle w:val="BodyText"/>
        <w:spacing w:after="0" w:line="240" w:lineRule="auto"/>
        <w:jc w:val="left"/>
        <w:rPr>
          <w:rFonts w:eastAsia="Arial Unicode MS" w:cs="Arial"/>
          <w:sz w:val="22"/>
          <w:szCs w:val="22"/>
        </w:rPr>
      </w:pPr>
    </w:p>
    <w:p w14:paraId="61778D46" w14:textId="29538276" w:rsidR="00A96FC8" w:rsidRPr="005B5418" w:rsidRDefault="00A96FC8" w:rsidP="00343610">
      <w:pPr>
        <w:pStyle w:val="BodyText"/>
        <w:numPr>
          <w:ilvl w:val="0"/>
          <w:numId w:val="4"/>
        </w:numPr>
        <w:spacing w:after="0" w:line="240" w:lineRule="auto"/>
        <w:ind w:left="1080"/>
        <w:jc w:val="left"/>
        <w:rPr>
          <w:rFonts w:eastAsia="Arial Unicode MS" w:cs="Arial"/>
          <w:sz w:val="22"/>
          <w:szCs w:val="22"/>
        </w:rPr>
      </w:pPr>
      <w:r w:rsidRPr="005B5418">
        <w:rPr>
          <w:rFonts w:eastAsia="Arial Unicode MS" w:cs="Arial"/>
          <w:sz w:val="22"/>
          <w:szCs w:val="22"/>
        </w:rPr>
        <w:t xml:space="preserve">federal entities prepare their financial statements in accordance with GAAP and </w:t>
      </w:r>
    </w:p>
    <w:p w14:paraId="42739B35" w14:textId="77777777" w:rsidR="00A96FC8" w:rsidRPr="005B5418" w:rsidRDefault="00A96FC8" w:rsidP="003B61E9">
      <w:pPr>
        <w:pStyle w:val="BodyText"/>
        <w:spacing w:after="0" w:line="240" w:lineRule="auto"/>
        <w:ind w:left="1080"/>
        <w:jc w:val="left"/>
        <w:rPr>
          <w:rFonts w:eastAsia="Arial Unicode MS" w:cs="Arial"/>
          <w:sz w:val="22"/>
          <w:szCs w:val="22"/>
        </w:rPr>
      </w:pPr>
    </w:p>
    <w:p w14:paraId="681625DB" w14:textId="41E69CC4" w:rsidR="00A96FC8" w:rsidRPr="005B5418" w:rsidRDefault="00A96FC8" w:rsidP="00343610">
      <w:pPr>
        <w:pStyle w:val="BodyText"/>
        <w:numPr>
          <w:ilvl w:val="0"/>
          <w:numId w:val="4"/>
        </w:numPr>
        <w:spacing w:after="0" w:line="240" w:lineRule="auto"/>
        <w:ind w:left="1080"/>
        <w:jc w:val="left"/>
        <w:rPr>
          <w:rFonts w:eastAsia="Arial Unicode MS" w:cs="Arial"/>
          <w:color w:val="auto"/>
          <w:sz w:val="22"/>
          <w:szCs w:val="22"/>
        </w:rPr>
      </w:pPr>
      <w:r w:rsidRPr="005B5418">
        <w:rPr>
          <w:color w:val="auto"/>
          <w:sz w:val="22"/>
          <w:szCs w:val="22"/>
        </w:rPr>
        <w:t xml:space="preserve">auditors determine whether </w:t>
      </w:r>
      <w:r w:rsidR="00D66543" w:rsidRPr="005B5418">
        <w:rPr>
          <w:color w:val="auto"/>
          <w:sz w:val="22"/>
          <w:szCs w:val="22"/>
        </w:rPr>
        <w:t xml:space="preserve">such statements </w:t>
      </w:r>
      <w:r w:rsidRPr="005B5418">
        <w:rPr>
          <w:color w:val="auto"/>
          <w:sz w:val="22"/>
          <w:szCs w:val="22"/>
        </w:rPr>
        <w:t xml:space="preserve">are </w:t>
      </w:r>
      <w:r w:rsidR="00D66543" w:rsidRPr="005B5418">
        <w:rPr>
          <w:color w:val="auto"/>
          <w:sz w:val="22"/>
          <w:szCs w:val="22"/>
        </w:rPr>
        <w:t xml:space="preserve">prepared </w:t>
      </w:r>
      <w:r w:rsidRPr="005B5418">
        <w:rPr>
          <w:color w:val="auto"/>
          <w:sz w:val="22"/>
          <w:szCs w:val="22"/>
        </w:rPr>
        <w:t>in accordance with GAAP</w:t>
      </w:r>
      <w:r w:rsidRPr="005B5418">
        <w:rPr>
          <w:rFonts w:eastAsia="Arial Unicode MS" w:cs="Arial"/>
          <w:color w:val="auto"/>
          <w:sz w:val="22"/>
          <w:szCs w:val="22"/>
        </w:rPr>
        <w:t xml:space="preserve">. </w:t>
      </w:r>
    </w:p>
    <w:p w14:paraId="34B72816" w14:textId="77777777" w:rsidR="00A96FC8" w:rsidRPr="005B5418" w:rsidRDefault="00A96FC8" w:rsidP="003B61E9">
      <w:pPr>
        <w:pStyle w:val="BodyText"/>
        <w:spacing w:after="0" w:line="240" w:lineRule="auto"/>
        <w:jc w:val="left"/>
        <w:rPr>
          <w:rFonts w:eastAsia="Arial Unicode MS" w:cs="Arial"/>
          <w:sz w:val="22"/>
          <w:szCs w:val="22"/>
        </w:rPr>
      </w:pPr>
    </w:p>
    <w:p w14:paraId="7189B28D" w14:textId="3862BADF" w:rsidR="00A96FC8" w:rsidRPr="005B5418" w:rsidRDefault="00434207" w:rsidP="003B61E9">
      <w:pPr>
        <w:pStyle w:val="BodyText"/>
        <w:spacing w:after="0" w:line="240" w:lineRule="auto"/>
        <w:jc w:val="left"/>
        <w:rPr>
          <w:rFonts w:eastAsia="Arial Unicode MS" w:cs="Arial"/>
          <w:sz w:val="22"/>
          <w:szCs w:val="22"/>
        </w:rPr>
      </w:pPr>
      <w:r w:rsidRPr="005B5418">
        <w:rPr>
          <w:rFonts w:eastAsia="Arial Unicode MS" w:cs="Arial"/>
          <w:sz w:val="22"/>
          <w:szCs w:val="22"/>
        </w:rPr>
        <w:t xml:space="preserve">Auditors may request </w:t>
      </w:r>
      <w:r w:rsidR="000E5E97" w:rsidRPr="005B5418">
        <w:rPr>
          <w:rFonts w:eastAsia="Arial Unicode MS" w:cs="Arial"/>
          <w:sz w:val="22"/>
          <w:szCs w:val="22"/>
        </w:rPr>
        <w:t xml:space="preserve">that </w:t>
      </w:r>
      <w:r w:rsidR="00D66543" w:rsidRPr="005B5418">
        <w:rPr>
          <w:rFonts w:eastAsia="Arial Unicode MS" w:cs="Arial"/>
          <w:sz w:val="22"/>
          <w:szCs w:val="22"/>
        </w:rPr>
        <w:t xml:space="preserve">the </w:t>
      </w:r>
      <w:r w:rsidR="000E5E97" w:rsidRPr="005B5418">
        <w:rPr>
          <w:rFonts w:eastAsia="Arial Unicode MS" w:cs="Arial"/>
          <w:sz w:val="22"/>
          <w:szCs w:val="22"/>
        </w:rPr>
        <w:t>federal agenc</w:t>
      </w:r>
      <w:r w:rsidR="00D66543" w:rsidRPr="005B5418">
        <w:rPr>
          <w:rFonts w:eastAsia="Arial Unicode MS" w:cs="Arial"/>
          <w:sz w:val="22"/>
          <w:szCs w:val="22"/>
        </w:rPr>
        <w:t xml:space="preserve">y </w:t>
      </w:r>
      <w:r w:rsidR="000E5E97" w:rsidRPr="005B5418">
        <w:rPr>
          <w:rFonts w:eastAsia="Arial Unicode MS" w:cs="Arial"/>
          <w:sz w:val="22"/>
          <w:szCs w:val="22"/>
        </w:rPr>
        <w:t>they audit</w:t>
      </w:r>
      <w:r w:rsidRPr="005B5418">
        <w:rPr>
          <w:rFonts w:eastAsia="Arial Unicode MS" w:cs="Arial"/>
          <w:sz w:val="22"/>
          <w:szCs w:val="22"/>
        </w:rPr>
        <w:t xml:space="preserve"> </w:t>
      </w:r>
      <w:r w:rsidR="00A96FC8" w:rsidRPr="005B5418">
        <w:rPr>
          <w:rFonts w:eastAsia="Arial Unicode MS" w:cs="Arial"/>
          <w:sz w:val="22"/>
          <w:szCs w:val="22"/>
        </w:rPr>
        <w:t xml:space="preserve">complete </w:t>
      </w:r>
      <w:r w:rsidRPr="005B5418">
        <w:rPr>
          <w:rFonts w:eastAsia="Arial Unicode MS" w:cs="Arial"/>
          <w:sz w:val="22"/>
          <w:szCs w:val="22"/>
        </w:rPr>
        <w:t xml:space="preserve">applicable accounting </w:t>
      </w:r>
      <w:r w:rsidR="004137AD" w:rsidRPr="005B5418">
        <w:rPr>
          <w:rFonts w:eastAsia="Arial Unicode MS" w:cs="Arial"/>
          <w:sz w:val="22"/>
          <w:szCs w:val="22"/>
        </w:rPr>
        <w:t xml:space="preserve">sections of this </w:t>
      </w:r>
      <w:r w:rsidR="00A96FC8" w:rsidRPr="005B5418">
        <w:rPr>
          <w:rFonts w:eastAsia="Arial Unicode MS" w:cs="Arial"/>
          <w:sz w:val="22"/>
          <w:szCs w:val="22"/>
        </w:rPr>
        <w:t>checklist during the fiscal year</w:t>
      </w:r>
      <w:r w:rsidR="006431E8" w:rsidRPr="005B5418">
        <w:rPr>
          <w:rFonts w:eastAsia="Arial Unicode MS" w:cs="Arial"/>
          <w:sz w:val="22"/>
          <w:szCs w:val="22"/>
        </w:rPr>
        <w:t xml:space="preserve">. </w:t>
      </w:r>
      <w:r w:rsidR="006431E8" w:rsidRPr="005B5418">
        <w:rPr>
          <w:rFonts w:eastAsia="Arial Unicode MS"/>
          <w:sz w:val="22"/>
        </w:rPr>
        <w:t>A</w:t>
      </w:r>
      <w:r w:rsidR="00A96FC8" w:rsidRPr="005B5418">
        <w:rPr>
          <w:rFonts w:eastAsia="Arial Unicode MS"/>
          <w:sz w:val="22"/>
        </w:rPr>
        <w:t>uditor</w:t>
      </w:r>
      <w:r w:rsidR="000E5E97" w:rsidRPr="005B5418">
        <w:rPr>
          <w:rFonts w:eastAsia="Arial Unicode MS"/>
          <w:sz w:val="22"/>
        </w:rPr>
        <w:t>s</w:t>
      </w:r>
      <w:r w:rsidR="00A96FC8" w:rsidRPr="005B5418">
        <w:rPr>
          <w:rFonts w:eastAsia="Arial Unicode MS"/>
          <w:sz w:val="22"/>
        </w:rPr>
        <w:t xml:space="preserve"> can review the completed </w:t>
      </w:r>
      <w:r w:rsidR="00564D3D" w:rsidRPr="005B5418">
        <w:rPr>
          <w:rFonts w:eastAsia="Arial Unicode MS"/>
          <w:sz w:val="22"/>
        </w:rPr>
        <w:t xml:space="preserve">portions </w:t>
      </w:r>
      <w:r w:rsidRPr="005B5418">
        <w:rPr>
          <w:rFonts w:eastAsia="Arial Unicode MS"/>
          <w:sz w:val="22"/>
        </w:rPr>
        <w:t>while performing</w:t>
      </w:r>
      <w:r w:rsidR="00A96FC8" w:rsidRPr="005B5418">
        <w:rPr>
          <w:rFonts w:eastAsia="Arial Unicode MS"/>
          <w:sz w:val="22"/>
        </w:rPr>
        <w:t xml:space="preserve"> interim audit </w:t>
      </w:r>
      <w:r w:rsidRPr="005B5418">
        <w:rPr>
          <w:rFonts w:eastAsia="Arial Unicode MS"/>
          <w:sz w:val="22"/>
        </w:rPr>
        <w:t>procedures</w:t>
      </w:r>
      <w:r w:rsidR="00A96FC8" w:rsidRPr="005B5418">
        <w:rPr>
          <w:rFonts w:eastAsia="Arial Unicode MS"/>
          <w:sz w:val="22"/>
        </w:rPr>
        <w:t xml:space="preserve"> relating to the financial statement audit</w:t>
      </w:r>
      <w:r w:rsidR="00A96FC8" w:rsidRPr="005B5418">
        <w:rPr>
          <w:rFonts w:eastAsia="Arial Unicode MS" w:cs="Arial"/>
          <w:sz w:val="22"/>
          <w:szCs w:val="22"/>
        </w:rPr>
        <w:t xml:space="preserve">. </w:t>
      </w:r>
      <w:r w:rsidR="004137AD" w:rsidRPr="005B5418">
        <w:rPr>
          <w:rFonts w:eastAsia="Arial Unicode MS" w:cs="Arial"/>
          <w:sz w:val="22"/>
          <w:szCs w:val="22"/>
        </w:rPr>
        <w:t>At year-end</w:t>
      </w:r>
      <w:r w:rsidR="006431E8" w:rsidRPr="005B5418">
        <w:rPr>
          <w:rFonts w:eastAsia="Arial Unicode MS" w:cs="Arial"/>
          <w:sz w:val="22"/>
          <w:szCs w:val="22"/>
        </w:rPr>
        <w:t>,</w:t>
      </w:r>
      <w:r w:rsidR="004137AD" w:rsidRPr="005B5418">
        <w:rPr>
          <w:rFonts w:eastAsia="Arial Unicode MS" w:cs="Arial"/>
          <w:sz w:val="22"/>
          <w:szCs w:val="22"/>
        </w:rPr>
        <w:t xml:space="preserve"> federal agencies </w:t>
      </w:r>
      <w:r w:rsidR="004868C8" w:rsidRPr="005B5418">
        <w:rPr>
          <w:rFonts w:eastAsia="Arial Unicode MS" w:cs="Arial"/>
          <w:sz w:val="22"/>
          <w:szCs w:val="22"/>
        </w:rPr>
        <w:t xml:space="preserve">may </w:t>
      </w:r>
      <w:r w:rsidR="004137AD" w:rsidRPr="005B5418">
        <w:rPr>
          <w:rFonts w:eastAsia="Arial Unicode MS" w:cs="Arial"/>
          <w:sz w:val="22"/>
          <w:szCs w:val="22"/>
        </w:rPr>
        <w:t>update, as applicable,</w:t>
      </w:r>
      <w:r w:rsidR="000E5E97" w:rsidRPr="005B5418">
        <w:rPr>
          <w:rFonts w:eastAsia="Arial Unicode MS" w:cs="Arial"/>
          <w:sz w:val="22"/>
          <w:szCs w:val="22"/>
        </w:rPr>
        <w:t xml:space="preserve"> responses to questions</w:t>
      </w:r>
      <w:r w:rsidR="004137AD" w:rsidRPr="005B5418">
        <w:rPr>
          <w:rFonts w:eastAsia="Arial Unicode MS" w:cs="Arial"/>
          <w:sz w:val="22"/>
          <w:szCs w:val="22"/>
        </w:rPr>
        <w:t xml:space="preserve"> </w:t>
      </w:r>
      <w:r w:rsidR="000E5E97" w:rsidRPr="005B5418">
        <w:rPr>
          <w:rFonts w:eastAsia="Arial Unicode MS" w:cs="Arial"/>
          <w:sz w:val="22"/>
          <w:szCs w:val="22"/>
        </w:rPr>
        <w:t>provided</w:t>
      </w:r>
      <w:r w:rsidR="004137AD" w:rsidRPr="005B5418">
        <w:rPr>
          <w:rFonts w:eastAsia="Arial Unicode MS" w:cs="Arial"/>
          <w:sz w:val="22"/>
          <w:szCs w:val="22"/>
        </w:rPr>
        <w:t xml:space="preserve"> during the fiscal year and complete the </w:t>
      </w:r>
      <w:r w:rsidRPr="005B5418">
        <w:rPr>
          <w:rFonts w:eastAsia="Arial Unicode MS" w:cs="Arial"/>
          <w:sz w:val="22"/>
          <w:szCs w:val="22"/>
        </w:rPr>
        <w:t xml:space="preserve">disclosure sections </w:t>
      </w:r>
      <w:r w:rsidR="004137AD" w:rsidRPr="005B5418">
        <w:rPr>
          <w:rFonts w:eastAsia="Arial Unicode MS" w:cs="Arial"/>
          <w:sz w:val="22"/>
          <w:szCs w:val="22"/>
        </w:rPr>
        <w:t xml:space="preserve">of the checklist. </w:t>
      </w:r>
      <w:r w:rsidR="000E5E97" w:rsidRPr="005B5418">
        <w:rPr>
          <w:rFonts w:eastAsia="Arial Unicode MS"/>
          <w:sz w:val="22"/>
        </w:rPr>
        <w:t>A</w:t>
      </w:r>
      <w:r w:rsidR="00A96FC8" w:rsidRPr="005B5418">
        <w:rPr>
          <w:rFonts w:eastAsia="Arial Unicode MS"/>
          <w:sz w:val="22"/>
        </w:rPr>
        <w:t xml:space="preserve">uditors should then review </w:t>
      </w:r>
      <w:r w:rsidR="0085039F" w:rsidRPr="005B5418">
        <w:rPr>
          <w:rFonts w:eastAsia="Arial Unicode MS"/>
          <w:sz w:val="22"/>
        </w:rPr>
        <w:t>all</w:t>
      </w:r>
      <w:r w:rsidR="00564D3D" w:rsidRPr="005B5418">
        <w:rPr>
          <w:rFonts w:eastAsia="Arial Unicode MS"/>
          <w:sz w:val="22"/>
        </w:rPr>
        <w:t xml:space="preserve"> </w:t>
      </w:r>
      <w:r w:rsidR="00A96FC8" w:rsidRPr="005B5418">
        <w:rPr>
          <w:rFonts w:eastAsia="Arial Unicode MS"/>
          <w:sz w:val="22"/>
        </w:rPr>
        <w:t>checklist</w:t>
      </w:r>
      <w:r w:rsidR="0085039F" w:rsidRPr="005B5418">
        <w:rPr>
          <w:rFonts w:eastAsia="Arial Unicode MS"/>
          <w:sz w:val="22"/>
        </w:rPr>
        <w:t xml:space="preserve"> responses</w:t>
      </w:r>
      <w:r w:rsidR="00A96FC8" w:rsidRPr="005B5418">
        <w:rPr>
          <w:rFonts w:eastAsia="Arial Unicode MS"/>
          <w:sz w:val="22"/>
        </w:rPr>
        <w:t xml:space="preserve"> for completeness and accuracy.</w:t>
      </w:r>
      <w:r w:rsidR="00A96FC8" w:rsidRPr="005B5418">
        <w:rPr>
          <w:rFonts w:eastAsia="Arial Unicode MS" w:cs="Arial"/>
          <w:sz w:val="22"/>
          <w:szCs w:val="22"/>
        </w:rPr>
        <w:t xml:space="preserve"> </w:t>
      </w:r>
      <w:r w:rsidR="004137AD" w:rsidRPr="005B5418">
        <w:rPr>
          <w:rFonts w:eastAsia="Arial Unicode MS" w:cs="Arial"/>
          <w:sz w:val="22"/>
          <w:szCs w:val="22"/>
        </w:rPr>
        <w:t>As</w:t>
      </w:r>
      <w:r w:rsidR="00A96FC8" w:rsidRPr="005B5418">
        <w:rPr>
          <w:rFonts w:eastAsia="Arial Unicode MS" w:cs="Arial"/>
          <w:sz w:val="22"/>
          <w:szCs w:val="22"/>
        </w:rPr>
        <w:t xml:space="preserve"> generally accepted government auditing standards do not require the use of th</w:t>
      </w:r>
      <w:r w:rsidR="003C6BD4" w:rsidRPr="005B5418">
        <w:rPr>
          <w:rFonts w:eastAsia="Arial Unicode MS" w:cs="Arial"/>
          <w:sz w:val="22"/>
          <w:szCs w:val="22"/>
        </w:rPr>
        <w:t>is</w:t>
      </w:r>
      <w:r w:rsidR="00A96FC8" w:rsidRPr="005B5418">
        <w:rPr>
          <w:rFonts w:eastAsia="Arial Unicode MS" w:cs="Arial"/>
          <w:sz w:val="22"/>
          <w:szCs w:val="22"/>
        </w:rPr>
        <w:t xml:space="preserve"> checklist, neither the entities nor the auditors are required to use </w:t>
      </w:r>
      <w:r w:rsidR="000E5E97" w:rsidRPr="005B5418">
        <w:rPr>
          <w:rFonts w:eastAsia="Arial Unicode MS" w:cs="Arial"/>
          <w:sz w:val="22"/>
          <w:szCs w:val="22"/>
        </w:rPr>
        <w:t>it</w:t>
      </w:r>
      <w:r w:rsidR="00A96FC8" w:rsidRPr="005B5418">
        <w:rPr>
          <w:rFonts w:eastAsia="Arial Unicode MS" w:cs="Arial"/>
          <w:sz w:val="22"/>
          <w:szCs w:val="22"/>
        </w:rPr>
        <w:t xml:space="preserve">. However, entities and auditors should describe and document how they </w:t>
      </w:r>
      <w:r w:rsidR="0085039F" w:rsidRPr="005B5418">
        <w:rPr>
          <w:rFonts w:eastAsia="Arial Unicode MS" w:cs="Arial"/>
          <w:sz w:val="22"/>
          <w:szCs w:val="22"/>
        </w:rPr>
        <w:t>determined</w:t>
      </w:r>
      <w:r w:rsidR="00A96FC8" w:rsidRPr="005B5418">
        <w:rPr>
          <w:rFonts w:eastAsia="Arial Unicode MS" w:cs="Arial"/>
          <w:sz w:val="22"/>
          <w:szCs w:val="22"/>
        </w:rPr>
        <w:t xml:space="preserve"> </w:t>
      </w:r>
      <w:r w:rsidR="00D66543" w:rsidRPr="005B5418">
        <w:rPr>
          <w:rFonts w:eastAsia="Arial Unicode MS" w:cs="Arial"/>
          <w:sz w:val="22"/>
          <w:szCs w:val="22"/>
        </w:rPr>
        <w:t xml:space="preserve">whether </w:t>
      </w:r>
      <w:r w:rsidR="00A96FC8" w:rsidRPr="005B5418">
        <w:rPr>
          <w:rFonts w:eastAsia="Arial Unicode MS" w:cs="Arial"/>
          <w:sz w:val="22"/>
          <w:szCs w:val="22"/>
        </w:rPr>
        <w:t>the financial statements conf</w:t>
      </w:r>
      <w:r w:rsidR="004137AD" w:rsidRPr="005B5418">
        <w:rPr>
          <w:rFonts w:eastAsia="Arial Unicode MS" w:cs="Arial"/>
          <w:sz w:val="22"/>
          <w:szCs w:val="22"/>
        </w:rPr>
        <w:t>o</w:t>
      </w:r>
      <w:r w:rsidR="00A96FC8" w:rsidRPr="005B5418">
        <w:rPr>
          <w:rFonts w:eastAsia="Arial Unicode MS" w:cs="Arial"/>
          <w:sz w:val="22"/>
          <w:szCs w:val="22"/>
        </w:rPr>
        <w:t xml:space="preserve">rm to GAAP. </w:t>
      </w:r>
    </w:p>
    <w:p w14:paraId="4A93ADE7" w14:textId="77777777" w:rsidR="00A96FC8" w:rsidRPr="005B5418" w:rsidRDefault="00A96FC8" w:rsidP="003B61E9">
      <w:pPr>
        <w:pStyle w:val="BodyText"/>
        <w:spacing w:after="0" w:line="240" w:lineRule="auto"/>
        <w:jc w:val="left"/>
        <w:rPr>
          <w:rFonts w:eastAsia="Arial Unicode MS" w:cs="Arial"/>
          <w:sz w:val="22"/>
          <w:szCs w:val="22"/>
        </w:rPr>
      </w:pPr>
    </w:p>
    <w:p w14:paraId="1E83594D" w14:textId="28FDF3BA" w:rsidR="00A96FC8" w:rsidRPr="005B5418" w:rsidRDefault="00A96FC8" w:rsidP="003B61E9">
      <w:pPr>
        <w:pStyle w:val="BodyText"/>
        <w:spacing w:after="0" w:line="240" w:lineRule="auto"/>
        <w:jc w:val="left"/>
        <w:rPr>
          <w:b/>
          <w:i/>
          <w:sz w:val="22"/>
          <w:szCs w:val="22"/>
        </w:rPr>
      </w:pPr>
      <w:r w:rsidRPr="005B5418">
        <w:rPr>
          <w:rFonts w:eastAsia="Arial Unicode MS" w:cs="Arial"/>
          <w:sz w:val="22"/>
          <w:szCs w:val="22"/>
        </w:rPr>
        <w:t>The checklist provides a structured approach to understanding federal accounting</w:t>
      </w:r>
      <w:r w:rsidR="003B01FF" w:rsidRPr="005B5418">
        <w:rPr>
          <w:rFonts w:eastAsia="Arial Unicode MS" w:cs="Arial"/>
          <w:sz w:val="22"/>
          <w:szCs w:val="22"/>
        </w:rPr>
        <w:t>, reporting</w:t>
      </w:r>
      <w:r w:rsidR="0071619D" w:rsidRPr="005B5418">
        <w:rPr>
          <w:rFonts w:eastAsia="Arial Unicode MS" w:cs="Arial"/>
          <w:sz w:val="22"/>
          <w:szCs w:val="22"/>
        </w:rPr>
        <w:t>,</w:t>
      </w:r>
      <w:r w:rsidR="003B01FF" w:rsidRPr="005B5418">
        <w:rPr>
          <w:rFonts w:eastAsia="Arial Unicode MS" w:cs="Arial"/>
          <w:sz w:val="22"/>
          <w:szCs w:val="22"/>
        </w:rPr>
        <w:t xml:space="preserve"> and disclosure</w:t>
      </w:r>
      <w:r w:rsidRPr="005B5418">
        <w:rPr>
          <w:rFonts w:eastAsia="Arial Unicode MS" w:cs="Arial"/>
          <w:sz w:val="22"/>
          <w:szCs w:val="22"/>
        </w:rPr>
        <w:t xml:space="preserve"> requirements. While the questions in the checklist are </w:t>
      </w:r>
      <w:r w:rsidR="004137AD" w:rsidRPr="005B5418">
        <w:rPr>
          <w:rFonts w:eastAsia="Arial Unicode MS" w:cs="Arial"/>
          <w:sz w:val="22"/>
          <w:szCs w:val="22"/>
        </w:rPr>
        <w:t>derived</w:t>
      </w:r>
      <w:r w:rsidRPr="005B5418">
        <w:rPr>
          <w:rFonts w:eastAsia="Arial Unicode MS" w:cs="Arial"/>
          <w:sz w:val="22"/>
          <w:szCs w:val="22"/>
        </w:rPr>
        <w:t xml:space="preserve"> from authoritative sources</w:t>
      </w:r>
      <w:r w:rsidR="004868C8" w:rsidRPr="005B5418">
        <w:rPr>
          <w:rFonts w:eastAsia="Arial Unicode MS" w:cs="Arial"/>
          <w:sz w:val="22"/>
          <w:szCs w:val="22"/>
        </w:rPr>
        <w:t xml:space="preserve"> (e.g., accounting </w:t>
      </w:r>
      <w:r w:rsidR="000E5E97" w:rsidRPr="005B5418">
        <w:rPr>
          <w:rFonts w:eastAsia="Arial Unicode MS" w:cs="Arial"/>
          <w:sz w:val="22"/>
          <w:szCs w:val="22"/>
        </w:rPr>
        <w:t>standards that FASAB</w:t>
      </w:r>
      <w:r w:rsidR="004868C8" w:rsidRPr="005B5418">
        <w:rPr>
          <w:rFonts w:eastAsia="Arial Unicode MS" w:cs="Arial"/>
          <w:sz w:val="22"/>
          <w:szCs w:val="22"/>
        </w:rPr>
        <w:t xml:space="preserve"> issued)</w:t>
      </w:r>
      <w:r w:rsidRPr="005B5418">
        <w:rPr>
          <w:rFonts w:eastAsia="Arial Unicode MS" w:cs="Arial"/>
          <w:sz w:val="22"/>
          <w:szCs w:val="22"/>
        </w:rPr>
        <w:t xml:space="preserve">, the checklist itself is not authoritative or comprehensive. Preparers and auditors may also consult </w:t>
      </w:r>
      <w:r w:rsidR="004354C8" w:rsidRPr="005B5418">
        <w:rPr>
          <w:rFonts w:eastAsia="Arial Unicode MS" w:cs="Arial"/>
          <w:sz w:val="22"/>
          <w:szCs w:val="22"/>
        </w:rPr>
        <w:t xml:space="preserve">other sources (such OMB and Treasury guidance) and </w:t>
      </w:r>
      <w:r w:rsidRPr="005B5418">
        <w:rPr>
          <w:rFonts w:eastAsia="Arial Unicode MS" w:cs="Arial"/>
          <w:sz w:val="22"/>
          <w:szCs w:val="22"/>
        </w:rPr>
        <w:t>financial management regulations and policies for their entit</w:t>
      </w:r>
      <w:r w:rsidR="006431E8" w:rsidRPr="005B5418">
        <w:rPr>
          <w:rFonts w:eastAsia="Arial Unicode MS" w:cs="Arial"/>
          <w:sz w:val="22"/>
          <w:szCs w:val="22"/>
        </w:rPr>
        <w:t>ies</w:t>
      </w:r>
      <w:r w:rsidRPr="005B5418">
        <w:rPr>
          <w:rFonts w:eastAsia="Arial Unicode MS" w:cs="Arial"/>
          <w:sz w:val="22"/>
          <w:szCs w:val="22"/>
        </w:rPr>
        <w:t xml:space="preserve">, as these regulations and policies may </w:t>
      </w:r>
      <w:r w:rsidR="006431E8" w:rsidRPr="005B5418">
        <w:rPr>
          <w:rFonts w:eastAsia="Arial Unicode MS" w:cs="Arial"/>
          <w:sz w:val="22"/>
          <w:szCs w:val="22"/>
        </w:rPr>
        <w:t xml:space="preserve">include </w:t>
      </w:r>
      <w:r w:rsidRPr="005B5418">
        <w:rPr>
          <w:rFonts w:eastAsia="Arial Unicode MS" w:cs="Arial"/>
          <w:sz w:val="22"/>
          <w:szCs w:val="22"/>
        </w:rPr>
        <w:t xml:space="preserve">guidance </w:t>
      </w:r>
      <w:r w:rsidR="006431E8" w:rsidRPr="005B5418">
        <w:rPr>
          <w:rFonts w:eastAsia="Arial Unicode MS" w:cs="Arial"/>
          <w:sz w:val="22"/>
          <w:szCs w:val="22"/>
        </w:rPr>
        <w:t xml:space="preserve">for </w:t>
      </w:r>
      <w:r w:rsidRPr="005B5418">
        <w:rPr>
          <w:rFonts w:eastAsia="Arial Unicode MS" w:cs="Arial"/>
          <w:sz w:val="22"/>
          <w:szCs w:val="22"/>
        </w:rPr>
        <w:t xml:space="preserve">when standards allow alternatives or management flexibility, such as for property capitalization limits. </w:t>
      </w:r>
      <w:r w:rsidR="006431E8" w:rsidRPr="005B5418">
        <w:rPr>
          <w:rFonts w:eastAsia="Arial Unicode MS" w:cs="Arial"/>
          <w:sz w:val="22"/>
          <w:szCs w:val="22"/>
        </w:rPr>
        <w:t>T</w:t>
      </w:r>
      <w:r w:rsidRPr="005B5418">
        <w:rPr>
          <w:rFonts w:eastAsia="Arial Unicode MS" w:cs="Arial"/>
          <w:sz w:val="22"/>
          <w:szCs w:val="22"/>
        </w:rPr>
        <w:t xml:space="preserve">his checklist is </w:t>
      </w:r>
      <w:r w:rsidR="006431E8" w:rsidRPr="005B5418">
        <w:rPr>
          <w:rFonts w:eastAsia="Arial Unicode MS" w:cs="Arial"/>
          <w:sz w:val="22"/>
          <w:szCs w:val="22"/>
        </w:rPr>
        <w:t xml:space="preserve">intended for use </w:t>
      </w:r>
      <w:r w:rsidRPr="005B5418">
        <w:rPr>
          <w:rFonts w:eastAsia="Arial Unicode MS" w:cs="Arial"/>
          <w:sz w:val="22"/>
          <w:szCs w:val="22"/>
        </w:rPr>
        <w:t>at the federal entity reporting level</w:t>
      </w:r>
      <w:r w:rsidR="006431E8" w:rsidRPr="005B5418">
        <w:rPr>
          <w:rFonts w:eastAsia="Arial Unicode MS" w:cs="Arial"/>
          <w:sz w:val="22"/>
          <w:szCs w:val="22"/>
        </w:rPr>
        <w:t>,</w:t>
      </w:r>
      <w:r w:rsidRPr="005B5418">
        <w:rPr>
          <w:rFonts w:eastAsia="Arial Unicode MS" w:cs="Arial"/>
          <w:sz w:val="22"/>
          <w:szCs w:val="22"/>
        </w:rPr>
        <w:t xml:space="preserve"> not at the governmentwide reporting level.</w:t>
      </w:r>
    </w:p>
    <w:p w14:paraId="3005A568" w14:textId="77777777" w:rsidR="00A96FC8" w:rsidRPr="005B5418" w:rsidRDefault="00A96FC8" w:rsidP="003B61E9">
      <w:pPr>
        <w:pStyle w:val="BodyText"/>
        <w:spacing w:after="0" w:line="240" w:lineRule="auto"/>
        <w:jc w:val="left"/>
        <w:rPr>
          <w:rFonts w:eastAsia="Arial Unicode MS" w:cs="Arial"/>
          <w:sz w:val="22"/>
          <w:szCs w:val="22"/>
        </w:rPr>
      </w:pPr>
    </w:p>
    <w:bookmarkEnd w:id="25"/>
    <w:bookmarkEnd w:id="26"/>
    <w:bookmarkEnd w:id="27"/>
    <w:bookmarkEnd w:id="28"/>
    <w:p w14:paraId="63A756BA" w14:textId="68406E34" w:rsidR="00A96FC8" w:rsidRPr="005B5418" w:rsidRDefault="003C6BD4" w:rsidP="003B61E9">
      <w:pPr>
        <w:pStyle w:val="BodyText"/>
        <w:spacing w:after="0" w:line="240" w:lineRule="auto"/>
        <w:rPr>
          <w:rFonts w:eastAsia="Arial Unicode MS" w:cs="Arial"/>
          <w:i/>
          <w:sz w:val="22"/>
          <w:szCs w:val="22"/>
          <w:u w:val="single"/>
        </w:rPr>
      </w:pPr>
      <w:r w:rsidRPr="005B5418">
        <w:rPr>
          <w:rFonts w:eastAsia="Arial Unicode MS" w:cs="Arial"/>
          <w:sz w:val="22"/>
          <w:szCs w:val="22"/>
        </w:rPr>
        <w:t>The</w:t>
      </w:r>
      <w:r w:rsidR="006431E8" w:rsidRPr="005B5418">
        <w:rPr>
          <w:rFonts w:eastAsia="Arial Unicode MS" w:cs="Arial"/>
          <w:sz w:val="22"/>
          <w:szCs w:val="22"/>
        </w:rPr>
        <w:t xml:space="preserve"> checklist’s</w:t>
      </w:r>
      <w:r w:rsidRPr="005B5418">
        <w:rPr>
          <w:rFonts w:eastAsia="Arial Unicode MS" w:cs="Arial"/>
          <w:sz w:val="22"/>
          <w:szCs w:val="22"/>
        </w:rPr>
        <w:t xml:space="preserve"> topic sequence and numbering </w:t>
      </w:r>
      <w:r w:rsidR="006431E8" w:rsidRPr="005B5418">
        <w:rPr>
          <w:rFonts w:eastAsia="Arial Unicode MS" w:cs="Arial"/>
          <w:sz w:val="22"/>
          <w:szCs w:val="22"/>
        </w:rPr>
        <w:t>follow</w:t>
      </w:r>
      <w:r w:rsidRPr="005B5418">
        <w:rPr>
          <w:rFonts w:eastAsia="Arial Unicode MS" w:cs="Arial"/>
          <w:sz w:val="22"/>
          <w:szCs w:val="22"/>
        </w:rPr>
        <w:t xml:space="preserve"> the same note numbering </w:t>
      </w:r>
      <w:r w:rsidR="00A33929" w:rsidRPr="005B5418">
        <w:rPr>
          <w:rFonts w:eastAsia="Arial Unicode MS" w:cs="Arial"/>
          <w:sz w:val="22"/>
          <w:szCs w:val="22"/>
        </w:rPr>
        <w:t xml:space="preserve">sequence </w:t>
      </w:r>
      <w:r w:rsidRPr="005B5418">
        <w:rPr>
          <w:rFonts w:eastAsia="Arial Unicode MS" w:cs="Arial"/>
          <w:sz w:val="22"/>
          <w:szCs w:val="22"/>
        </w:rPr>
        <w:t xml:space="preserve">used in </w:t>
      </w:r>
      <w:r w:rsidR="00564D3D" w:rsidRPr="005B5418">
        <w:rPr>
          <w:rFonts w:eastAsia="Arial Unicode MS" w:cs="Arial"/>
          <w:sz w:val="22"/>
          <w:szCs w:val="22"/>
        </w:rPr>
        <w:t xml:space="preserve">OMB Circular </w:t>
      </w:r>
      <w:r w:rsidR="00032FCF" w:rsidRPr="005B5418">
        <w:rPr>
          <w:rFonts w:eastAsia="Arial Unicode MS" w:cs="Arial"/>
          <w:sz w:val="22"/>
          <w:szCs w:val="22"/>
        </w:rPr>
        <w:t xml:space="preserve">No. </w:t>
      </w:r>
      <w:r w:rsidRPr="005B5418">
        <w:rPr>
          <w:rFonts w:eastAsia="Arial Unicode MS" w:cs="Arial"/>
          <w:sz w:val="22"/>
          <w:szCs w:val="22"/>
        </w:rPr>
        <w:t xml:space="preserve">A-136, </w:t>
      </w:r>
      <w:r w:rsidR="006431E8" w:rsidRPr="005B5418">
        <w:rPr>
          <w:rFonts w:eastAsia="Arial Unicode MS" w:cs="Arial"/>
          <w:sz w:val="22"/>
          <w:szCs w:val="22"/>
        </w:rPr>
        <w:t xml:space="preserve">section </w:t>
      </w:r>
      <w:r w:rsidRPr="005B5418">
        <w:rPr>
          <w:rFonts w:eastAsia="Arial Unicode MS" w:cs="Arial"/>
          <w:sz w:val="22"/>
          <w:szCs w:val="22"/>
        </w:rPr>
        <w:t>II.3.8</w:t>
      </w:r>
      <w:r w:rsidR="006431E8" w:rsidRPr="005B5418">
        <w:rPr>
          <w:rFonts w:eastAsia="Arial Unicode MS" w:cs="Arial"/>
          <w:sz w:val="22"/>
          <w:szCs w:val="22"/>
        </w:rPr>
        <w:t>,</w:t>
      </w:r>
      <w:r w:rsidRPr="005B5418">
        <w:rPr>
          <w:rFonts w:eastAsia="Arial Unicode MS" w:cs="Arial"/>
          <w:sz w:val="22"/>
          <w:szCs w:val="22"/>
        </w:rPr>
        <w:t xml:space="preserve"> as we would expect user</w:t>
      </w:r>
      <w:r w:rsidR="00D6001E" w:rsidRPr="005B5418">
        <w:rPr>
          <w:rFonts w:eastAsia="Arial Unicode MS" w:cs="Arial"/>
          <w:sz w:val="22"/>
          <w:szCs w:val="22"/>
        </w:rPr>
        <w:t>s</w:t>
      </w:r>
      <w:r w:rsidRPr="005B5418">
        <w:rPr>
          <w:rFonts w:eastAsia="Arial Unicode MS" w:cs="Arial"/>
          <w:sz w:val="22"/>
          <w:szCs w:val="22"/>
        </w:rPr>
        <w:t xml:space="preserve"> to </w:t>
      </w:r>
      <w:r w:rsidR="006431E8" w:rsidRPr="005B5418">
        <w:rPr>
          <w:rFonts w:eastAsia="Arial Unicode MS" w:cs="Arial"/>
          <w:sz w:val="22"/>
          <w:szCs w:val="22"/>
        </w:rPr>
        <w:t>refer</w:t>
      </w:r>
      <w:r w:rsidRPr="005B5418">
        <w:rPr>
          <w:rFonts w:eastAsia="Arial Unicode MS" w:cs="Arial"/>
          <w:sz w:val="22"/>
          <w:szCs w:val="22"/>
        </w:rPr>
        <w:t xml:space="preserve"> to </w:t>
      </w:r>
      <w:r w:rsidR="006431E8" w:rsidRPr="005B5418">
        <w:rPr>
          <w:rFonts w:eastAsia="Arial Unicode MS" w:cs="Arial"/>
          <w:sz w:val="22"/>
          <w:szCs w:val="22"/>
        </w:rPr>
        <w:t xml:space="preserve">the circular </w:t>
      </w:r>
      <w:r w:rsidRPr="005B5418">
        <w:rPr>
          <w:rFonts w:eastAsia="Arial Unicode MS" w:cs="Arial"/>
          <w:sz w:val="22"/>
          <w:szCs w:val="22"/>
        </w:rPr>
        <w:t xml:space="preserve">while completing this checklist. </w:t>
      </w:r>
      <w:r w:rsidR="00B36439" w:rsidRPr="005B5418">
        <w:rPr>
          <w:rFonts w:eastAsia="Arial Unicode MS" w:cs="Arial"/>
          <w:sz w:val="22"/>
          <w:szCs w:val="22"/>
        </w:rPr>
        <w:t>References to FASAB standards in this checklist include corresponding amendments, as applicable.</w:t>
      </w:r>
    </w:p>
    <w:p w14:paraId="25B71682" w14:textId="77777777" w:rsidR="00A96FC8" w:rsidRPr="005B5418" w:rsidRDefault="00A96FC8" w:rsidP="003B61E9">
      <w:pPr>
        <w:pStyle w:val="BodyText"/>
        <w:spacing w:after="0" w:line="240" w:lineRule="auto"/>
        <w:rPr>
          <w:rFonts w:eastAsia="Arial Unicode MS" w:cs="Arial"/>
          <w:i/>
          <w:sz w:val="22"/>
          <w:szCs w:val="22"/>
          <w:u w:val="single"/>
        </w:rPr>
      </w:pPr>
    </w:p>
    <w:p w14:paraId="7BE73325" w14:textId="4EC945BC" w:rsidR="00335CD3" w:rsidRPr="005B5418" w:rsidRDefault="00335CD3" w:rsidP="003B61E9">
      <w:pPr>
        <w:pStyle w:val="BodyText"/>
        <w:spacing w:after="0" w:line="240" w:lineRule="auto"/>
        <w:rPr>
          <w:rFonts w:eastAsia="Arial Unicode MS" w:cs="Arial"/>
          <w:sz w:val="22"/>
          <w:szCs w:val="22"/>
          <w:u w:val="single"/>
        </w:rPr>
      </w:pPr>
      <w:r w:rsidRPr="005B5418">
        <w:rPr>
          <w:rFonts w:eastAsia="Arial Unicode MS" w:cs="Arial"/>
          <w:sz w:val="22"/>
          <w:szCs w:val="22"/>
          <w:u w:val="single"/>
        </w:rPr>
        <w:t xml:space="preserve">Instructions </w:t>
      </w:r>
    </w:p>
    <w:p w14:paraId="6FA1FBF0" w14:textId="77777777" w:rsidR="00335CD3" w:rsidRPr="005B5418" w:rsidRDefault="00335CD3" w:rsidP="003B61E9">
      <w:pPr>
        <w:pStyle w:val="BodyText"/>
        <w:spacing w:after="0" w:line="240" w:lineRule="auto"/>
        <w:rPr>
          <w:rFonts w:eastAsia="Arial Unicode MS" w:cs="Arial"/>
          <w:sz w:val="22"/>
          <w:szCs w:val="22"/>
        </w:rPr>
      </w:pPr>
    </w:p>
    <w:p w14:paraId="344B1CCD" w14:textId="7BEC5C0A" w:rsidR="00335CD3" w:rsidRPr="005B5418" w:rsidRDefault="00335CD3" w:rsidP="003B61E9">
      <w:pPr>
        <w:pStyle w:val="BodyText"/>
        <w:spacing w:after="0" w:line="240" w:lineRule="auto"/>
        <w:jc w:val="left"/>
        <w:rPr>
          <w:rFonts w:eastAsia="Arial Unicode MS" w:cs="Arial"/>
          <w:sz w:val="22"/>
          <w:szCs w:val="22"/>
        </w:rPr>
      </w:pPr>
      <w:r w:rsidRPr="005B5418">
        <w:rPr>
          <w:rFonts w:eastAsia="Arial Unicode MS" w:cs="Arial"/>
          <w:sz w:val="22"/>
          <w:szCs w:val="22"/>
        </w:rPr>
        <w:t xml:space="preserve">Below is an index </w:t>
      </w:r>
      <w:r w:rsidR="00A33929" w:rsidRPr="005B5418">
        <w:rPr>
          <w:rFonts w:eastAsia="Arial Unicode MS" w:cs="Arial"/>
          <w:sz w:val="22"/>
          <w:szCs w:val="22"/>
        </w:rPr>
        <w:t>listing the</w:t>
      </w:r>
      <w:r w:rsidRPr="005B5418">
        <w:rPr>
          <w:rFonts w:eastAsia="Arial Unicode MS" w:cs="Arial"/>
          <w:sz w:val="22"/>
          <w:szCs w:val="22"/>
        </w:rPr>
        <w:t xml:space="preserve"> accounting considerations with electronic links </w:t>
      </w:r>
      <w:r w:rsidR="00A33929" w:rsidRPr="005B5418">
        <w:rPr>
          <w:rFonts w:eastAsia="Arial Unicode MS" w:cs="Arial"/>
          <w:sz w:val="22"/>
          <w:szCs w:val="22"/>
        </w:rPr>
        <w:t xml:space="preserve">with </w:t>
      </w:r>
      <w:r w:rsidRPr="005B5418">
        <w:rPr>
          <w:rFonts w:eastAsia="Arial Unicode MS" w:cs="Arial"/>
          <w:sz w:val="22"/>
          <w:szCs w:val="22"/>
        </w:rPr>
        <w:t>a column for determining the applicability of each accounting consideration to the entity’s financial statements. This index is intended to be completed first as it identifies the relevant accounting considerations. For each accounting consideration, indicate whether it is applicable (</w:t>
      </w:r>
      <w:r w:rsidRPr="005B5418">
        <w:rPr>
          <w:rFonts w:eastAsia="Arial Unicode MS" w:cs="Arial"/>
          <w:b/>
          <w:sz w:val="22"/>
          <w:szCs w:val="22"/>
        </w:rPr>
        <w:t>Y</w:t>
      </w:r>
      <w:r w:rsidRPr="005B5418">
        <w:rPr>
          <w:rFonts w:eastAsia="Arial Unicode MS" w:cs="Arial"/>
          <w:sz w:val="22"/>
          <w:szCs w:val="22"/>
        </w:rPr>
        <w:t>) to the entity’s financial statements or is not applicable (</w:t>
      </w:r>
      <w:r w:rsidRPr="005B5418">
        <w:rPr>
          <w:rFonts w:eastAsia="Arial Unicode MS" w:cs="Arial"/>
          <w:b/>
          <w:sz w:val="22"/>
          <w:szCs w:val="22"/>
        </w:rPr>
        <w:t>N</w:t>
      </w:r>
      <w:r w:rsidR="0031436B" w:rsidRPr="005B5418">
        <w:rPr>
          <w:rFonts w:eastAsia="Arial Unicode MS" w:cs="Arial"/>
          <w:b/>
          <w:sz w:val="22"/>
          <w:szCs w:val="22"/>
        </w:rPr>
        <w:t>/</w:t>
      </w:r>
      <w:r w:rsidRPr="005B5418">
        <w:rPr>
          <w:rFonts w:eastAsia="Arial Unicode MS" w:cs="Arial"/>
          <w:b/>
          <w:sz w:val="22"/>
          <w:szCs w:val="22"/>
        </w:rPr>
        <w:t>A</w:t>
      </w:r>
      <w:r w:rsidRPr="005B5418">
        <w:rPr>
          <w:rFonts w:eastAsia="Arial Unicode MS" w:cs="Arial"/>
          <w:sz w:val="22"/>
          <w:szCs w:val="22"/>
        </w:rPr>
        <w:t>). If the entity has an insignificant amount of transactions or balances for an accounting consideration, it may decide not to complete that accounting consideration by indicating “not significant” (</w:t>
      </w:r>
      <w:r w:rsidRPr="005B5418">
        <w:rPr>
          <w:rFonts w:eastAsia="Arial Unicode MS" w:cs="Arial"/>
          <w:b/>
          <w:sz w:val="22"/>
          <w:szCs w:val="22"/>
        </w:rPr>
        <w:t>N</w:t>
      </w:r>
      <w:r w:rsidR="006C7C16" w:rsidRPr="005B5418">
        <w:rPr>
          <w:rFonts w:eastAsia="Arial Unicode MS" w:cs="Arial"/>
          <w:b/>
          <w:sz w:val="22"/>
          <w:szCs w:val="22"/>
        </w:rPr>
        <w:t>/</w:t>
      </w:r>
      <w:r w:rsidRPr="005B5418">
        <w:rPr>
          <w:rFonts w:eastAsia="Arial Unicode MS" w:cs="Arial"/>
          <w:b/>
          <w:sz w:val="22"/>
          <w:szCs w:val="22"/>
        </w:rPr>
        <w:t>S</w:t>
      </w:r>
      <w:r w:rsidRPr="005B5418">
        <w:rPr>
          <w:rFonts w:eastAsia="Arial Unicode MS" w:cs="Arial"/>
          <w:sz w:val="22"/>
          <w:szCs w:val="22"/>
        </w:rPr>
        <w:t xml:space="preserve">). Areas indicated </w:t>
      </w:r>
      <w:r w:rsidRPr="005B5418">
        <w:rPr>
          <w:rFonts w:eastAsia="Arial Unicode MS" w:cs="Arial"/>
          <w:b/>
          <w:sz w:val="22"/>
          <w:szCs w:val="22"/>
        </w:rPr>
        <w:t>N</w:t>
      </w:r>
      <w:r w:rsidR="00BA7751" w:rsidRPr="005B5418">
        <w:rPr>
          <w:rFonts w:eastAsia="Arial Unicode MS" w:cs="Arial"/>
          <w:b/>
          <w:sz w:val="22"/>
          <w:szCs w:val="22"/>
        </w:rPr>
        <w:t>/</w:t>
      </w:r>
      <w:r w:rsidRPr="005B5418">
        <w:rPr>
          <w:rFonts w:eastAsia="Arial Unicode MS" w:cs="Arial"/>
          <w:b/>
          <w:sz w:val="22"/>
          <w:szCs w:val="22"/>
        </w:rPr>
        <w:t>A</w:t>
      </w:r>
      <w:r w:rsidRPr="005B5418">
        <w:rPr>
          <w:rFonts w:eastAsia="Arial Unicode MS" w:cs="Arial"/>
          <w:sz w:val="22"/>
          <w:szCs w:val="22"/>
        </w:rPr>
        <w:t xml:space="preserve"> or </w:t>
      </w:r>
      <w:r w:rsidRPr="005B5418">
        <w:rPr>
          <w:rFonts w:eastAsia="Arial Unicode MS" w:cs="Arial"/>
          <w:b/>
          <w:sz w:val="22"/>
          <w:szCs w:val="22"/>
        </w:rPr>
        <w:t>N</w:t>
      </w:r>
      <w:r w:rsidR="006C7C16" w:rsidRPr="005B5418">
        <w:rPr>
          <w:rFonts w:eastAsia="Arial Unicode MS" w:cs="Arial"/>
          <w:b/>
          <w:sz w:val="22"/>
          <w:szCs w:val="22"/>
        </w:rPr>
        <w:t>/</w:t>
      </w:r>
      <w:r w:rsidRPr="005B5418">
        <w:rPr>
          <w:rFonts w:eastAsia="Arial Unicode MS" w:cs="Arial"/>
          <w:b/>
          <w:sz w:val="22"/>
          <w:szCs w:val="22"/>
        </w:rPr>
        <w:t>S</w:t>
      </w:r>
      <w:r w:rsidRPr="005B5418">
        <w:rPr>
          <w:rFonts w:eastAsia="Arial Unicode MS" w:cs="Arial"/>
          <w:sz w:val="22"/>
          <w:szCs w:val="22"/>
        </w:rPr>
        <w:t xml:space="preserve"> are not considered further. </w:t>
      </w:r>
    </w:p>
    <w:p w14:paraId="409CACA1" w14:textId="77777777" w:rsidR="00E65E96" w:rsidRPr="005B5418" w:rsidRDefault="00E65E96" w:rsidP="003B61E9">
      <w:pPr>
        <w:pStyle w:val="BodyText"/>
        <w:spacing w:after="0" w:line="240" w:lineRule="auto"/>
        <w:jc w:val="left"/>
        <w:rPr>
          <w:rFonts w:eastAsia="Arial Unicode MS" w:cs="Arial"/>
          <w:sz w:val="22"/>
          <w:szCs w:val="22"/>
        </w:rPr>
      </w:pPr>
    </w:p>
    <w:p w14:paraId="55977341" w14:textId="63CC6E21" w:rsidR="00E65E96" w:rsidRPr="005B5418" w:rsidRDefault="00E65E96" w:rsidP="008848DA">
      <w:pPr>
        <w:spacing w:after="0" w:line="240" w:lineRule="auto"/>
        <w:contextualSpacing/>
        <w:rPr>
          <w:rFonts w:ascii="Arial" w:hAnsi="Arial" w:cs="Arial"/>
        </w:rPr>
      </w:pPr>
      <w:r w:rsidRPr="005B5418">
        <w:rPr>
          <w:rFonts w:ascii="Arial" w:eastAsia="Arial Unicode MS" w:hAnsi="Arial" w:cs="Arial"/>
        </w:rPr>
        <w:t xml:space="preserve">Certain questions </w:t>
      </w:r>
      <w:r w:rsidR="00A33929" w:rsidRPr="005B5418">
        <w:rPr>
          <w:rFonts w:ascii="Arial" w:eastAsia="Arial Unicode MS" w:hAnsi="Arial" w:cs="Arial"/>
        </w:rPr>
        <w:t xml:space="preserve">on the </w:t>
      </w:r>
      <w:r w:rsidRPr="005B5418">
        <w:rPr>
          <w:rFonts w:ascii="Arial" w:eastAsia="Arial Unicode MS" w:hAnsi="Arial" w:cs="Arial"/>
        </w:rPr>
        <w:t xml:space="preserve">checklist apply only to significant entities. </w:t>
      </w:r>
      <w:r w:rsidRPr="005B5418">
        <w:rPr>
          <w:rFonts w:ascii="Arial" w:hAnsi="Arial" w:cs="Arial"/>
        </w:rPr>
        <w:t xml:space="preserve">The term significant entity refers to those reporting entities identified </w:t>
      </w:r>
      <w:r w:rsidR="00A33929" w:rsidRPr="005B5418">
        <w:rPr>
          <w:rFonts w:ascii="Arial" w:hAnsi="Arial" w:cs="Arial"/>
        </w:rPr>
        <w:t xml:space="preserve">as such </w:t>
      </w:r>
      <w:r w:rsidRPr="005B5418">
        <w:rPr>
          <w:rFonts w:ascii="Arial" w:hAnsi="Arial" w:cs="Arial"/>
        </w:rPr>
        <w:t>in the TFM, Volume 1, Part 2, Chapter 4700, Appendix 1a</w:t>
      </w:r>
      <w:r w:rsidR="00A33929" w:rsidRPr="005B5418">
        <w:rPr>
          <w:rFonts w:ascii="Arial" w:hAnsi="Arial" w:cs="Arial"/>
        </w:rPr>
        <w:t>,</w:t>
      </w:r>
      <w:r w:rsidRPr="005B5418">
        <w:rPr>
          <w:rFonts w:ascii="Arial" w:hAnsi="Arial" w:cs="Arial"/>
        </w:rPr>
        <w:t xml:space="preserve"> and in OMB Circular </w:t>
      </w:r>
      <w:r w:rsidR="00032FCF" w:rsidRPr="005B5418">
        <w:rPr>
          <w:rFonts w:ascii="Arial" w:hAnsi="Arial" w:cs="Arial"/>
        </w:rPr>
        <w:t xml:space="preserve">No. </w:t>
      </w:r>
      <w:r w:rsidRPr="005B5418">
        <w:rPr>
          <w:rFonts w:ascii="Arial" w:hAnsi="Arial" w:cs="Arial"/>
        </w:rPr>
        <w:t xml:space="preserve">A-136 Appendix A. </w:t>
      </w:r>
    </w:p>
    <w:p w14:paraId="2E2D6B7E" w14:textId="77777777" w:rsidR="005361BC" w:rsidRPr="005B5418" w:rsidRDefault="005361BC" w:rsidP="003B61E9">
      <w:pPr>
        <w:pStyle w:val="BodyText"/>
        <w:spacing w:line="240" w:lineRule="auto"/>
        <w:rPr>
          <w:b/>
          <w:sz w:val="32"/>
          <w:szCs w:val="32"/>
        </w:rPr>
      </w:pPr>
    </w:p>
    <w:p w14:paraId="1F818350" w14:textId="77777777" w:rsidR="00335CD3" w:rsidRPr="005B5418" w:rsidRDefault="00335CD3" w:rsidP="003B61E9">
      <w:pPr>
        <w:pStyle w:val="BodyText"/>
        <w:spacing w:line="240" w:lineRule="auto"/>
        <w:rPr>
          <w:rStyle w:val="Heading3Char"/>
          <w:sz w:val="32"/>
          <w:szCs w:val="32"/>
        </w:rPr>
      </w:pPr>
      <w:r w:rsidRPr="005B5418">
        <w:rPr>
          <w:b/>
          <w:sz w:val="32"/>
          <w:szCs w:val="32"/>
        </w:rPr>
        <w:lastRenderedPageBreak/>
        <w:t xml:space="preserve">Index </w:t>
      </w:r>
      <w:bookmarkEnd w:id="1"/>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2160"/>
      </w:tblGrid>
      <w:tr w:rsidR="00F44199" w:rsidRPr="005B5418" w14:paraId="7E31799A" w14:textId="77777777" w:rsidTr="00017B40">
        <w:trPr>
          <w:tblHeader/>
        </w:trPr>
        <w:tc>
          <w:tcPr>
            <w:tcW w:w="6660" w:type="dxa"/>
            <w:vAlign w:val="bottom"/>
          </w:tcPr>
          <w:p w14:paraId="469752ED" w14:textId="22E63B7F" w:rsidR="00335CD3" w:rsidRPr="005B5418" w:rsidRDefault="00ED13CC" w:rsidP="005A4545">
            <w:pPr>
              <w:pStyle w:val="Table-Cell-CenterBoldBefore6ptAfter6pt"/>
              <w:jc w:val="left"/>
              <w:rPr>
                <w:rFonts w:cs="Arial"/>
              </w:rPr>
            </w:pPr>
            <w:r w:rsidRPr="005B5418">
              <w:rPr>
                <w:rFonts w:cs="Arial"/>
              </w:rPr>
              <w:t xml:space="preserve">Accounting and </w:t>
            </w:r>
            <w:r w:rsidR="00CB7332" w:rsidRPr="005B5418">
              <w:rPr>
                <w:rFonts w:cs="Arial"/>
              </w:rPr>
              <w:t>Reporting</w:t>
            </w:r>
            <w:r w:rsidR="00335CD3" w:rsidRPr="005B5418">
              <w:rPr>
                <w:rFonts w:cs="Arial"/>
              </w:rPr>
              <w:t xml:space="preserve"> Considerations</w:t>
            </w:r>
          </w:p>
        </w:tc>
        <w:tc>
          <w:tcPr>
            <w:tcW w:w="2160" w:type="dxa"/>
            <w:vAlign w:val="bottom"/>
          </w:tcPr>
          <w:p w14:paraId="36553726" w14:textId="3593E458" w:rsidR="00335CD3" w:rsidRPr="005B5418" w:rsidRDefault="00335CD3" w:rsidP="00777F04">
            <w:pPr>
              <w:pStyle w:val="Table-Cell-CenterBoldBefore6ptAfter6pt"/>
              <w:rPr>
                <w:rFonts w:cs="Arial"/>
              </w:rPr>
            </w:pPr>
            <w:r w:rsidRPr="005B5418">
              <w:rPr>
                <w:rFonts w:cs="Arial"/>
              </w:rPr>
              <w:t>Applicable (Y), Not Applicable (N</w:t>
            </w:r>
            <w:r w:rsidR="00BA7751" w:rsidRPr="005B5418">
              <w:rPr>
                <w:rFonts w:cs="Arial"/>
              </w:rPr>
              <w:t>/</w:t>
            </w:r>
            <w:r w:rsidRPr="005B5418">
              <w:rPr>
                <w:rFonts w:cs="Arial"/>
              </w:rPr>
              <w:t>A), or Not Significant (N</w:t>
            </w:r>
            <w:r w:rsidR="0021292D" w:rsidRPr="005B5418">
              <w:rPr>
                <w:rFonts w:cs="Arial"/>
              </w:rPr>
              <w:t>/</w:t>
            </w:r>
            <w:r w:rsidRPr="005B5418">
              <w:rPr>
                <w:rFonts w:cs="Arial"/>
              </w:rPr>
              <w:t>S)</w:t>
            </w:r>
          </w:p>
        </w:tc>
      </w:tr>
      <w:tr w:rsidR="00F44199" w:rsidRPr="005B5418" w14:paraId="7676418A" w14:textId="77777777" w:rsidTr="00017B40">
        <w:trPr>
          <w:trHeight w:val="106"/>
        </w:trPr>
        <w:tc>
          <w:tcPr>
            <w:tcW w:w="6660" w:type="dxa"/>
            <w:tcBorders>
              <w:top w:val="single" w:sz="4" w:space="0" w:color="auto"/>
              <w:left w:val="single" w:sz="4" w:space="0" w:color="auto"/>
              <w:bottom w:val="single" w:sz="4" w:space="0" w:color="auto"/>
              <w:right w:val="single" w:sz="4" w:space="0" w:color="auto"/>
            </w:tcBorders>
            <w:vAlign w:val="center"/>
          </w:tcPr>
          <w:p w14:paraId="4B13101E" w14:textId="77777777" w:rsidR="00ED13CC" w:rsidRPr="005B5418" w:rsidRDefault="00ED13CC" w:rsidP="003B61E9">
            <w:pPr>
              <w:pStyle w:val="Table-Head-Left"/>
              <w:spacing w:before="40" w:after="40"/>
              <w:rPr>
                <w:rFonts w:cs="Arial"/>
                <w:b w:val="0"/>
                <w:bCs/>
                <w:color w:val="0000FF"/>
              </w:rPr>
            </w:pPr>
            <w:hyperlink w:anchor="_Section_I_–" w:history="1">
              <w:r w:rsidRPr="005B5418">
                <w:rPr>
                  <w:rStyle w:val="Hyperlink"/>
                  <w:rFonts w:eastAsia="Times New Roman" w:cs="Arial"/>
                  <w:b w:val="0"/>
                  <w:bCs/>
                  <w:u w:val="none"/>
                </w:rPr>
                <w:t>I – Reporting Entity</w:t>
              </w:r>
            </w:hyperlink>
          </w:p>
        </w:tc>
        <w:tc>
          <w:tcPr>
            <w:tcW w:w="2160" w:type="dxa"/>
            <w:tcBorders>
              <w:top w:val="single" w:sz="4" w:space="0" w:color="auto"/>
              <w:left w:val="single" w:sz="4" w:space="0" w:color="auto"/>
              <w:bottom w:val="single" w:sz="4" w:space="0" w:color="auto"/>
              <w:right w:val="single" w:sz="4" w:space="0" w:color="auto"/>
            </w:tcBorders>
            <w:vAlign w:val="center"/>
          </w:tcPr>
          <w:p w14:paraId="355E1C73" w14:textId="77777777" w:rsidR="00ED13CC" w:rsidRPr="005B5418" w:rsidRDefault="00ED13CC" w:rsidP="003B61E9">
            <w:pPr>
              <w:spacing w:line="240" w:lineRule="auto"/>
              <w:jc w:val="center"/>
              <w:rPr>
                <w:rFonts w:cs="Arial"/>
                <w:b/>
              </w:rPr>
            </w:pPr>
          </w:p>
        </w:tc>
      </w:tr>
      <w:tr w:rsidR="00F44199" w:rsidRPr="005B5418" w14:paraId="03B0835C" w14:textId="77777777" w:rsidTr="005370A0">
        <w:trPr>
          <w:trHeight w:val="106"/>
        </w:trPr>
        <w:tc>
          <w:tcPr>
            <w:tcW w:w="6660" w:type="dxa"/>
            <w:tcBorders>
              <w:top w:val="single" w:sz="4" w:space="0" w:color="auto"/>
              <w:left w:val="single" w:sz="4" w:space="0" w:color="auto"/>
              <w:bottom w:val="single" w:sz="4" w:space="0" w:color="auto"/>
              <w:right w:val="single" w:sz="4" w:space="0" w:color="auto"/>
            </w:tcBorders>
            <w:vAlign w:val="center"/>
          </w:tcPr>
          <w:p w14:paraId="31BD3C33" w14:textId="7E9DFF60" w:rsidR="00A87662" w:rsidRPr="005B5418" w:rsidRDefault="00A87662" w:rsidP="00DC4F1C">
            <w:pPr>
              <w:pStyle w:val="Table-Head-Left"/>
              <w:spacing w:before="40" w:after="40"/>
              <w:rPr>
                <w:rFonts w:cs="Arial"/>
                <w:b w:val="0"/>
                <w:bCs/>
                <w:color w:val="0000FF"/>
              </w:rPr>
            </w:pPr>
            <w:hyperlink w:anchor="_Section_II.1_–" w:history="1">
              <w:r w:rsidRPr="005B5418">
                <w:rPr>
                  <w:rStyle w:val="Hyperlink"/>
                  <w:rFonts w:eastAsia="Times New Roman" w:cs="Arial"/>
                  <w:b w:val="0"/>
                  <w:bCs/>
                  <w:u w:val="none"/>
                </w:rPr>
                <w:t>II.1 – Required Contents of the AFR or PAR</w:t>
              </w:r>
            </w:hyperlink>
          </w:p>
        </w:tc>
        <w:tc>
          <w:tcPr>
            <w:tcW w:w="2160" w:type="dxa"/>
            <w:tcBorders>
              <w:top w:val="single" w:sz="4" w:space="0" w:color="auto"/>
              <w:left w:val="single" w:sz="4" w:space="0" w:color="auto"/>
              <w:bottom w:val="single" w:sz="4" w:space="0" w:color="auto"/>
              <w:right w:val="single" w:sz="4" w:space="0" w:color="auto"/>
            </w:tcBorders>
            <w:vAlign w:val="center"/>
          </w:tcPr>
          <w:p w14:paraId="43BB4E1D" w14:textId="77777777" w:rsidR="00A87662" w:rsidRPr="005B5418" w:rsidRDefault="00A87662" w:rsidP="003B61E9">
            <w:pPr>
              <w:spacing w:line="240" w:lineRule="auto"/>
              <w:jc w:val="center"/>
              <w:rPr>
                <w:rFonts w:cs="Arial"/>
                <w:b/>
              </w:rPr>
            </w:pPr>
          </w:p>
        </w:tc>
      </w:tr>
      <w:tr w:rsidR="00F44199" w:rsidRPr="005B5418" w14:paraId="5D51E7E3" w14:textId="77777777" w:rsidTr="00017B40">
        <w:trPr>
          <w:trHeight w:val="106"/>
        </w:trPr>
        <w:tc>
          <w:tcPr>
            <w:tcW w:w="6660" w:type="dxa"/>
            <w:tcBorders>
              <w:top w:val="single" w:sz="4" w:space="0" w:color="auto"/>
              <w:left w:val="single" w:sz="4" w:space="0" w:color="auto"/>
              <w:bottom w:val="single" w:sz="4" w:space="0" w:color="auto"/>
              <w:right w:val="single" w:sz="4" w:space="0" w:color="auto"/>
            </w:tcBorders>
            <w:vAlign w:val="center"/>
          </w:tcPr>
          <w:p w14:paraId="25AC0537" w14:textId="77777777" w:rsidR="00ED13CC" w:rsidRPr="005B5418" w:rsidRDefault="00ED13CC" w:rsidP="003B61E9">
            <w:pPr>
              <w:pStyle w:val="Table-Head-Left"/>
              <w:spacing w:before="40" w:after="40"/>
              <w:rPr>
                <w:rFonts w:cs="Arial"/>
                <w:b w:val="0"/>
                <w:bCs/>
                <w:color w:val="0000FF"/>
              </w:rPr>
            </w:pPr>
            <w:hyperlink w:anchor="_Section_II.2_–" w:history="1">
              <w:r w:rsidRPr="005B5418">
                <w:rPr>
                  <w:rStyle w:val="Hyperlink"/>
                  <w:rFonts w:eastAsia="Times New Roman" w:cs="Arial"/>
                  <w:b w:val="0"/>
                  <w:bCs/>
                  <w:u w:val="none"/>
                </w:rPr>
                <w:t>II</w:t>
              </w:r>
              <w:r w:rsidR="00493249" w:rsidRPr="005B5418">
                <w:rPr>
                  <w:rStyle w:val="Hyperlink"/>
                  <w:rFonts w:eastAsia="Times New Roman" w:cs="Arial"/>
                  <w:b w:val="0"/>
                  <w:bCs/>
                  <w:u w:val="none"/>
                </w:rPr>
                <w:t>.2</w:t>
              </w:r>
              <w:r w:rsidRPr="005B5418">
                <w:rPr>
                  <w:rStyle w:val="Hyperlink"/>
                  <w:rFonts w:eastAsia="Times New Roman" w:cs="Arial"/>
                  <w:b w:val="0"/>
                  <w:bCs/>
                  <w:u w:val="none"/>
                </w:rPr>
                <w:t xml:space="preserve"> – </w:t>
              </w:r>
              <w:r w:rsidR="00A87662" w:rsidRPr="005B5418">
                <w:rPr>
                  <w:rStyle w:val="Hyperlink"/>
                  <w:rFonts w:eastAsia="Times New Roman" w:cs="Arial"/>
                  <w:b w:val="0"/>
                  <w:bCs/>
                  <w:u w:val="none"/>
                </w:rPr>
                <w:t>Management’s Discussion and Analysis</w:t>
              </w:r>
            </w:hyperlink>
          </w:p>
        </w:tc>
        <w:tc>
          <w:tcPr>
            <w:tcW w:w="2160" w:type="dxa"/>
            <w:tcBorders>
              <w:top w:val="single" w:sz="4" w:space="0" w:color="auto"/>
              <w:left w:val="single" w:sz="4" w:space="0" w:color="auto"/>
              <w:bottom w:val="single" w:sz="4" w:space="0" w:color="auto"/>
              <w:right w:val="single" w:sz="4" w:space="0" w:color="auto"/>
            </w:tcBorders>
            <w:vAlign w:val="center"/>
          </w:tcPr>
          <w:p w14:paraId="5350C993" w14:textId="77777777" w:rsidR="00ED13CC" w:rsidRPr="005B5418" w:rsidRDefault="00ED13CC" w:rsidP="003B61E9">
            <w:pPr>
              <w:spacing w:line="240" w:lineRule="auto"/>
              <w:jc w:val="center"/>
              <w:rPr>
                <w:rFonts w:cs="Arial"/>
                <w:b/>
              </w:rPr>
            </w:pPr>
          </w:p>
        </w:tc>
      </w:tr>
      <w:tr w:rsidR="00F44199" w:rsidRPr="005B5418" w14:paraId="1A500F46" w14:textId="77777777" w:rsidTr="00017B40">
        <w:trPr>
          <w:trHeight w:val="106"/>
        </w:trPr>
        <w:tc>
          <w:tcPr>
            <w:tcW w:w="6660" w:type="dxa"/>
            <w:tcBorders>
              <w:top w:val="single" w:sz="4" w:space="0" w:color="auto"/>
              <w:left w:val="single" w:sz="4" w:space="0" w:color="auto"/>
              <w:bottom w:val="single" w:sz="4" w:space="0" w:color="auto"/>
              <w:right w:val="single" w:sz="4" w:space="0" w:color="auto"/>
            </w:tcBorders>
            <w:vAlign w:val="center"/>
          </w:tcPr>
          <w:p w14:paraId="2A39E75A" w14:textId="77777777" w:rsidR="00F11228" w:rsidRPr="005B5418" w:rsidRDefault="00B45657" w:rsidP="003B61E9">
            <w:pPr>
              <w:pStyle w:val="Table-Head-Left"/>
              <w:spacing w:before="40" w:after="40"/>
              <w:rPr>
                <w:rFonts w:cs="Arial"/>
                <w:b w:val="0"/>
                <w:bCs/>
                <w:color w:val="0000FF"/>
              </w:rPr>
            </w:pPr>
            <w:hyperlink w:anchor="_Section_II.3.1_-" w:history="1">
              <w:r w:rsidRPr="005B5418">
                <w:rPr>
                  <w:rStyle w:val="Hyperlink"/>
                  <w:rFonts w:eastAsia="Times New Roman" w:cs="Arial"/>
                  <w:b w:val="0"/>
                  <w:bCs/>
                  <w:u w:val="none"/>
                </w:rPr>
                <w:t>II.3</w:t>
              </w:r>
              <w:r w:rsidR="00F11228" w:rsidRPr="005B5418">
                <w:rPr>
                  <w:rStyle w:val="Hyperlink"/>
                  <w:rFonts w:eastAsia="Times New Roman" w:cs="Arial"/>
                  <w:b w:val="0"/>
                  <w:bCs/>
                  <w:u w:val="none"/>
                </w:rPr>
                <w:t xml:space="preserve"> – Financial Statements</w:t>
              </w:r>
            </w:hyperlink>
          </w:p>
        </w:tc>
        <w:tc>
          <w:tcPr>
            <w:tcW w:w="2160" w:type="dxa"/>
            <w:tcBorders>
              <w:top w:val="single" w:sz="4" w:space="0" w:color="auto"/>
              <w:left w:val="single" w:sz="4" w:space="0" w:color="auto"/>
              <w:bottom w:val="single" w:sz="4" w:space="0" w:color="auto"/>
              <w:right w:val="single" w:sz="4" w:space="0" w:color="auto"/>
            </w:tcBorders>
            <w:vAlign w:val="center"/>
          </w:tcPr>
          <w:p w14:paraId="0A6D3327" w14:textId="77777777" w:rsidR="00F11228" w:rsidRPr="005B5418" w:rsidRDefault="00F11228" w:rsidP="003B61E9">
            <w:pPr>
              <w:spacing w:line="240" w:lineRule="auto"/>
              <w:jc w:val="center"/>
              <w:rPr>
                <w:rFonts w:cs="Arial"/>
                <w:b/>
              </w:rPr>
            </w:pPr>
          </w:p>
        </w:tc>
      </w:tr>
      <w:tr w:rsidR="00F44199" w:rsidRPr="005B5418" w14:paraId="6DE367B2" w14:textId="77777777" w:rsidTr="00017B40">
        <w:tc>
          <w:tcPr>
            <w:tcW w:w="6660" w:type="dxa"/>
            <w:vAlign w:val="center"/>
          </w:tcPr>
          <w:p w14:paraId="0C66BB70" w14:textId="77777777" w:rsidR="00B45657" w:rsidRPr="005B5418" w:rsidRDefault="00B45657" w:rsidP="003B61E9">
            <w:pPr>
              <w:pStyle w:val="Table-Cell-Indent"/>
              <w:spacing w:before="40" w:after="40"/>
              <w:rPr>
                <w:rFonts w:cs="Arial"/>
                <w:color w:val="0000FF"/>
              </w:rPr>
            </w:pPr>
            <w:hyperlink w:anchor="_II.3.1_General_Accounting" w:history="1">
              <w:r w:rsidRPr="005B5418">
                <w:rPr>
                  <w:rStyle w:val="Hyperlink"/>
                  <w:rFonts w:eastAsia="Times New Roman" w:cs="Arial"/>
                  <w:u w:val="none"/>
                </w:rPr>
                <w:t>II.3.1 – General Accounting Matters</w:t>
              </w:r>
            </w:hyperlink>
          </w:p>
        </w:tc>
        <w:tc>
          <w:tcPr>
            <w:tcW w:w="2160" w:type="dxa"/>
            <w:vAlign w:val="center"/>
          </w:tcPr>
          <w:p w14:paraId="5C316458" w14:textId="77777777" w:rsidR="00B45657" w:rsidRPr="005B5418" w:rsidRDefault="00B45657" w:rsidP="003B61E9">
            <w:pPr>
              <w:spacing w:line="240" w:lineRule="auto"/>
              <w:jc w:val="center"/>
              <w:rPr>
                <w:rFonts w:cs="Arial"/>
                <w:b/>
              </w:rPr>
            </w:pPr>
          </w:p>
        </w:tc>
      </w:tr>
      <w:tr w:rsidR="00F44199" w:rsidRPr="005B5418" w14:paraId="55E3E326" w14:textId="77777777" w:rsidTr="00017B40">
        <w:tc>
          <w:tcPr>
            <w:tcW w:w="6660" w:type="dxa"/>
            <w:vAlign w:val="center"/>
          </w:tcPr>
          <w:p w14:paraId="480E0ECD" w14:textId="3FB46FE0" w:rsidR="00F11228" w:rsidRPr="005B5418" w:rsidRDefault="00B45657" w:rsidP="003B61E9">
            <w:pPr>
              <w:pStyle w:val="Table-Cell-Indent"/>
              <w:spacing w:before="40" w:after="40"/>
              <w:rPr>
                <w:rFonts w:cs="Arial"/>
                <w:color w:val="0000FF"/>
              </w:rPr>
            </w:pPr>
            <w:hyperlink w:anchor="_II.3.2_Balance_Sheet_1" w:history="1">
              <w:r w:rsidRPr="005B5418">
                <w:rPr>
                  <w:rStyle w:val="Hyperlink"/>
                  <w:rFonts w:eastAsia="Times New Roman" w:cs="Arial"/>
                  <w:u w:val="none"/>
                </w:rPr>
                <w:t>II.3.2</w:t>
              </w:r>
              <w:r w:rsidR="00F11228" w:rsidRPr="005B5418">
                <w:rPr>
                  <w:rStyle w:val="Hyperlink"/>
                  <w:rFonts w:eastAsia="Times New Roman" w:cs="Arial"/>
                  <w:u w:val="none"/>
                </w:rPr>
                <w:t xml:space="preserve"> – Balance Sheet</w:t>
              </w:r>
            </w:hyperlink>
          </w:p>
        </w:tc>
        <w:tc>
          <w:tcPr>
            <w:tcW w:w="2160" w:type="dxa"/>
            <w:vAlign w:val="center"/>
          </w:tcPr>
          <w:p w14:paraId="5E5AA11E" w14:textId="77777777" w:rsidR="00F11228" w:rsidRPr="005B5418" w:rsidRDefault="00F11228" w:rsidP="003B61E9">
            <w:pPr>
              <w:spacing w:line="240" w:lineRule="auto"/>
              <w:jc w:val="center"/>
              <w:rPr>
                <w:rFonts w:cs="Arial"/>
                <w:b/>
              </w:rPr>
            </w:pPr>
          </w:p>
        </w:tc>
      </w:tr>
      <w:tr w:rsidR="00F44199" w:rsidRPr="005B5418" w14:paraId="57BF2496" w14:textId="77777777" w:rsidTr="00017B40">
        <w:tc>
          <w:tcPr>
            <w:tcW w:w="6660" w:type="dxa"/>
            <w:vAlign w:val="center"/>
          </w:tcPr>
          <w:p w14:paraId="228E0E2F" w14:textId="77777777" w:rsidR="00F11228" w:rsidRPr="005B5418" w:rsidRDefault="00B45657" w:rsidP="003B61E9">
            <w:pPr>
              <w:pStyle w:val="Table-Cell-Indent"/>
              <w:spacing w:before="40" w:after="40"/>
              <w:rPr>
                <w:rFonts w:cs="Arial"/>
                <w:color w:val="0000FF"/>
              </w:rPr>
            </w:pPr>
            <w:hyperlink w:anchor="_II.3.3_Statement_of_1" w:history="1">
              <w:r w:rsidRPr="005B5418">
                <w:rPr>
                  <w:rStyle w:val="Hyperlink"/>
                  <w:rFonts w:eastAsia="Times New Roman" w:cs="Arial"/>
                  <w:u w:val="none"/>
                </w:rPr>
                <w:t>II</w:t>
              </w:r>
              <w:r w:rsidR="00F11228" w:rsidRPr="005B5418">
                <w:rPr>
                  <w:rStyle w:val="Hyperlink"/>
                  <w:rFonts w:eastAsia="Times New Roman" w:cs="Arial"/>
                  <w:u w:val="none"/>
                </w:rPr>
                <w:t>.</w:t>
              </w:r>
              <w:r w:rsidRPr="005B5418">
                <w:rPr>
                  <w:rStyle w:val="Hyperlink"/>
                  <w:rFonts w:eastAsia="Times New Roman" w:cs="Arial"/>
                  <w:u w:val="none"/>
                </w:rPr>
                <w:t>3.3</w:t>
              </w:r>
              <w:r w:rsidR="00F11228" w:rsidRPr="005B5418">
                <w:rPr>
                  <w:rStyle w:val="Hyperlink"/>
                  <w:rFonts w:eastAsia="Times New Roman" w:cs="Arial"/>
                  <w:u w:val="none"/>
                </w:rPr>
                <w:t xml:space="preserve"> – Statement of Net Cost</w:t>
              </w:r>
            </w:hyperlink>
          </w:p>
        </w:tc>
        <w:tc>
          <w:tcPr>
            <w:tcW w:w="2160" w:type="dxa"/>
            <w:vAlign w:val="center"/>
          </w:tcPr>
          <w:p w14:paraId="3EC2F1B3" w14:textId="77777777" w:rsidR="00F11228" w:rsidRPr="005B5418" w:rsidRDefault="00F11228" w:rsidP="003B61E9">
            <w:pPr>
              <w:spacing w:line="240" w:lineRule="auto"/>
              <w:jc w:val="center"/>
              <w:rPr>
                <w:rFonts w:cs="Arial"/>
                <w:b/>
              </w:rPr>
            </w:pPr>
          </w:p>
        </w:tc>
      </w:tr>
      <w:tr w:rsidR="00F44199" w:rsidRPr="005B5418" w14:paraId="636FD359" w14:textId="77777777" w:rsidTr="00017B40">
        <w:tc>
          <w:tcPr>
            <w:tcW w:w="6660" w:type="dxa"/>
            <w:vAlign w:val="center"/>
          </w:tcPr>
          <w:p w14:paraId="5AEB700C" w14:textId="49DD5D5F" w:rsidR="00F11228" w:rsidRPr="005B5418" w:rsidRDefault="00B45657" w:rsidP="003B61E9">
            <w:pPr>
              <w:pStyle w:val="Table-Cell-Indent"/>
              <w:spacing w:before="40" w:after="40"/>
              <w:rPr>
                <w:rFonts w:cs="Arial"/>
                <w:color w:val="0000FF"/>
              </w:rPr>
            </w:pPr>
            <w:hyperlink w:anchor="_II.3.4_Statement_of_1" w:history="1">
              <w:r w:rsidRPr="005B5418">
                <w:rPr>
                  <w:rStyle w:val="Hyperlink"/>
                  <w:rFonts w:eastAsia="Times New Roman" w:cs="Arial"/>
                  <w:u w:val="none"/>
                </w:rPr>
                <w:t>II</w:t>
              </w:r>
              <w:r w:rsidR="00F11228" w:rsidRPr="005B5418">
                <w:rPr>
                  <w:rStyle w:val="Hyperlink"/>
                  <w:rFonts w:eastAsia="Times New Roman" w:cs="Arial"/>
                  <w:u w:val="none"/>
                </w:rPr>
                <w:t>.3</w:t>
              </w:r>
              <w:r w:rsidRPr="005B5418">
                <w:rPr>
                  <w:rStyle w:val="Hyperlink"/>
                  <w:rFonts w:eastAsia="Times New Roman" w:cs="Arial"/>
                  <w:u w:val="none"/>
                </w:rPr>
                <w:t>.4</w:t>
              </w:r>
              <w:r w:rsidR="00F11228" w:rsidRPr="005B5418">
                <w:rPr>
                  <w:rStyle w:val="Hyperlink"/>
                  <w:rFonts w:eastAsia="Times New Roman" w:cs="Arial"/>
                  <w:u w:val="none"/>
                </w:rPr>
                <w:t xml:space="preserve"> – Statement of Changes in Net Position</w:t>
              </w:r>
            </w:hyperlink>
          </w:p>
        </w:tc>
        <w:tc>
          <w:tcPr>
            <w:tcW w:w="2160" w:type="dxa"/>
            <w:vAlign w:val="center"/>
          </w:tcPr>
          <w:p w14:paraId="1536693C" w14:textId="77777777" w:rsidR="00F11228" w:rsidRPr="005B5418" w:rsidRDefault="00F11228" w:rsidP="003B61E9">
            <w:pPr>
              <w:spacing w:line="240" w:lineRule="auto"/>
              <w:jc w:val="center"/>
              <w:rPr>
                <w:rFonts w:cs="Arial"/>
                <w:b/>
              </w:rPr>
            </w:pPr>
          </w:p>
        </w:tc>
      </w:tr>
      <w:tr w:rsidR="00F44199" w:rsidRPr="005B5418" w14:paraId="09D4E310" w14:textId="77777777" w:rsidTr="00017B40">
        <w:tc>
          <w:tcPr>
            <w:tcW w:w="6660" w:type="dxa"/>
            <w:vAlign w:val="center"/>
          </w:tcPr>
          <w:p w14:paraId="540BF225" w14:textId="77777777" w:rsidR="00F11228" w:rsidRPr="005B5418" w:rsidRDefault="00B45657" w:rsidP="003B61E9">
            <w:pPr>
              <w:pStyle w:val="Table-Cell-Indent"/>
              <w:spacing w:before="40" w:after="40"/>
              <w:rPr>
                <w:rFonts w:cs="Arial"/>
                <w:color w:val="0000FF"/>
              </w:rPr>
            </w:pPr>
            <w:hyperlink w:anchor="_II.3.5_Statement_of" w:history="1">
              <w:r w:rsidRPr="005B5418">
                <w:rPr>
                  <w:rStyle w:val="Hyperlink"/>
                  <w:rFonts w:eastAsia="Times New Roman" w:cs="Arial"/>
                  <w:u w:val="none"/>
                </w:rPr>
                <w:t>II.3.5</w:t>
              </w:r>
              <w:r w:rsidR="00F11228" w:rsidRPr="005B5418">
                <w:rPr>
                  <w:rStyle w:val="Hyperlink"/>
                  <w:rFonts w:eastAsia="Times New Roman" w:cs="Arial"/>
                  <w:u w:val="none"/>
                </w:rPr>
                <w:t xml:space="preserve"> – Statement of Budgetary Resources</w:t>
              </w:r>
            </w:hyperlink>
          </w:p>
        </w:tc>
        <w:tc>
          <w:tcPr>
            <w:tcW w:w="2160" w:type="dxa"/>
            <w:vAlign w:val="center"/>
          </w:tcPr>
          <w:p w14:paraId="69555619" w14:textId="77777777" w:rsidR="00F11228" w:rsidRPr="005B5418" w:rsidRDefault="00F11228" w:rsidP="003B61E9">
            <w:pPr>
              <w:spacing w:line="240" w:lineRule="auto"/>
              <w:jc w:val="center"/>
              <w:rPr>
                <w:rFonts w:cs="Arial"/>
                <w:b/>
              </w:rPr>
            </w:pPr>
          </w:p>
        </w:tc>
      </w:tr>
      <w:tr w:rsidR="00F44199" w:rsidRPr="005B5418" w14:paraId="1A0C8F0F" w14:textId="77777777" w:rsidTr="00017B40">
        <w:tc>
          <w:tcPr>
            <w:tcW w:w="6660" w:type="dxa"/>
            <w:vAlign w:val="center"/>
          </w:tcPr>
          <w:p w14:paraId="47179875" w14:textId="77777777" w:rsidR="00F11228" w:rsidRPr="005B5418" w:rsidRDefault="00B45657" w:rsidP="003B61E9">
            <w:pPr>
              <w:pStyle w:val="Table-Cell-Indent"/>
              <w:spacing w:before="40" w:after="40"/>
              <w:rPr>
                <w:rFonts w:cs="Arial"/>
                <w:color w:val="0000FF"/>
              </w:rPr>
            </w:pPr>
            <w:hyperlink w:anchor="_II.3.6_Statement_of" w:history="1">
              <w:r w:rsidRPr="005B5418">
                <w:rPr>
                  <w:rStyle w:val="Hyperlink"/>
                  <w:rFonts w:eastAsia="Times New Roman" w:cs="Arial"/>
                  <w:u w:val="none"/>
                </w:rPr>
                <w:t>II.3.6</w:t>
              </w:r>
              <w:r w:rsidR="00F11228" w:rsidRPr="005B5418">
                <w:rPr>
                  <w:rStyle w:val="Hyperlink"/>
                  <w:rFonts w:eastAsia="Times New Roman" w:cs="Arial"/>
                  <w:u w:val="none"/>
                </w:rPr>
                <w:t xml:space="preserve"> – Statement of Custodial Activity</w:t>
              </w:r>
            </w:hyperlink>
          </w:p>
        </w:tc>
        <w:tc>
          <w:tcPr>
            <w:tcW w:w="2160" w:type="dxa"/>
            <w:vAlign w:val="center"/>
          </w:tcPr>
          <w:p w14:paraId="6F408A75" w14:textId="77777777" w:rsidR="00F11228" w:rsidRPr="005B5418" w:rsidRDefault="00F11228" w:rsidP="003B61E9">
            <w:pPr>
              <w:spacing w:line="240" w:lineRule="auto"/>
              <w:jc w:val="center"/>
              <w:rPr>
                <w:rFonts w:cs="Arial"/>
                <w:b/>
              </w:rPr>
            </w:pPr>
          </w:p>
        </w:tc>
      </w:tr>
      <w:tr w:rsidR="00F44199" w:rsidRPr="005B5418" w14:paraId="08863240" w14:textId="77777777" w:rsidTr="00017B40">
        <w:tc>
          <w:tcPr>
            <w:tcW w:w="6660" w:type="dxa"/>
            <w:vAlign w:val="center"/>
          </w:tcPr>
          <w:p w14:paraId="6ED9034B" w14:textId="6630DA24" w:rsidR="00F11228" w:rsidRPr="005B5418" w:rsidRDefault="002942E9" w:rsidP="002942E9">
            <w:pPr>
              <w:pStyle w:val="Table-Cell-Indent"/>
              <w:spacing w:before="40" w:after="40"/>
              <w:ind w:left="1125" w:right="270" w:hanging="765"/>
              <w:rPr>
                <w:rFonts w:cs="Arial"/>
                <w:color w:val="0000FF"/>
              </w:rPr>
            </w:pPr>
            <w:hyperlink w:anchor="_II.3.7_Statement_of" w:history="1">
              <w:r w:rsidRPr="005B5418">
                <w:rPr>
                  <w:rStyle w:val="Hyperlink"/>
                  <w:rFonts w:eastAsia="Times New Roman"/>
                  <w:u w:val="none"/>
                </w:rPr>
                <w:t>II.3.7 – S</w:t>
              </w:r>
              <w:r w:rsidR="009145B9" w:rsidRPr="005B5418">
                <w:rPr>
                  <w:rStyle w:val="Hyperlink"/>
                  <w:rFonts w:eastAsia="Times New Roman"/>
                  <w:u w:val="none"/>
                </w:rPr>
                <w:t>tatement of Social Insurance &amp; Statem</w:t>
              </w:r>
              <w:r w:rsidRPr="005B5418">
                <w:rPr>
                  <w:rStyle w:val="Hyperlink"/>
                  <w:rFonts w:eastAsia="Times New Roman"/>
                  <w:u w:val="none"/>
                </w:rPr>
                <w:t xml:space="preserve">ent </w:t>
              </w:r>
              <w:r w:rsidR="009145B9" w:rsidRPr="005B5418">
                <w:rPr>
                  <w:rStyle w:val="Hyperlink"/>
                  <w:rFonts w:eastAsia="Times New Roman"/>
                  <w:u w:val="none"/>
                </w:rPr>
                <w:t>of</w:t>
              </w:r>
              <w:r w:rsidRPr="005B5418">
                <w:rPr>
                  <w:rStyle w:val="Hyperlink"/>
                  <w:rFonts w:eastAsia="Times New Roman"/>
                  <w:u w:val="none"/>
                </w:rPr>
                <w:t xml:space="preserve"> </w:t>
              </w:r>
              <w:r w:rsidR="009145B9" w:rsidRPr="005B5418">
                <w:rPr>
                  <w:rStyle w:val="Hyperlink"/>
                  <w:rFonts w:eastAsia="Times New Roman"/>
                  <w:u w:val="none"/>
                </w:rPr>
                <w:t xml:space="preserve">Changes in Social Insurance Amounts </w:t>
              </w:r>
            </w:hyperlink>
            <w:r w:rsidR="00F11228" w:rsidRPr="005B5418">
              <w:rPr>
                <w:color w:val="0000FF"/>
              </w:rPr>
              <w:t xml:space="preserve"> </w:t>
            </w:r>
          </w:p>
        </w:tc>
        <w:tc>
          <w:tcPr>
            <w:tcW w:w="2160" w:type="dxa"/>
            <w:vAlign w:val="center"/>
          </w:tcPr>
          <w:p w14:paraId="16605414" w14:textId="77777777" w:rsidR="00F11228" w:rsidRPr="005B5418" w:rsidRDefault="00F11228" w:rsidP="003B61E9">
            <w:pPr>
              <w:spacing w:line="240" w:lineRule="auto"/>
              <w:jc w:val="center"/>
              <w:rPr>
                <w:rFonts w:cs="Arial"/>
                <w:b/>
              </w:rPr>
            </w:pPr>
          </w:p>
        </w:tc>
      </w:tr>
      <w:tr w:rsidR="00F44199" w:rsidRPr="005B5418" w14:paraId="1C47F126" w14:textId="77777777" w:rsidTr="00017B40">
        <w:tc>
          <w:tcPr>
            <w:tcW w:w="6660" w:type="dxa"/>
            <w:vAlign w:val="center"/>
          </w:tcPr>
          <w:p w14:paraId="1F427075" w14:textId="7CDC4C14" w:rsidR="00F11228" w:rsidRPr="005B5418" w:rsidRDefault="00ED2CED" w:rsidP="00CB7332">
            <w:pPr>
              <w:pStyle w:val="Table-Cell-Indent"/>
              <w:spacing w:before="40" w:after="40"/>
              <w:ind w:left="0"/>
              <w:rPr>
                <w:rFonts w:cs="Arial"/>
                <w:color w:val="0000FF"/>
              </w:rPr>
            </w:pPr>
            <w:hyperlink w:anchor="_Section_II.3.8_–" w:history="1">
              <w:r w:rsidRPr="005B5418">
                <w:rPr>
                  <w:rStyle w:val="Hyperlink"/>
                  <w:rFonts w:eastAsia="Times New Roman" w:cs="Arial"/>
                  <w:bCs/>
                  <w:u w:val="none"/>
                </w:rPr>
                <w:t>II.3.8 – Accounting and Disclosure by Specific Topic</w:t>
              </w:r>
            </w:hyperlink>
          </w:p>
        </w:tc>
        <w:tc>
          <w:tcPr>
            <w:tcW w:w="2160" w:type="dxa"/>
            <w:vAlign w:val="center"/>
          </w:tcPr>
          <w:p w14:paraId="52E0FC9D" w14:textId="77777777" w:rsidR="00F11228" w:rsidRPr="005B5418" w:rsidRDefault="00F11228" w:rsidP="003B61E9">
            <w:pPr>
              <w:spacing w:line="240" w:lineRule="auto"/>
              <w:jc w:val="center"/>
              <w:rPr>
                <w:rFonts w:cs="Arial"/>
                <w:b/>
              </w:rPr>
            </w:pPr>
          </w:p>
        </w:tc>
      </w:tr>
      <w:tr w:rsidR="00F44199" w:rsidRPr="005B5418" w14:paraId="0D41B789" w14:textId="77777777" w:rsidTr="00017B40">
        <w:tc>
          <w:tcPr>
            <w:tcW w:w="6660" w:type="dxa"/>
            <w:vAlign w:val="center"/>
          </w:tcPr>
          <w:p w14:paraId="0EFAF7AE" w14:textId="05C04A44" w:rsidR="00F11228" w:rsidRPr="005B5418" w:rsidRDefault="007877C3" w:rsidP="003B61E9">
            <w:pPr>
              <w:pStyle w:val="Table-Cell-Indent"/>
              <w:spacing w:before="40" w:after="40"/>
              <w:rPr>
                <w:color w:val="0000FF"/>
              </w:rPr>
            </w:pPr>
            <w:hyperlink w:anchor="_II.3.8.1_Significant_Accounting" w:history="1">
              <w:r w:rsidRPr="005B5418">
                <w:rPr>
                  <w:rStyle w:val="Hyperlink"/>
                  <w:rFonts w:eastAsia="Times New Roman"/>
                  <w:u w:val="none"/>
                </w:rPr>
                <w:t xml:space="preserve">II.3.8.1 – </w:t>
              </w:r>
              <w:r w:rsidR="00E434CF" w:rsidRPr="005B5418">
                <w:rPr>
                  <w:rStyle w:val="Hyperlink"/>
                  <w:rFonts w:eastAsia="Times New Roman"/>
                  <w:u w:val="none"/>
                </w:rPr>
                <w:t xml:space="preserve">Reporting Entity and </w:t>
              </w:r>
              <w:r w:rsidRPr="005B5418">
                <w:rPr>
                  <w:rStyle w:val="Hyperlink"/>
                  <w:rFonts w:eastAsia="Times New Roman"/>
                  <w:u w:val="none"/>
                </w:rPr>
                <w:t>Summary of Significant Accounting Policies</w:t>
              </w:r>
            </w:hyperlink>
          </w:p>
        </w:tc>
        <w:tc>
          <w:tcPr>
            <w:tcW w:w="2160" w:type="dxa"/>
            <w:vAlign w:val="center"/>
          </w:tcPr>
          <w:p w14:paraId="4CFC7C84" w14:textId="77777777" w:rsidR="00F11228" w:rsidRPr="005B5418" w:rsidRDefault="00F11228" w:rsidP="003B61E9">
            <w:pPr>
              <w:spacing w:line="240" w:lineRule="auto"/>
              <w:jc w:val="center"/>
              <w:rPr>
                <w:rFonts w:cs="Arial"/>
                <w:b/>
              </w:rPr>
            </w:pPr>
          </w:p>
        </w:tc>
      </w:tr>
      <w:tr w:rsidR="00F44199" w:rsidRPr="005B5418" w14:paraId="574DF2EC" w14:textId="77777777" w:rsidTr="00017B40">
        <w:tc>
          <w:tcPr>
            <w:tcW w:w="6660" w:type="dxa"/>
            <w:vAlign w:val="center"/>
          </w:tcPr>
          <w:p w14:paraId="2D2AC59B" w14:textId="153FC806" w:rsidR="00F11228" w:rsidRPr="005B5418" w:rsidRDefault="00A01237" w:rsidP="003B61E9">
            <w:pPr>
              <w:pStyle w:val="Table-Cell-Indent"/>
              <w:spacing w:before="40" w:after="40"/>
              <w:rPr>
                <w:color w:val="0000FF"/>
              </w:rPr>
            </w:pPr>
            <w:hyperlink w:anchor="_II.3.8.2_Non-entity_Assets" w:history="1">
              <w:r w:rsidRPr="005B5418">
                <w:rPr>
                  <w:rStyle w:val="Hyperlink"/>
                  <w:rFonts w:eastAsia="Times New Roman" w:cs="Arial"/>
                  <w:bCs/>
                  <w:u w:val="none"/>
                </w:rPr>
                <w:t>II.3.8</w:t>
              </w:r>
              <w:r w:rsidRPr="005B5418">
                <w:rPr>
                  <w:rStyle w:val="Hyperlink"/>
                  <w:rFonts w:eastAsia="Times New Roman"/>
                  <w:u w:val="none"/>
                </w:rPr>
                <w:t>.</w:t>
              </w:r>
              <w:r w:rsidR="00F11228" w:rsidRPr="005B5418">
                <w:rPr>
                  <w:rStyle w:val="Hyperlink"/>
                  <w:rFonts w:eastAsia="Times New Roman"/>
                  <w:u w:val="none"/>
                </w:rPr>
                <w:t>2 – Non-</w:t>
              </w:r>
              <w:r w:rsidR="00820E28" w:rsidRPr="005B5418">
                <w:rPr>
                  <w:rStyle w:val="Hyperlink"/>
                  <w:rFonts w:eastAsia="Times New Roman"/>
                  <w:u w:val="none"/>
                </w:rPr>
                <w:t>E</w:t>
              </w:r>
              <w:r w:rsidR="00F11228" w:rsidRPr="005B5418">
                <w:rPr>
                  <w:rStyle w:val="Hyperlink"/>
                  <w:rFonts w:eastAsia="Times New Roman"/>
                  <w:u w:val="none"/>
                </w:rPr>
                <w:t>ntity Assets</w:t>
              </w:r>
            </w:hyperlink>
          </w:p>
        </w:tc>
        <w:tc>
          <w:tcPr>
            <w:tcW w:w="2160" w:type="dxa"/>
            <w:vAlign w:val="center"/>
          </w:tcPr>
          <w:p w14:paraId="5CEBA60C" w14:textId="77777777" w:rsidR="00F11228" w:rsidRPr="005B5418" w:rsidRDefault="00F11228" w:rsidP="003B61E9">
            <w:pPr>
              <w:spacing w:line="240" w:lineRule="auto"/>
              <w:jc w:val="center"/>
              <w:rPr>
                <w:rFonts w:cs="Arial"/>
                <w:b/>
              </w:rPr>
            </w:pPr>
          </w:p>
        </w:tc>
      </w:tr>
      <w:tr w:rsidR="00F44199" w:rsidRPr="005B5418" w14:paraId="63728526" w14:textId="77777777" w:rsidTr="00017B40">
        <w:tc>
          <w:tcPr>
            <w:tcW w:w="6660" w:type="dxa"/>
            <w:vAlign w:val="center"/>
          </w:tcPr>
          <w:p w14:paraId="646D3C65" w14:textId="77777777" w:rsidR="00F11228" w:rsidRPr="005B5418" w:rsidRDefault="00A01237" w:rsidP="003B61E9">
            <w:pPr>
              <w:pStyle w:val="Table-Cell-Indent"/>
              <w:spacing w:before="40" w:after="40"/>
              <w:rPr>
                <w:rFonts w:cs="Arial"/>
                <w:color w:val="0000FF"/>
              </w:rPr>
            </w:pPr>
            <w:hyperlink w:anchor="_II.3.8.3_Fund_Balance" w:history="1">
              <w:r w:rsidRPr="005B5418">
                <w:rPr>
                  <w:rStyle w:val="Hyperlink"/>
                  <w:rFonts w:eastAsia="Times New Roman" w:cs="Arial"/>
                  <w:bCs/>
                  <w:u w:val="none"/>
                </w:rPr>
                <w:t>II.3.8</w:t>
              </w:r>
              <w:r w:rsidRPr="005B5418">
                <w:rPr>
                  <w:rStyle w:val="Hyperlink"/>
                  <w:rFonts w:eastAsia="Times New Roman"/>
                  <w:u w:val="none"/>
                </w:rPr>
                <w:t>.</w:t>
              </w:r>
              <w:r w:rsidR="00F11228" w:rsidRPr="005B5418">
                <w:rPr>
                  <w:rStyle w:val="Hyperlink"/>
                  <w:rFonts w:eastAsia="Times New Roman" w:cs="Arial"/>
                  <w:u w:val="none"/>
                </w:rPr>
                <w:t>3 – Fund Balance with Treasury</w:t>
              </w:r>
            </w:hyperlink>
          </w:p>
        </w:tc>
        <w:tc>
          <w:tcPr>
            <w:tcW w:w="2160" w:type="dxa"/>
            <w:vAlign w:val="center"/>
          </w:tcPr>
          <w:p w14:paraId="4DB2E7C6" w14:textId="77777777" w:rsidR="00F11228" w:rsidRPr="005B5418" w:rsidRDefault="00F11228" w:rsidP="003B61E9">
            <w:pPr>
              <w:spacing w:line="240" w:lineRule="auto"/>
              <w:jc w:val="center"/>
              <w:rPr>
                <w:rFonts w:cs="Arial"/>
                <w:b/>
              </w:rPr>
            </w:pPr>
          </w:p>
        </w:tc>
      </w:tr>
      <w:tr w:rsidR="00F44199" w:rsidRPr="005B5418" w14:paraId="5EF78E99" w14:textId="77777777" w:rsidTr="00017B40">
        <w:tc>
          <w:tcPr>
            <w:tcW w:w="6660" w:type="dxa"/>
            <w:vAlign w:val="center"/>
          </w:tcPr>
          <w:p w14:paraId="3B6AE410" w14:textId="77777777" w:rsidR="00F11228" w:rsidRPr="005B5418" w:rsidRDefault="00A01237" w:rsidP="003B61E9">
            <w:pPr>
              <w:pStyle w:val="Table-Cell-Indent"/>
              <w:spacing w:before="40" w:after="40"/>
              <w:rPr>
                <w:color w:val="0000FF"/>
              </w:rPr>
            </w:pPr>
            <w:hyperlink w:anchor="_II.3.8.4_Cash_and" w:history="1">
              <w:r w:rsidRPr="005B5418">
                <w:rPr>
                  <w:rStyle w:val="Hyperlink"/>
                  <w:rFonts w:eastAsia="Times New Roman" w:cs="Arial"/>
                  <w:bCs/>
                  <w:u w:val="none"/>
                </w:rPr>
                <w:t>II.3.8</w:t>
              </w:r>
              <w:r w:rsidRPr="005B5418">
                <w:rPr>
                  <w:rStyle w:val="Hyperlink"/>
                  <w:rFonts w:eastAsia="Times New Roman"/>
                  <w:u w:val="none"/>
                </w:rPr>
                <w:t>.</w:t>
              </w:r>
              <w:r w:rsidR="00F11228" w:rsidRPr="005B5418">
                <w:rPr>
                  <w:rStyle w:val="Hyperlink"/>
                  <w:rFonts w:eastAsia="Times New Roman"/>
                  <w:u w:val="none"/>
                </w:rPr>
                <w:t>4 – Cash and Other Monetary Assets</w:t>
              </w:r>
            </w:hyperlink>
          </w:p>
        </w:tc>
        <w:tc>
          <w:tcPr>
            <w:tcW w:w="2160" w:type="dxa"/>
            <w:vAlign w:val="center"/>
          </w:tcPr>
          <w:p w14:paraId="0EBC0AD0" w14:textId="77777777" w:rsidR="00F11228" w:rsidRPr="005B5418" w:rsidRDefault="00F11228" w:rsidP="003B61E9">
            <w:pPr>
              <w:spacing w:line="240" w:lineRule="auto"/>
              <w:jc w:val="center"/>
              <w:rPr>
                <w:rFonts w:cs="Arial"/>
                <w:b/>
              </w:rPr>
            </w:pPr>
          </w:p>
        </w:tc>
      </w:tr>
      <w:tr w:rsidR="00F44199" w:rsidRPr="005B5418" w14:paraId="3605457F" w14:textId="77777777" w:rsidTr="00017B40">
        <w:tc>
          <w:tcPr>
            <w:tcW w:w="6660" w:type="dxa"/>
            <w:vAlign w:val="center"/>
          </w:tcPr>
          <w:p w14:paraId="5A2676E5" w14:textId="77777777" w:rsidR="00F11228" w:rsidRPr="005B5418" w:rsidRDefault="00A01237" w:rsidP="003B61E9">
            <w:pPr>
              <w:pStyle w:val="Table-Cell-Indent"/>
              <w:spacing w:before="40" w:after="40"/>
              <w:rPr>
                <w:rFonts w:cs="Arial"/>
                <w:color w:val="0000FF"/>
              </w:rPr>
            </w:pPr>
            <w:hyperlink w:anchor="_II.3.8.5_Investments" w:history="1">
              <w:r w:rsidRPr="005B5418">
                <w:rPr>
                  <w:rStyle w:val="Hyperlink"/>
                  <w:rFonts w:eastAsia="Times New Roman" w:cs="Arial"/>
                  <w:bCs/>
                  <w:u w:val="none"/>
                </w:rPr>
                <w:t>II.3.8</w:t>
              </w:r>
              <w:r w:rsidRPr="005B5418">
                <w:rPr>
                  <w:rStyle w:val="Hyperlink"/>
                  <w:rFonts w:eastAsia="Times New Roman"/>
                  <w:u w:val="none"/>
                </w:rPr>
                <w:t>.</w:t>
              </w:r>
              <w:r w:rsidR="00F11228" w:rsidRPr="005B5418">
                <w:rPr>
                  <w:rStyle w:val="Hyperlink"/>
                  <w:rFonts w:eastAsia="Times New Roman" w:cs="Arial"/>
                  <w:u w:val="none"/>
                </w:rPr>
                <w:t>5 – Investments</w:t>
              </w:r>
            </w:hyperlink>
            <w:r w:rsidR="00F11228" w:rsidRPr="005B5418">
              <w:rPr>
                <w:rFonts w:cs="Arial"/>
                <w:color w:val="0000FF"/>
              </w:rPr>
              <w:t xml:space="preserve"> </w:t>
            </w:r>
          </w:p>
        </w:tc>
        <w:tc>
          <w:tcPr>
            <w:tcW w:w="2160" w:type="dxa"/>
            <w:vAlign w:val="center"/>
          </w:tcPr>
          <w:p w14:paraId="10AC1DF0" w14:textId="77777777" w:rsidR="00F11228" w:rsidRPr="005B5418" w:rsidRDefault="00F11228" w:rsidP="003B61E9">
            <w:pPr>
              <w:spacing w:line="240" w:lineRule="auto"/>
              <w:jc w:val="center"/>
              <w:rPr>
                <w:rFonts w:cs="Arial"/>
                <w:b/>
              </w:rPr>
            </w:pPr>
          </w:p>
        </w:tc>
      </w:tr>
      <w:tr w:rsidR="00F44199" w:rsidRPr="005B5418" w14:paraId="12B49E2F" w14:textId="77777777" w:rsidTr="00017B40">
        <w:tc>
          <w:tcPr>
            <w:tcW w:w="6660" w:type="dxa"/>
            <w:vAlign w:val="center"/>
          </w:tcPr>
          <w:p w14:paraId="0347F3A7" w14:textId="77777777" w:rsidR="00F11228" w:rsidRPr="005B5418" w:rsidRDefault="00A01237" w:rsidP="003B61E9">
            <w:pPr>
              <w:pStyle w:val="Table-Cell-Indent"/>
              <w:spacing w:before="40" w:after="40"/>
              <w:rPr>
                <w:rFonts w:cs="Arial"/>
                <w:color w:val="0000FF"/>
              </w:rPr>
            </w:pPr>
            <w:hyperlink w:anchor="_II.3.8.6-II.3.8.7_Receivables_1" w:history="1">
              <w:r w:rsidRPr="005B5418">
                <w:rPr>
                  <w:rStyle w:val="Hyperlink"/>
                  <w:rFonts w:eastAsia="Times New Roman" w:cs="Arial"/>
                  <w:bCs/>
                  <w:u w:val="none"/>
                </w:rPr>
                <w:t>II.3.8</w:t>
              </w:r>
              <w:r w:rsidRPr="005B5418">
                <w:rPr>
                  <w:rStyle w:val="Hyperlink"/>
                  <w:rFonts w:eastAsia="Times New Roman"/>
                  <w:u w:val="none"/>
                </w:rPr>
                <w:t>.</w:t>
              </w:r>
              <w:r w:rsidR="00F11228" w:rsidRPr="005B5418">
                <w:rPr>
                  <w:rStyle w:val="Hyperlink"/>
                  <w:rFonts w:eastAsia="Times New Roman"/>
                  <w:u w:val="none"/>
                </w:rPr>
                <w:t>6</w:t>
              </w:r>
              <w:r w:rsidR="00E42238" w:rsidRPr="005B5418">
                <w:rPr>
                  <w:rStyle w:val="Hyperlink"/>
                  <w:rFonts w:eastAsia="Times New Roman"/>
                  <w:u w:val="none"/>
                </w:rPr>
                <w:t>-II.3.8.7</w:t>
              </w:r>
              <w:r w:rsidR="00F11228" w:rsidRPr="005B5418">
                <w:rPr>
                  <w:rStyle w:val="Hyperlink"/>
                  <w:rFonts w:eastAsia="Times New Roman"/>
                  <w:u w:val="none"/>
                </w:rPr>
                <w:t xml:space="preserve"> –</w:t>
              </w:r>
              <w:r w:rsidR="002942E9" w:rsidRPr="005B5418">
                <w:rPr>
                  <w:rStyle w:val="Hyperlink"/>
                  <w:rFonts w:eastAsia="Times New Roman"/>
                  <w:u w:val="none"/>
                </w:rPr>
                <w:t xml:space="preserve"> </w:t>
              </w:r>
              <w:r w:rsidR="00F11228" w:rsidRPr="005B5418">
                <w:rPr>
                  <w:rStyle w:val="Hyperlink"/>
                  <w:rFonts w:eastAsia="Times New Roman"/>
                  <w:u w:val="none"/>
                </w:rPr>
                <w:t>Receivables</w:t>
              </w:r>
            </w:hyperlink>
          </w:p>
        </w:tc>
        <w:tc>
          <w:tcPr>
            <w:tcW w:w="2160" w:type="dxa"/>
            <w:vAlign w:val="center"/>
          </w:tcPr>
          <w:p w14:paraId="7A5B1153" w14:textId="77777777" w:rsidR="00F11228" w:rsidRPr="005B5418" w:rsidRDefault="00F11228" w:rsidP="003B61E9">
            <w:pPr>
              <w:spacing w:line="240" w:lineRule="auto"/>
              <w:jc w:val="center"/>
              <w:rPr>
                <w:rFonts w:cs="Arial"/>
                <w:b/>
              </w:rPr>
            </w:pPr>
          </w:p>
        </w:tc>
      </w:tr>
      <w:tr w:rsidR="00F44199" w:rsidRPr="005B5418" w14:paraId="15A33EEF" w14:textId="77777777" w:rsidTr="00017B40">
        <w:tc>
          <w:tcPr>
            <w:tcW w:w="6660" w:type="dxa"/>
            <w:vAlign w:val="center"/>
          </w:tcPr>
          <w:p w14:paraId="36253363" w14:textId="77777777" w:rsidR="00F11228" w:rsidRPr="005B5418" w:rsidRDefault="00E42238" w:rsidP="003B61E9">
            <w:pPr>
              <w:pStyle w:val="Table-Cell-Indent"/>
              <w:spacing w:before="40" w:after="40"/>
              <w:ind w:left="702"/>
              <w:rPr>
                <w:rFonts w:cs="Arial"/>
                <w:color w:val="0000FF"/>
              </w:rPr>
            </w:pPr>
            <w:hyperlink w:anchor="_II.3.8.6_Accounts_Receivable," w:history="1">
              <w:r w:rsidRPr="005B5418">
                <w:rPr>
                  <w:rStyle w:val="Hyperlink"/>
                  <w:rFonts w:eastAsia="Times New Roman"/>
                  <w:u w:val="none"/>
                </w:rPr>
                <w:t>I</w:t>
              </w:r>
              <w:r w:rsidR="00F11228" w:rsidRPr="005B5418">
                <w:rPr>
                  <w:rStyle w:val="Hyperlink"/>
                  <w:rFonts w:eastAsia="Times New Roman"/>
                  <w:u w:val="none"/>
                </w:rPr>
                <w:t>I</w:t>
              </w:r>
              <w:r w:rsidRPr="005B5418">
                <w:rPr>
                  <w:rStyle w:val="Hyperlink"/>
                  <w:rFonts w:eastAsia="Times New Roman"/>
                  <w:u w:val="none"/>
                </w:rPr>
                <w:t>.3</w:t>
              </w:r>
              <w:r w:rsidR="00F11228" w:rsidRPr="005B5418">
                <w:rPr>
                  <w:rStyle w:val="Hyperlink"/>
                  <w:rFonts w:eastAsia="Times New Roman"/>
                  <w:u w:val="none"/>
                </w:rPr>
                <w:t>.</w:t>
              </w:r>
              <w:r w:rsidRPr="005B5418">
                <w:rPr>
                  <w:rStyle w:val="Hyperlink"/>
                  <w:rFonts w:eastAsia="Times New Roman"/>
                  <w:u w:val="none"/>
                </w:rPr>
                <w:t>8.</w:t>
              </w:r>
              <w:r w:rsidR="00F11228" w:rsidRPr="005B5418">
                <w:rPr>
                  <w:rStyle w:val="Hyperlink"/>
                  <w:rFonts w:eastAsia="Times New Roman"/>
                  <w:u w:val="none"/>
                </w:rPr>
                <w:t>6 – Accounts Receivable, Net</w:t>
              </w:r>
            </w:hyperlink>
          </w:p>
        </w:tc>
        <w:tc>
          <w:tcPr>
            <w:tcW w:w="2160" w:type="dxa"/>
            <w:vAlign w:val="center"/>
          </w:tcPr>
          <w:p w14:paraId="4C312D4A" w14:textId="77777777" w:rsidR="00F11228" w:rsidRPr="005B5418" w:rsidRDefault="00F11228" w:rsidP="003B61E9">
            <w:pPr>
              <w:spacing w:line="240" w:lineRule="auto"/>
              <w:jc w:val="center"/>
              <w:rPr>
                <w:rFonts w:cs="Arial"/>
                <w:b/>
              </w:rPr>
            </w:pPr>
          </w:p>
        </w:tc>
      </w:tr>
      <w:tr w:rsidR="00F44199" w:rsidRPr="005B5418" w14:paraId="68841703" w14:textId="77777777" w:rsidTr="00017B40">
        <w:tc>
          <w:tcPr>
            <w:tcW w:w="6660" w:type="dxa"/>
            <w:vAlign w:val="center"/>
          </w:tcPr>
          <w:p w14:paraId="32B22281" w14:textId="77777777" w:rsidR="00F11228" w:rsidRPr="005B5418" w:rsidRDefault="00E42238" w:rsidP="003B61E9">
            <w:pPr>
              <w:pStyle w:val="Table-Cell-Indent"/>
              <w:spacing w:before="40" w:after="40"/>
              <w:ind w:left="702"/>
              <w:rPr>
                <w:rFonts w:cs="Arial"/>
                <w:color w:val="0000FF"/>
              </w:rPr>
            </w:pPr>
            <w:hyperlink w:anchor="_II.3.8.7_Taxes_Receivable," w:history="1">
              <w:r w:rsidRPr="005B5418">
                <w:rPr>
                  <w:rStyle w:val="Hyperlink"/>
                  <w:rFonts w:eastAsia="Times New Roman"/>
                  <w:u w:val="none"/>
                </w:rPr>
                <w:t>II.3.8.7</w:t>
              </w:r>
              <w:r w:rsidR="00F11228" w:rsidRPr="005B5418">
                <w:rPr>
                  <w:rStyle w:val="Hyperlink"/>
                  <w:rFonts w:eastAsia="Times New Roman"/>
                  <w:u w:val="none"/>
                </w:rPr>
                <w:t xml:space="preserve"> – Taxes Receivable, Net</w:t>
              </w:r>
            </w:hyperlink>
          </w:p>
        </w:tc>
        <w:tc>
          <w:tcPr>
            <w:tcW w:w="2160" w:type="dxa"/>
            <w:vAlign w:val="center"/>
          </w:tcPr>
          <w:p w14:paraId="76E273DF" w14:textId="77777777" w:rsidR="00F11228" w:rsidRPr="005B5418" w:rsidRDefault="00F11228" w:rsidP="003B61E9">
            <w:pPr>
              <w:spacing w:line="240" w:lineRule="auto"/>
              <w:jc w:val="center"/>
              <w:rPr>
                <w:rFonts w:cs="Arial"/>
                <w:b/>
              </w:rPr>
            </w:pPr>
          </w:p>
        </w:tc>
      </w:tr>
      <w:tr w:rsidR="00F44199" w:rsidRPr="005B5418" w14:paraId="721C7511" w14:textId="77777777" w:rsidTr="00017B40">
        <w:tc>
          <w:tcPr>
            <w:tcW w:w="6660" w:type="dxa"/>
            <w:vAlign w:val="center"/>
          </w:tcPr>
          <w:p w14:paraId="2E73C899" w14:textId="77777777" w:rsidR="00F11228" w:rsidRPr="005B5418" w:rsidRDefault="007877C3" w:rsidP="005361BC">
            <w:pPr>
              <w:pStyle w:val="Table-Cell-Indent"/>
              <w:spacing w:before="40" w:after="40"/>
              <w:ind w:left="1304" w:hanging="944"/>
              <w:rPr>
                <w:color w:val="0000FF"/>
              </w:rPr>
            </w:pPr>
            <w:hyperlink w:anchor="_II.3.8.8_Direct_Loans_1" w:history="1">
              <w:r w:rsidRPr="005B5418">
                <w:rPr>
                  <w:rStyle w:val="Hyperlink"/>
                  <w:rFonts w:eastAsia="Times New Roman"/>
                  <w:u w:val="none"/>
                </w:rPr>
                <w:t>II.3.8.8 – Loans Receivable, Net and Loan Guarantee Liabilities</w:t>
              </w:r>
            </w:hyperlink>
          </w:p>
        </w:tc>
        <w:tc>
          <w:tcPr>
            <w:tcW w:w="2160" w:type="dxa"/>
            <w:vAlign w:val="center"/>
          </w:tcPr>
          <w:p w14:paraId="2AE36EC0" w14:textId="77777777" w:rsidR="00F11228" w:rsidRPr="005B5418" w:rsidRDefault="00F11228" w:rsidP="003B61E9">
            <w:pPr>
              <w:spacing w:line="240" w:lineRule="auto"/>
              <w:jc w:val="center"/>
              <w:rPr>
                <w:rFonts w:cs="Arial"/>
                <w:b/>
              </w:rPr>
            </w:pPr>
          </w:p>
        </w:tc>
      </w:tr>
      <w:tr w:rsidR="00F44199" w:rsidRPr="005B5418" w14:paraId="2DAF278D" w14:textId="77777777" w:rsidTr="00017B40">
        <w:tc>
          <w:tcPr>
            <w:tcW w:w="6660" w:type="dxa"/>
            <w:vAlign w:val="center"/>
          </w:tcPr>
          <w:p w14:paraId="48C40BA8" w14:textId="77777777" w:rsidR="00F11228" w:rsidRPr="005B5418" w:rsidRDefault="00A01237" w:rsidP="003B61E9">
            <w:pPr>
              <w:pStyle w:val="Table-Cell-Indent"/>
              <w:spacing w:before="40" w:after="40"/>
              <w:rPr>
                <w:color w:val="0000FF"/>
              </w:rPr>
            </w:pPr>
            <w:hyperlink w:anchor="_II.3.8.9_Inventory_and_1" w:history="1">
              <w:r w:rsidRPr="005B5418">
                <w:rPr>
                  <w:rStyle w:val="Hyperlink"/>
                  <w:rFonts w:eastAsia="Times New Roman" w:cs="Arial"/>
                  <w:bCs/>
                  <w:u w:val="none"/>
                </w:rPr>
                <w:t>II.3.8</w:t>
              </w:r>
              <w:r w:rsidRPr="005B5418">
                <w:rPr>
                  <w:rStyle w:val="Hyperlink"/>
                  <w:rFonts w:eastAsia="Times New Roman"/>
                  <w:u w:val="none"/>
                </w:rPr>
                <w:t>.</w:t>
              </w:r>
              <w:r w:rsidR="00E42238" w:rsidRPr="005B5418">
                <w:rPr>
                  <w:rStyle w:val="Hyperlink"/>
                  <w:rFonts w:eastAsia="Times New Roman"/>
                  <w:u w:val="none"/>
                </w:rPr>
                <w:t>9</w:t>
              </w:r>
              <w:r w:rsidR="00F11228" w:rsidRPr="005B5418">
                <w:rPr>
                  <w:rStyle w:val="Hyperlink"/>
                  <w:rFonts w:eastAsia="Times New Roman"/>
                  <w:u w:val="none"/>
                </w:rPr>
                <w:t xml:space="preserve"> – Inventory and Related Property, Net</w:t>
              </w:r>
            </w:hyperlink>
          </w:p>
        </w:tc>
        <w:tc>
          <w:tcPr>
            <w:tcW w:w="2160" w:type="dxa"/>
            <w:vAlign w:val="center"/>
          </w:tcPr>
          <w:p w14:paraId="23FFF6E3" w14:textId="77777777" w:rsidR="00F11228" w:rsidRPr="005B5418" w:rsidRDefault="00F11228" w:rsidP="003B61E9">
            <w:pPr>
              <w:spacing w:line="240" w:lineRule="auto"/>
              <w:jc w:val="center"/>
              <w:rPr>
                <w:rFonts w:cs="Arial"/>
                <w:b/>
              </w:rPr>
            </w:pPr>
          </w:p>
        </w:tc>
      </w:tr>
      <w:tr w:rsidR="00F44199" w:rsidRPr="005B5418" w14:paraId="6C6D90F4" w14:textId="77777777" w:rsidTr="00017B40">
        <w:tc>
          <w:tcPr>
            <w:tcW w:w="6660" w:type="dxa"/>
            <w:vAlign w:val="center"/>
          </w:tcPr>
          <w:p w14:paraId="338D11D5" w14:textId="550C07F4" w:rsidR="00E42238" w:rsidRPr="005B5418" w:rsidRDefault="00E42238" w:rsidP="00CA1A4F">
            <w:pPr>
              <w:pStyle w:val="Table-Cell-Indent"/>
              <w:spacing w:before="40" w:after="40"/>
              <w:rPr>
                <w:rFonts w:cs="Arial"/>
                <w:bCs/>
                <w:color w:val="0000FF"/>
              </w:rPr>
            </w:pPr>
            <w:hyperlink w:anchor="_II.3.8.10_General_Property,_1" w:history="1">
              <w:r w:rsidRPr="005B5418">
                <w:rPr>
                  <w:rStyle w:val="Hyperlink"/>
                  <w:rFonts w:eastAsia="Times New Roman" w:cs="Arial"/>
                  <w:bCs/>
                  <w:u w:val="none"/>
                </w:rPr>
                <w:t>II.3.8</w:t>
              </w:r>
              <w:r w:rsidRPr="005B5418">
                <w:rPr>
                  <w:rStyle w:val="Hyperlink"/>
                  <w:rFonts w:eastAsia="Times New Roman"/>
                  <w:u w:val="none"/>
                </w:rPr>
                <w:t>.10 –</w:t>
              </w:r>
              <w:r w:rsidR="009621AE" w:rsidRPr="005B5418">
                <w:rPr>
                  <w:rStyle w:val="Hyperlink"/>
                  <w:rFonts w:eastAsia="Times New Roman"/>
                  <w:u w:val="none"/>
                </w:rPr>
                <w:t xml:space="preserve"> </w:t>
              </w:r>
              <w:r w:rsidRPr="005B5418">
                <w:rPr>
                  <w:rStyle w:val="Hyperlink"/>
                  <w:rFonts w:eastAsia="Times New Roman"/>
                  <w:u w:val="none"/>
                </w:rPr>
                <w:t>Property, Plant</w:t>
              </w:r>
              <w:r w:rsidR="005361BC" w:rsidRPr="005B5418">
                <w:rPr>
                  <w:rStyle w:val="Hyperlink"/>
                  <w:rFonts w:eastAsia="Times New Roman"/>
                  <w:u w:val="none"/>
                </w:rPr>
                <w:t>,</w:t>
              </w:r>
              <w:r w:rsidRPr="005B5418">
                <w:rPr>
                  <w:rStyle w:val="Hyperlink"/>
                  <w:rFonts w:eastAsia="Times New Roman"/>
                  <w:u w:val="none"/>
                </w:rPr>
                <w:t xml:space="preserve"> and Equipment, Net</w:t>
              </w:r>
            </w:hyperlink>
          </w:p>
        </w:tc>
        <w:tc>
          <w:tcPr>
            <w:tcW w:w="2160" w:type="dxa"/>
            <w:vAlign w:val="center"/>
          </w:tcPr>
          <w:p w14:paraId="45F1E867" w14:textId="77777777" w:rsidR="00E42238" w:rsidRPr="005B5418" w:rsidRDefault="00E42238" w:rsidP="003B61E9">
            <w:pPr>
              <w:spacing w:line="240" w:lineRule="auto"/>
              <w:jc w:val="center"/>
              <w:rPr>
                <w:rFonts w:cs="Arial"/>
                <w:b/>
              </w:rPr>
            </w:pPr>
          </w:p>
        </w:tc>
      </w:tr>
      <w:tr w:rsidR="00F44199" w:rsidRPr="005B5418" w14:paraId="520720D2" w14:textId="77777777" w:rsidTr="00017B40">
        <w:tc>
          <w:tcPr>
            <w:tcW w:w="6660" w:type="dxa"/>
            <w:vAlign w:val="center"/>
          </w:tcPr>
          <w:p w14:paraId="425EE32A" w14:textId="77777777" w:rsidR="00F11228" w:rsidRPr="005B5418" w:rsidRDefault="00A01237" w:rsidP="008D04D7">
            <w:pPr>
              <w:pStyle w:val="Table-Cell-Indent"/>
              <w:spacing w:before="40" w:after="40"/>
              <w:rPr>
                <w:color w:val="0000FF"/>
              </w:rPr>
            </w:pPr>
            <w:hyperlink w:anchor="_II.3.8.11_Stewardship_PP&amp;E" w:history="1">
              <w:r w:rsidRPr="005B5418">
                <w:rPr>
                  <w:rStyle w:val="Hyperlink"/>
                  <w:rFonts w:eastAsia="Times New Roman" w:cs="Arial"/>
                  <w:bCs/>
                  <w:u w:val="none"/>
                </w:rPr>
                <w:t>II.3.8</w:t>
              </w:r>
              <w:r w:rsidRPr="005B5418">
                <w:rPr>
                  <w:rStyle w:val="Hyperlink"/>
                  <w:rFonts w:eastAsia="Times New Roman"/>
                  <w:u w:val="none"/>
                </w:rPr>
                <w:t>.</w:t>
              </w:r>
              <w:r w:rsidR="00E42238" w:rsidRPr="005B5418">
                <w:rPr>
                  <w:rStyle w:val="Hyperlink"/>
                  <w:rFonts w:eastAsia="Times New Roman"/>
                  <w:u w:val="none"/>
                </w:rPr>
                <w:t>11</w:t>
              </w:r>
              <w:r w:rsidR="00F11228" w:rsidRPr="005B5418">
                <w:rPr>
                  <w:rStyle w:val="Hyperlink"/>
                  <w:rFonts w:eastAsia="Times New Roman"/>
                  <w:u w:val="none"/>
                </w:rPr>
                <w:t xml:space="preserve"> – Stewardship P</w:t>
              </w:r>
              <w:r w:rsidR="008D04D7" w:rsidRPr="005B5418">
                <w:rPr>
                  <w:rStyle w:val="Hyperlink"/>
                  <w:rFonts w:eastAsia="Times New Roman"/>
                  <w:u w:val="none"/>
                </w:rPr>
                <w:t xml:space="preserve">roperty, </w:t>
              </w:r>
              <w:r w:rsidR="00F11228" w:rsidRPr="005B5418">
                <w:rPr>
                  <w:rStyle w:val="Hyperlink"/>
                  <w:rFonts w:eastAsia="Times New Roman"/>
                  <w:u w:val="none"/>
                </w:rPr>
                <w:t>P</w:t>
              </w:r>
              <w:r w:rsidR="008D04D7" w:rsidRPr="005B5418">
                <w:rPr>
                  <w:rStyle w:val="Hyperlink"/>
                  <w:rFonts w:eastAsia="Times New Roman"/>
                  <w:u w:val="none"/>
                </w:rPr>
                <w:t xml:space="preserve">lant, and </w:t>
              </w:r>
              <w:r w:rsidR="00F11228" w:rsidRPr="005B5418">
                <w:rPr>
                  <w:rStyle w:val="Hyperlink"/>
                  <w:rFonts w:eastAsia="Times New Roman"/>
                  <w:u w:val="none"/>
                </w:rPr>
                <w:t>E</w:t>
              </w:r>
            </w:hyperlink>
            <w:r w:rsidR="008D04D7" w:rsidRPr="005B5418">
              <w:rPr>
                <w:rStyle w:val="Hyperlink"/>
                <w:rFonts w:eastAsia="Times New Roman"/>
                <w:u w:val="none"/>
              </w:rPr>
              <w:t>quipment</w:t>
            </w:r>
          </w:p>
        </w:tc>
        <w:tc>
          <w:tcPr>
            <w:tcW w:w="2160" w:type="dxa"/>
            <w:vAlign w:val="center"/>
          </w:tcPr>
          <w:p w14:paraId="4D3DAC48" w14:textId="77777777" w:rsidR="00F11228" w:rsidRPr="005B5418" w:rsidRDefault="00F11228" w:rsidP="003B61E9">
            <w:pPr>
              <w:spacing w:line="240" w:lineRule="auto"/>
              <w:jc w:val="center"/>
              <w:rPr>
                <w:rFonts w:cs="Arial"/>
                <w:b/>
              </w:rPr>
            </w:pPr>
          </w:p>
        </w:tc>
      </w:tr>
      <w:tr w:rsidR="00F44199" w:rsidRPr="005B5418" w14:paraId="78C485CF" w14:textId="77777777" w:rsidTr="00017B40">
        <w:tc>
          <w:tcPr>
            <w:tcW w:w="6660" w:type="dxa"/>
            <w:vAlign w:val="center"/>
          </w:tcPr>
          <w:p w14:paraId="7682E9E2" w14:textId="36C28C88" w:rsidR="00F11228" w:rsidRPr="005B5418" w:rsidRDefault="00151F8C" w:rsidP="00151F8C">
            <w:pPr>
              <w:pStyle w:val="Table-Cell-Indent"/>
              <w:spacing w:before="40" w:after="40"/>
              <w:ind w:left="342"/>
              <w:rPr>
                <w:rFonts w:cs="Arial"/>
                <w:color w:val="0000FF"/>
              </w:rPr>
            </w:pPr>
            <w:hyperlink w:anchor="_II.3.8.12_Other_Assets" w:history="1">
              <w:r w:rsidRPr="005B5418">
                <w:rPr>
                  <w:rStyle w:val="Hyperlink"/>
                  <w:rFonts w:eastAsia="Times New Roman"/>
                  <w:u w:val="none"/>
                </w:rPr>
                <w:t>II.3.8.12 – Advances and Prepayments / Other Assets</w:t>
              </w:r>
            </w:hyperlink>
          </w:p>
        </w:tc>
        <w:tc>
          <w:tcPr>
            <w:tcW w:w="2160" w:type="dxa"/>
            <w:vAlign w:val="center"/>
          </w:tcPr>
          <w:p w14:paraId="17537BE4" w14:textId="77777777" w:rsidR="00F11228" w:rsidRPr="005B5418" w:rsidRDefault="00F11228" w:rsidP="003B61E9">
            <w:pPr>
              <w:spacing w:line="240" w:lineRule="auto"/>
              <w:jc w:val="center"/>
              <w:rPr>
                <w:rFonts w:cs="Arial"/>
                <w:b/>
              </w:rPr>
            </w:pPr>
          </w:p>
        </w:tc>
      </w:tr>
      <w:tr w:rsidR="00F44199" w:rsidRPr="005B5418" w14:paraId="15E95997" w14:textId="77777777" w:rsidTr="00017B40">
        <w:tc>
          <w:tcPr>
            <w:tcW w:w="6660" w:type="dxa"/>
            <w:vAlign w:val="center"/>
          </w:tcPr>
          <w:p w14:paraId="264E47F1" w14:textId="77777777" w:rsidR="00F11228" w:rsidRPr="005B5418" w:rsidRDefault="00A01237" w:rsidP="003B61E9">
            <w:pPr>
              <w:pStyle w:val="Table-Cell-Indent"/>
              <w:spacing w:before="40" w:after="40"/>
              <w:ind w:left="342"/>
              <w:rPr>
                <w:rFonts w:cs="Arial"/>
                <w:color w:val="0000FF"/>
              </w:rPr>
            </w:pPr>
            <w:hyperlink w:anchor="_II.3.8.13_Liabilities" w:history="1">
              <w:r w:rsidRPr="005B5418">
                <w:rPr>
                  <w:rStyle w:val="Hyperlink"/>
                  <w:rFonts w:eastAsia="Times New Roman" w:cs="Arial"/>
                  <w:bCs/>
                  <w:u w:val="none"/>
                </w:rPr>
                <w:t>II.3.8</w:t>
              </w:r>
              <w:r w:rsidRPr="005B5418">
                <w:rPr>
                  <w:rStyle w:val="Hyperlink"/>
                  <w:rFonts w:eastAsia="Times New Roman"/>
                  <w:u w:val="none"/>
                </w:rPr>
                <w:t>.</w:t>
              </w:r>
              <w:r w:rsidR="00E42238" w:rsidRPr="005B5418">
                <w:rPr>
                  <w:rStyle w:val="Hyperlink"/>
                  <w:rFonts w:eastAsia="Times New Roman"/>
                  <w:u w:val="none"/>
                </w:rPr>
                <w:t>13</w:t>
              </w:r>
              <w:r w:rsidR="00F11228" w:rsidRPr="005B5418">
                <w:rPr>
                  <w:rStyle w:val="Hyperlink"/>
                  <w:rFonts w:eastAsia="Times New Roman"/>
                  <w:u w:val="none"/>
                </w:rPr>
                <w:t xml:space="preserve"> – Liabilities Not Covered by Budgetary Resources</w:t>
              </w:r>
            </w:hyperlink>
          </w:p>
        </w:tc>
        <w:tc>
          <w:tcPr>
            <w:tcW w:w="2160" w:type="dxa"/>
            <w:vAlign w:val="center"/>
          </w:tcPr>
          <w:p w14:paraId="242AB834" w14:textId="77777777" w:rsidR="00F11228" w:rsidRPr="005B5418" w:rsidRDefault="00F11228" w:rsidP="003B61E9">
            <w:pPr>
              <w:spacing w:line="240" w:lineRule="auto"/>
              <w:jc w:val="center"/>
              <w:rPr>
                <w:rFonts w:cs="Arial"/>
                <w:b/>
              </w:rPr>
            </w:pPr>
          </w:p>
        </w:tc>
      </w:tr>
      <w:tr w:rsidR="00F44199" w:rsidRPr="005B5418" w14:paraId="3480D428" w14:textId="77777777" w:rsidTr="00017B40">
        <w:tc>
          <w:tcPr>
            <w:tcW w:w="6660" w:type="dxa"/>
            <w:vAlign w:val="center"/>
          </w:tcPr>
          <w:p w14:paraId="341EC043" w14:textId="032DF64A" w:rsidR="00F11228" w:rsidRPr="005B5418" w:rsidRDefault="00DE6278" w:rsidP="000463BF">
            <w:pPr>
              <w:pStyle w:val="Table-Cell-Indent"/>
              <w:spacing w:before="40" w:after="40"/>
              <w:ind w:left="1401" w:hanging="1041"/>
              <w:rPr>
                <w:color w:val="0000FF"/>
              </w:rPr>
            </w:pPr>
            <w:hyperlink w:anchor="_II.3.8.14_Debt" w:history="1">
              <w:r w:rsidRPr="005B5418">
                <w:rPr>
                  <w:rStyle w:val="Hyperlink"/>
                  <w:rFonts w:eastAsia="Times New Roman"/>
                  <w:u w:val="none"/>
                </w:rPr>
                <w:t>II.3.8.14A – Federal Debt and Interest Payable (14A)</w:t>
              </w:r>
            </w:hyperlink>
          </w:p>
        </w:tc>
        <w:tc>
          <w:tcPr>
            <w:tcW w:w="2160" w:type="dxa"/>
            <w:vAlign w:val="center"/>
          </w:tcPr>
          <w:p w14:paraId="1AC28BFB" w14:textId="77777777" w:rsidR="00F11228" w:rsidRPr="005B5418" w:rsidRDefault="00F11228" w:rsidP="003B61E9">
            <w:pPr>
              <w:spacing w:line="240" w:lineRule="auto"/>
              <w:jc w:val="center"/>
              <w:rPr>
                <w:rFonts w:cs="Arial"/>
                <w:b/>
              </w:rPr>
            </w:pPr>
          </w:p>
        </w:tc>
      </w:tr>
      <w:tr w:rsidR="00151F8C" w:rsidRPr="005B5418" w14:paraId="72632D07" w14:textId="77777777" w:rsidTr="00017B40">
        <w:tc>
          <w:tcPr>
            <w:tcW w:w="6660" w:type="dxa"/>
            <w:vAlign w:val="center"/>
          </w:tcPr>
          <w:p w14:paraId="6849A8C8" w14:textId="69F0235B" w:rsidR="00151F8C" w:rsidRPr="005B5418" w:rsidRDefault="00DE6278" w:rsidP="009A77CB">
            <w:pPr>
              <w:pStyle w:val="Table-Cell-Indent"/>
              <w:spacing w:before="40" w:after="40"/>
              <w:ind w:left="1401" w:hanging="1041"/>
            </w:pPr>
            <w:hyperlink w:anchor="_II.3.8.14B_Debt_(14B)" w:history="1">
              <w:r w:rsidRPr="005B5418">
                <w:rPr>
                  <w:rStyle w:val="Hyperlink"/>
                  <w:rFonts w:eastAsia="Times New Roman"/>
                  <w:u w:val="none"/>
                </w:rPr>
                <w:t xml:space="preserve">II.3.8.14B – Debt (14B) </w:t>
              </w:r>
            </w:hyperlink>
          </w:p>
        </w:tc>
        <w:tc>
          <w:tcPr>
            <w:tcW w:w="2160" w:type="dxa"/>
            <w:vAlign w:val="center"/>
          </w:tcPr>
          <w:p w14:paraId="6CDCEC53" w14:textId="77777777" w:rsidR="00151F8C" w:rsidRPr="005B5418" w:rsidRDefault="00151F8C" w:rsidP="00151F8C">
            <w:pPr>
              <w:spacing w:line="240" w:lineRule="auto"/>
              <w:jc w:val="center"/>
              <w:rPr>
                <w:rFonts w:cs="Arial"/>
                <w:b/>
              </w:rPr>
            </w:pPr>
          </w:p>
        </w:tc>
      </w:tr>
      <w:tr w:rsidR="00F44199" w:rsidRPr="005B5418" w14:paraId="591B1E11" w14:textId="77777777" w:rsidTr="00017B40">
        <w:tc>
          <w:tcPr>
            <w:tcW w:w="6660" w:type="dxa"/>
            <w:vAlign w:val="center"/>
          </w:tcPr>
          <w:p w14:paraId="4D57D04E" w14:textId="16BD9B04" w:rsidR="00F11228" w:rsidRPr="005B5418" w:rsidRDefault="007877C3" w:rsidP="002942E9">
            <w:pPr>
              <w:pStyle w:val="Table-Cell-Indent"/>
              <w:spacing w:before="40" w:after="40"/>
              <w:ind w:left="1395" w:hanging="1053"/>
              <w:rPr>
                <w:rFonts w:cs="Arial"/>
                <w:color w:val="0000FF"/>
              </w:rPr>
            </w:pPr>
            <w:hyperlink w:anchor="_II.3.8.15_Federal_Employee" w:history="1">
              <w:r w:rsidRPr="005B5418">
                <w:rPr>
                  <w:rStyle w:val="Hyperlink"/>
                  <w:rFonts w:eastAsia="Times New Roman"/>
                  <w:u w:val="none"/>
                </w:rPr>
                <w:t>II.3.8.15 – Federal Employee and Veteran</w:t>
              </w:r>
              <w:r w:rsidR="00B36439" w:rsidRPr="005B5418">
                <w:rPr>
                  <w:rStyle w:val="Hyperlink"/>
                  <w:rFonts w:eastAsia="Times New Roman"/>
                  <w:u w:val="none"/>
                </w:rPr>
                <w:t>s</w:t>
              </w:r>
              <w:r w:rsidRPr="005B5418">
                <w:rPr>
                  <w:rStyle w:val="Hyperlink"/>
                  <w:rFonts w:eastAsia="Times New Roman"/>
                  <w:u w:val="none"/>
                </w:rPr>
                <w:t xml:space="preserve"> Benefits Payable</w:t>
              </w:r>
            </w:hyperlink>
          </w:p>
        </w:tc>
        <w:tc>
          <w:tcPr>
            <w:tcW w:w="2160" w:type="dxa"/>
            <w:vAlign w:val="center"/>
          </w:tcPr>
          <w:p w14:paraId="3CDF2F01" w14:textId="77777777" w:rsidR="00F11228" w:rsidRPr="005B5418" w:rsidRDefault="00F11228" w:rsidP="003B61E9">
            <w:pPr>
              <w:spacing w:line="240" w:lineRule="auto"/>
              <w:jc w:val="center"/>
              <w:rPr>
                <w:rFonts w:cs="Arial"/>
                <w:b/>
              </w:rPr>
            </w:pPr>
          </w:p>
        </w:tc>
      </w:tr>
      <w:tr w:rsidR="00F44199" w:rsidRPr="005B5418" w14:paraId="5CCAA904" w14:textId="77777777" w:rsidTr="00017B40">
        <w:tc>
          <w:tcPr>
            <w:tcW w:w="6660" w:type="dxa"/>
            <w:vAlign w:val="center"/>
          </w:tcPr>
          <w:p w14:paraId="005D50D0" w14:textId="77777777" w:rsidR="00F11228" w:rsidRPr="005B5418" w:rsidRDefault="00A01237" w:rsidP="003B61E9">
            <w:pPr>
              <w:pStyle w:val="Table-Cell-Indent"/>
              <w:spacing w:before="40" w:after="40"/>
              <w:ind w:left="342"/>
              <w:rPr>
                <w:rFonts w:cs="Arial"/>
                <w:color w:val="0000FF"/>
              </w:rPr>
            </w:pPr>
            <w:hyperlink w:anchor="_II.3.8.16_Environment_&amp;" w:history="1">
              <w:r w:rsidRPr="005B5418">
                <w:rPr>
                  <w:rStyle w:val="Hyperlink"/>
                  <w:rFonts w:eastAsia="Times New Roman" w:cs="Arial"/>
                  <w:bCs/>
                  <w:u w:val="none"/>
                </w:rPr>
                <w:t>II.3.8</w:t>
              </w:r>
              <w:r w:rsidRPr="005B5418">
                <w:rPr>
                  <w:rStyle w:val="Hyperlink"/>
                  <w:rFonts w:eastAsia="Times New Roman"/>
                  <w:u w:val="none"/>
                </w:rPr>
                <w:t>.</w:t>
              </w:r>
              <w:r w:rsidR="00E42238" w:rsidRPr="005B5418">
                <w:rPr>
                  <w:rStyle w:val="Hyperlink"/>
                  <w:rFonts w:eastAsia="Times New Roman"/>
                  <w:u w:val="none"/>
                </w:rPr>
                <w:t>16</w:t>
              </w:r>
              <w:r w:rsidR="00F11228" w:rsidRPr="005B5418">
                <w:rPr>
                  <w:rStyle w:val="Hyperlink"/>
                  <w:rFonts w:eastAsia="Times New Roman"/>
                  <w:u w:val="none"/>
                </w:rPr>
                <w:t xml:space="preserve"> – Environment</w:t>
              </w:r>
              <w:r w:rsidR="005361BC" w:rsidRPr="005B5418">
                <w:rPr>
                  <w:rStyle w:val="Hyperlink"/>
                  <w:rFonts w:eastAsia="Times New Roman"/>
                  <w:u w:val="none"/>
                </w:rPr>
                <w:t>al</w:t>
              </w:r>
              <w:r w:rsidR="00F11228" w:rsidRPr="005B5418">
                <w:rPr>
                  <w:rStyle w:val="Hyperlink"/>
                  <w:rFonts w:eastAsia="Times New Roman"/>
                  <w:u w:val="none"/>
                </w:rPr>
                <w:t xml:space="preserve"> &amp; Disposal Liabilities</w:t>
              </w:r>
            </w:hyperlink>
          </w:p>
        </w:tc>
        <w:tc>
          <w:tcPr>
            <w:tcW w:w="2160" w:type="dxa"/>
            <w:vAlign w:val="center"/>
          </w:tcPr>
          <w:p w14:paraId="16F1FEDA" w14:textId="77777777" w:rsidR="00F11228" w:rsidRPr="005B5418" w:rsidRDefault="00F11228" w:rsidP="003B61E9">
            <w:pPr>
              <w:spacing w:line="240" w:lineRule="auto"/>
              <w:jc w:val="center"/>
              <w:rPr>
                <w:rFonts w:cs="Arial"/>
                <w:b/>
              </w:rPr>
            </w:pPr>
          </w:p>
        </w:tc>
      </w:tr>
      <w:tr w:rsidR="006C4815" w:rsidRPr="005B5418" w14:paraId="14131703" w14:textId="77777777" w:rsidTr="00017B40">
        <w:tc>
          <w:tcPr>
            <w:tcW w:w="6660" w:type="dxa"/>
            <w:vAlign w:val="center"/>
          </w:tcPr>
          <w:p w14:paraId="05F5B0C3" w14:textId="523EF3E2" w:rsidR="006C4815" w:rsidRPr="005B5418" w:rsidRDefault="006C4815" w:rsidP="003B61E9">
            <w:pPr>
              <w:pStyle w:val="Table-Cell-Indent"/>
              <w:spacing w:before="40" w:after="40"/>
              <w:ind w:left="342"/>
            </w:pPr>
            <w:hyperlink w:anchor="_II.3.8.17_Insurance_Programs" w:history="1">
              <w:r w:rsidRPr="005B5418">
                <w:rPr>
                  <w:rStyle w:val="Hyperlink"/>
                  <w:rFonts w:eastAsia="Times New Roman"/>
                  <w:u w:val="none"/>
                </w:rPr>
                <w:t>II.3.8.17 – Insurance Programs</w:t>
              </w:r>
            </w:hyperlink>
          </w:p>
        </w:tc>
        <w:tc>
          <w:tcPr>
            <w:tcW w:w="2160" w:type="dxa"/>
            <w:vAlign w:val="center"/>
          </w:tcPr>
          <w:p w14:paraId="3D8AE229" w14:textId="77777777" w:rsidR="006C4815" w:rsidRPr="005B5418" w:rsidRDefault="006C4815" w:rsidP="003B61E9">
            <w:pPr>
              <w:spacing w:line="240" w:lineRule="auto"/>
              <w:jc w:val="center"/>
              <w:rPr>
                <w:rFonts w:cs="Arial"/>
                <w:b/>
              </w:rPr>
            </w:pPr>
          </w:p>
        </w:tc>
      </w:tr>
      <w:tr w:rsidR="00F44199" w:rsidRPr="005B5418" w14:paraId="1915873A" w14:textId="77777777" w:rsidTr="00017B40">
        <w:tc>
          <w:tcPr>
            <w:tcW w:w="6660" w:type="dxa"/>
            <w:vAlign w:val="center"/>
          </w:tcPr>
          <w:p w14:paraId="65C2F305" w14:textId="6B0E58B2" w:rsidR="00F11228" w:rsidRPr="005B5418" w:rsidRDefault="00151F8C" w:rsidP="007B60B5">
            <w:pPr>
              <w:pStyle w:val="Table-Cell-Indent"/>
              <w:spacing w:before="40" w:after="40"/>
              <w:ind w:left="1394" w:hanging="1052"/>
              <w:rPr>
                <w:rFonts w:cs="Arial"/>
                <w:bCs/>
                <w:color w:val="0000FF"/>
              </w:rPr>
            </w:pPr>
            <w:hyperlink w:anchor="_II.3.8.17_Other_Liabilities" w:history="1">
              <w:r w:rsidRPr="005B5418">
                <w:rPr>
                  <w:rStyle w:val="Hyperlink"/>
                  <w:rFonts w:eastAsia="Times New Roman"/>
                  <w:u w:val="none"/>
                </w:rPr>
                <w:t>II.3.8.18 – Advances from Others and Deferred Revenue / Other Liabilities</w:t>
              </w:r>
            </w:hyperlink>
          </w:p>
        </w:tc>
        <w:tc>
          <w:tcPr>
            <w:tcW w:w="2160" w:type="dxa"/>
            <w:vAlign w:val="center"/>
          </w:tcPr>
          <w:p w14:paraId="02F200CE" w14:textId="77777777" w:rsidR="00F11228" w:rsidRPr="005B5418" w:rsidRDefault="00F11228" w:rsidP="003B61E9">
            <w:pPr>
              <w:spacing w:line="240" w:lineRule="auto"/>
              <w:ind w:left="342"/>
              <w:jc w:val="center"/>
              <w:rPr>
                <w:rFonts w:cs="Arial"/>
                <w:b/>
              </w:rPr>
            </w:pPr>
          </w:p>
        </w:tc>
      </w:tr>
      <w:tr w:rsidR="00F44199" w:rsidRPr="005B5418" w14:paraId="212BB174" w14:textId="77777777" w:rsidTr="00017B40">
        <w:tc>
          <w:tcPr>
            <w:tcW w:w="6660" w:type="dxa"/>
            <w:vAlign w:val="center"/>
          </w:tcPr>
          <w:p w14:paraId="69F16BE0" w14:textId="35D8DBE3" w:rsidR="00F11228" w:rsidRPr="005B5418" w:rsidRDefault="00A01237">
            <w:pPr>
              <w:pStyle w:val="Table-Cell-Indent"/>
              <w:spacing w:before="40" w:after="40"/>
              <w:ind w:left="342"/>
              <w:rPr>
                <w:rFonts w:cs="Arial"/>
                <w:bCs/>
                <w:color w:val="0000FF"/>
              </w:rPr>
            </w:pPr>
            <w:hyperlink w:anchor="_II.3.8.18_Leases" w:history="1">
              <w:r w:rsidRPr="005B5418">
                <w:rPr>
                  <w:rStyle w:val="Hyperlink"/>
                  <w:rFonts w:eastAsia="Times New Roman" w:cs="Arial"/>
                  <w:bCs/>
                  <w:u w:val="none"/>
                </w:rPr>
                <w:t>II.3.8</w:t>
              </w:r>
              <w:r w:rsidRPr="005B5418">
                <w:rPr>
                  <w:rStyle w:val="Hyperlink"/>
                  <w:rFonts w:eastAsia="Times New Roman"/>
                  <w:u w:val="none"/>
                </w:rPr>
                <w:t>.</w:t>
              </w:r>
              <w:r w:rsidR="006C4815" w:rsidRPr="005B5418">
                <w:rPr>
                  <w:rStyle w:val="Hyperlink"/>
                  <w:rFonts w:eastAsia="Times New Roman"/>
                  <w:u w:val="none"/>
                </w:rPr>
                <w:t xml:space="preserve">19 </w:t>
              </w:r>
              <w:r w:rsidR="00F11228" w:rsidRPr="005B5418">
                <w:rPr>
                  <w:rStyle w:val="Hyperlink"/>
                  <w:rFonts w:eastAsia="Times New Roman"/>
                  <w:u w:val="none"/>
                </w:rPr>
                <w:t>– Leases</w:t>
              </w:r>
            </w:hyperlink>
          </w:p>
        </w:tc>
        <w:tc>
          <w:tcPr>
            <w:tcW w:w="2160" w:type="dxa"/>
            <w:vAlign w:val="center"/>
          </w:tcPr>
          <w:p w14:paraId="6DC45CDE" w14:textId="77777777" w:rsidR="00F11228" w:rsidRPr="005B5418" w:rsidRDefault="00F11228" w:rsidP="003B61E9">
            <w:pPr>
              <w:spacing w:line="240" w:lineRule="auto"/>
              <w:ind w:left="342"/>
              <w:jc w:val="center"/>
              <w:rPr>
                <w:rFonts w:cs="Arial"/>
                <w:b/>
              </w:rPr>
            </w:pPr>
          </w:p>
        </w:tc>
      </w:tr>
      <w:tr w:rsidR="00F44199" w:rsidRPr="005B5418" w14:paraId="2288EB5F" w14:textId="77777777" w:rsidTr="00017B40">
        <w:tc>
          <w:tcPr>
            <w:tcW w:w="6660" w:type="dxa"/>
            <w:vAlign w:val="center"/>
          </w:tcPr>
          <w:p w14:paraId="24436BE9" w14:textId="193BC99B" w:rsidR="00F11228" w:rsidRPr="005B5418" w:rsidRDefault="008347D7">
            <w:pPr>
              <w:pStyle w:val="Table-Cell-Indent"/>
              <w:spacing w:before="40" w:after="40"/>
              <w:ind w:left="342"/>
              <w:rPr>
                <w:rFonts w:cs="Arial"/>
                <w:bCs/>
                <w:color w:val="0000FF"/>
              </w:rPr>
            </w:pPr>
            <w:hyperlink w:anchor="_II.3.8.20_Commitments_and_1" w:history="1">
              <w:r w:rsidRPr="005B5418">
                <w:rPr>
                  <w:rStyle w:val="Hyperlink"/>
                  <w:rFonts w:eastAsia="Times New Roman"/>
                  <w:u w:val="none"/>
                </w:rPr>
                <w:t>II.3.8.</w:t>
              </w:r>
              <w:r w:rsidR="006C4815" w:rsidRPr="005B5418">
                <w:rPr>
                  <w:rStyle w:val="Hyperlink"/>
                  <w:rFonts w:eastAsia="Times New Roman"/>
                  <w:u w:val="none"/>
                </w:rPr>
                <w:t xml:space="preserve">20 </w:t>
              </w:r>
              <w:r w:rsidRPr="005B5418">
                <w:rPr>
                  <w:rStyle w:val="Hyperlink"/>
                  <w:rFonts w:eastAsia="Times New Roman"/>
                  <w:u w:val="none"/>
                </w:rPr>
                <w:t>– Commitments and Contingencies</w:t>
              </w:r>
            </w:hyperlink>
          </w:p>
        </w:tc>
        <w:tc>
          <w:tcPr>
            <w:tcW w:w="2160" w:type="dxa"/>
            <w:vAlign w:val="center"/>
          </w:tcPr>
          <w:p w14:paraId="498F8909" w14:textId="77777777" w:rsidR="00F11228" w:rsidRPr="005B5418" w:rsidRDefault="00F11228" w:rsidP="003B61E9">
            <w:pPr>
              <w:spacing w:line="240" w:lineRule="auto"/>
              <w:ind w:left="342"/>
              <w:jc w:val="center"/>
              <w:rPr>
                <w:rFonts w:cs="Arial"/>
                <w:b/>
              </w:rPr>
            </w:pPr>
          </w:p>
        </w:tc>
      </w:tr>
      <w:tr w:rsidR="00F44199" w:rsidRPr="005B5418" w14:paraId="2316B1C1" w14:textId="77777777" w:rsidTr="00017B40">
        <w:tc>
          <w:tcPr>
            <w:tcW w:w="6660" w:type="dxa"/>
            <w:vAlign w:val="center"/>
          </w:tcPr>
          <w:p w14:paraId="79BA71D3" w14:textId="76411B1C" w:rsidR="00F11228" w:rsidRPr="005B5418" w:rsidRDefault="008347D7">
            <w:pPr>
              <w:pStyle w:val="Table-Cell-Indent"/>
              <w:spacing w:before="40" w:after="40"/>
              <w:ind w:left="342"/>
              <w:rPr>
                <w:rFonts w:cs="Arial"/>
                <w:bCs/>
                <w:color w:val="0000FF"/>
              </w:rPr>
            </w:pPr>
            <w:hyperlink w:anchor="_II.3.8.21_Funds_from" w:history="1">
              <w:r w:rsidRPr="005B5418">
                <w:rPr>
                  <w:rStyle w:val="Hyperlink"/>
                  <w:rFonts w:eastAsia="Times New Roman"/>
                  <w:u w:val="none"/>
                </w:rPr>
                <w:t>II.3.8.</w:t>
              </w:r>
              <w:r w:rsidR="006C4815" w:rsidRPr="005B5418">
                <w:rPr>
                  <w:rStyle w:val="Hyperlink"/>
                  <w:rFonts w:eastAsia="Times New Roman"/>
                  <w:u w:val="none"/>
                </w:rPr>
                <w:t xml:space="preserve">21 </w:t>
              </w:r>
              <w:r w:rsidRPr="005B5418">
                <w:rPr>
                  <w:rStyle w:val="Hyperlink"/>
                  <w:rFonts w:eastAsia="Times New Roman"/>
                  <w:u w:val="none"/>
                </w:rPr>
                <w:t>– Funds from Dedicated Collections</w:t>
              </w:r>
            </w:hyperlink>
          </w:p>
        </w:tc>
        <w:tc>
          <w:tcPr>
            <w:tcW w:w="2160" w:type="dxa"/>
            <w:vAlign w:val="center"/>
          </w:tcPr>
          <w:p w14:paraId="00ADB573" w14:textId="77777777" w:rsidR="00F11228" w:rsidRPr="005B5418" w:rsidRDefault="00F11228" w:rsidP="003B61E9">
            <w:pPr>
              <w:spacing w:line="240" w:lineRule="auto"/>
              <w:ind w:left="342"/>
              <w:jc w:val="center"/>
              <w:rPr>
                <w:rFonts w:cs="Arial"/>
                <w:b/>
              </w:rPr>
            </w:pPr>
          </w:p>
        </w:tc>
      </w:tr>
      <w:tr w:rsidR="00F44199" w:rsidRPr="005B5418" w14:paraId="5493F51C" w14:textId="77777777" w:rsidTr="00017B40">
        <w:tc>
          <w:tcPr>
            <w:tcW w:w="6660" w:type="dxa"/>
            <w:vAlign w:val="center"/>
          </w:tcPr>
          <w:p w14:paraId="38ADFCB3" w14:textId="6C5047BC" w:rsidR="00F11228" w:rsidRPr="005B5418" w:rsidRDefault="00F24503">
            <w:pPr>
              <w:pStyle w:val="Table-Cell-Indent"/>
              <w:spacing w:before="40" w:after="40"/>
              <w:ind w:left="342"/>
              <w:rPr>
                <w:rFonts w:cs="Arial"/>
                <w:bCs/>
                <w:color w:val="0000FF"/>
              </w:rPr>
            </w:pPr>
            <w:hyperlink w:anchor="_II.3.8.22_Suborganization_Program_1" w:history="1">
              <w:r w:rsidRPr="005B5418">
                <w:rPr>
                  <w:rStyle w:val="Hyperlink"/>
                  <w:rFonts w:eastAsia="Times New Roman"/>
                  <w:u w:val="none"/>
                </w:rPr>
                <w:t>II.3.8.</w:t>
              </w:r>
              <w:r w:rsidR="006C4815" w:rsidRPr="005B5418">
                <w:rPr>
                  <w:rStyle w:val="Hyperlink"/>
                  <w:rFonts w:eastAsia="Times New Roman"/>
                  <w:u w:val="none"/>
                </w:rPr>
                <w:t xml:space="preserve">22 </w:t>
              </w:r>
              <w:r w:rsidRPr="005B5418">
                <w:rPr>
                  <w:rStyle w:val="Hyperlink"/>
                  <w:rFonts w:eastAsia="Times New Roman"/>
                  <w:u w:val="none"/>
                </w:rPr>
                <w:t>– Suborganization Program Costs</w:t>
              </w:r>
            </w:hyperlink>
          </w:p>
        </w:tc>
        <w:tc>
          <w:tcPr>
            <w:tcW w:w="2160" w:type="dxa"/>
            <w:vAlign w:val="center"/>
          </w:tcPr>
          <w:p w14:paraId="05C43E3A" w14:textId="77777777" w:rsidR="00F11228" w:rsidRPr="005B5418" w:rsidRDefault="00F11228" w:rsidP="003B61E9">
            <w:pPr>
              <w:spacing w:line="240" w:lineRule="auto"/>
              <w:ind w:left="342"/>
              <w:jc w:val="center"/>
              <w:rPr>
                <w:rFonts w:cs="Arial"/>
                <w:b/>
              </w:rPr>
            </w:pPr>
          </w:p>
        </w:tc>
      </w:tr>
      <w:tr w:rsidR="00F44199" w:rsidRPr="005B5418" w14:paraId="520085B2" w14:textId="77777777" w:rsidTr="00017B40">
        <w:tc>
          <w:tcPr>
            <w:tcW w:w="6660" w:type="dxa"/>
            <w:vAlign w:val="center"/>
          </w:tcPr>
          <w:p w14:paraId="0E8BBE07" w14:textId="56FEB1E4" w:rsidR="00F11228" w:rsidRPr="005B5418" w:rsidRDefault="00223515">
            <w:pPr>
              <w:pStyle w:val="Table-Cell-Indent"/>
              <w:spacing w:before="40" w:after="40"/>
              <w:ind w:left="342"/>
              <w:rPr>
                <w:rFonts w:cs="Arial"/>
                <w:bCs/>
                <w:color w:val="0000FF"/>
              </w:rPr>
            </w:pPr>
            <w:hyperlink w:anchor="_II.3.8.23_Exchange_Revenues" w:history="1">
              <w:r w:rsidRPr="005B5418">
                <w:rPr>
                  <w:rStyle w:val="Hyperlink"/>
                  <w:rFonts w:eastAsia="Times New Roman"/>
                  <w:u w:val="none"/>
                </w:rPr>
                <w:t>II.3.8.23 – Exchange Revenues</w:t>
              </w:r>
            </w:hyperlink>
          </w:p>
        </w:tc>
        <w:tc>
          <w:tcPr>
            <w:tcW w:w="2160" w:type="dxa"/>
            <w:vAlign w:val="center"/>
          </w:tcPr>
          <w:p w14:paraId="2205C26D" w14:textId="77777777" w:rsidR="00F11228" w:rsidRPr="005B5418" w:rsidRDefault="00F11228" w:rsidP="003B61E9">
            <w:pPr>
              <w:spacing w:line="240" w:lineRule="auto"/>
              <w:ind w:left="342"/>
              <w:jc w:val="center"/>
              <w:rPr>
                <w:rFonts w:cs="Arial"/>
                <w:b/>
              </w:rPr>
            </w:pPr>
          </w:p>
        </w:tc>
      </w:tr>
      <w:tr w:rsidR="00F44199" w:rsidRPr="005B5418" w14:paraId="36AE9A12" w14:textId="77777777" w:rsidTr="00017B40">
        <w:tc>
          <w:tcPr>
            <w:tcW w:w="6660" w:type="dxa"/>
            <w:vAlign w:val="center"/>
          </w:tcPr>
          <w:p w14:paraId="7915DD0B" w14:textId="04B8B45B" w:rsidR="00E96DE0" w:rsidRPr="005B5418" w:rsidRDefault="00223515">
            <w:pPr>
              <w:pStyle w:val="Table-Cell-Indent"/>
              <w:spacing w:before="40" w:after="40"/>
              <w:ind w:left="342"/>
              <w:rPr>
                <w:color w:val="0000FF"/>
              </w:rPr>
            </w:pPr>
            <w:hyperlink w:anchor="_II.3.8.26_Inter-Entity_Costs" w:history="1">
              <w:r w:rsidRPr="005B5418">
                <w:rPr>
                  <w:rStyle w:val="Hyperlink"/>
                  <w:rFonts w:eastAsia="Times New Roman"/>
                  <w:u w:val="none"/>
                </w:rPr>
                <w:t>II.3.8.24 – Inter-Entity Costs</w:t>
              </w:r>
            </w:hyperlink>
          </w:p>
        </w:tc>
        <w:tc>
          <w:tcPr>
            <w:tcW w:w="2160" w:type="dxa"/>
            <w:vAlign w:val="center"/>
          </w:tcPr>
          <w:p w14:paraId="56CDF7F7" w14:textId="77777777" w:rsidR="00E96DE0" w:rsidRPr="005B5418" w:rsidRDefault="00E96DE0" w:rsidP="003B61E9">
            <w:pPr>
              <w:spacing w:line="240" w:lineRule="auto"/>
              <w:ind w:left="342"/>
              <w:jc w:val="center"/>
              <w:rPr>
                <w:rFonts w:cs="Arial"/>
                <w:b/>
              </w:rPr>
            </w:pPr>
          </w:p>
        </w:tc>
      </w:tr>
      <w:tr w:rsidR="00F44199" w:rsidRPr="005B5418" w14:paraId="29148A82" w14:textId="77777777" w:rsidTr="00C54658">
        <w:trPr>
          <w:trHeight w:val="602"/>
        </w:trPr>
        <w:tc>
          <w:tcPr>
            <w:tcW w:w="6660" w:type="dxa"/>
            <w:vAlign w:val="center"/>
          </w:tcPr>
          <w:p w14:paraId="6359681F" w14:textId="4BBB13E9" w:rsidR="00F11228" w:rsidRPr="005B5418" w:rsidRDefault="00223515">
            <w:pPr>
              <w:pStyle w:val="Table-Cell-Indent"/>
              <w:spacing w:before="40" w:after="40"/>
              <w:ind w:left="2295" w:hanging="1953"/>
              <w:rPr>
                <w:rFonts w:cs="Arial"/>
                <w:bCs/>
                <w:color w:val="0000FF"/>
              </w:rPr>
            </w:pPr>
            <w:hyperlink w:anchor="_II.3.8.26_Statement_of" w:history="1">
              <w:r w:rsidRPr="005B5418">
                <w:rPr>
                  <w:rStyle w:val="Hyperlink"/>
                  <w:rFonts w:eastAsia="Times New Roman"/>
                  <w:u w:val="none"/>
                </w:rPr>
                <w:t xml:space="preserve">II.3.8.25 </w:t>
              </w:r>
              <w:r w:rsidR="00A3532C" w:rsidRPr="005B5418">
                <w:rPr>
                  <w:rStyle w:val="Hyperlink"/>
                  <w:rFonts w:eastAsia="Times New Roman"/>
                  <w:u w:val="none"/>
                </w:rPr>
                <w:t>– Statement</w:t>
              </w:r>
              <w:r w:rsidRPr="005B5418">
                <w:rPr>
                  <w:rStyle w:val="Hyperlink"/>
                  <w:rFonts w:eastAsia="Times New Roman"/>
                  <w:u w:val="none"/>
                </w:rPr>
                <w:t xml:space="preserve"> of Budgetary Resources</w:t>
              </w:r>
            </w:hyperlink>
          </w:p>
        </w:tc>
        <w:tc>
          <w:tcPr>
            <w:tcW w:w="2160" w:type="dxa"/>
            <w:vAlign w:val="center"/>
          </w:tcPr>
          <w:p w14:paraId="77FC6751" w14:textId="77777777" w:rsidR="00F11228" w:rsidRPr="005B5418" w:rsidRDefault="00F11228" w:rsidP="003B61E9">
            <w:pPr>
              <w:spacing w:line="240" w:lineRule="auto"/>
              <w:ind w:left="342"/>
              <w:jc w:val="center"/>
              <w:rPr>
                <w:rFonts w:cs="Arial"/>
                <w:b/>
              </w:rPr>
            </w:pPr>
          </w:p>
        </w:tc>
      </w:tr>
      <w:tr w:rsidR="00F44199" w:rsidRPr="005B5418" w14:paraId="184F9198" w14:textId="77777777" w:rsidTr="00017B40">
        <w:tc>
          <w:tcPr>
            <w:tcW w:w="6660" w:type="dxa"/>
            <w:vAlign w:val="center"/>
          </w:tcPr>
          <w:p w14:paraId="14126F47" w14:textId="137AF270" w:rsidR="00F11228" w:rsidRPr="005B5418" w:rsidRDefault="00223515">
            <w:pPr>
              <w:pStyle w:val="Table-Cell-Indent"/>
              <w:spacing w:before="40" w:after="40"/>
              <w:ind w:left="342" w:right="-90"/>
              <w:rPr>
                <w:rFonts w:cs="Arial"/>
                <w:bCs/>
                <w:color w:val="0000FF"/>
              </w:rPr>
            </w:pPr>
            <w:hyperlink w:anchor="_II.3.8.35_Incidental_Custodial" w:history="1">
              <w:r w:rsidRPr="005B5418">
                <w:rPr>
                  <w:rStyle w:val="Hyperlink"/>
                  <w:rFonts w:eastAsia="Times New Roman"/>
                  <w:u w:val="none"/>
                </w:rPr>
                <w:t>II.3.8.26 – Incidental Custodial Collections</w:t>
              </w:r>
            </w:hyperlink>
          </w:p>
        </w:tc>
        <w:tc>
          <w:tcPr>
            <w:tcW w:w="2160" w:type="dxa"/>
            <w:vAlign w:val="center"/>
          </w:tcPr>
          <w:p w14:paraId="2243A64D" w14:textId="77777777" w:rsidR="00F11228" w:rsidRPr="005B5418" w:rsidRDefault="00F11228" w:rsidP="003B61E9">
            <w:pPr>
              <w:spacing w:line="240" w:lineRule="auto"/>
              <w:ind w:left="342"/>
              <w:jc w:val="center"/>
              <w:rPr>
                <w:rFonts w:cs="Arial"/>
                <w:b/>
              </w:rPr>
            </w:pPr>
          </w:p>
        </w:tc>
      </w:tr>
      <w:tr w:rsidR="00F44199" w:rsidRPr="005B5418" w14:paraId="56E77D79" w14:textId="77777777" w:rsidTr="00017B40">
        <w:tc>
          <w:tcPr>
            <w:tcW w:w="6660" w:type="dxa"/>
            <w:vAlign w:val="center"/>
          </w:tcPr>
          <w:p w14:paraId="3F9141D8" w14:textId="2A4F2472" w:rsidR="002F2B3C" w:rsidRPr="005B5418" w:rsidRDefault="00223515">
            <w:pPr>
              <w:pStyle w:val="Table-Cell-Indent"/>
              <w:spacing w:before="40" w:after="40"/>
              <w:ind w:left="342"/>
              <w:rPr>
                <w:color w:val="0000FF"/>
              </w:rPr>
            </w:pPr>
            <w:hyperlink w:anchor="_II.3.8.36_Custodial_Revenues" w:history="1">
              <w:r w:rsidRPr="005B5418">
                <w:rPr>
                  <w:rStyle w:val="Hyperlink"/>
                  <w:rFonts w:eastAsia="Times New Roman"/>
                  <w:u w:val="none"/>
                </w:rPr>
                <w:t>II.3.8.27 – Custodial Revenues</w:t>
              </w:r>
            </w:hyperlink>
          </w:p>
        </w:tc>
        <w:tc>
          <w:tcPr>
            <w:tcW w:w="2160" w:type="dxa"/>
            <w:vAlign w:val="center"/>
          </w:tcPr>
          <w:p w14:paraId="4297DC34" w14:textId="77777777" w:rsidR="002F2B3C" w:rsidRPr="005B5418" w:rsidRDefault="002F2B3C" w:rsidP="003B61E9">
            <w:pPr>
              <w:spacing w:line="240" w:lineRule="auto"/>
              <w:ind w:left="342"/>
              <w:jc w:val="center"/>
              <w:rPr>
                <w:rFonts w:cs="Arial"/>
                <w:b/>
              </w:rPr>
            </w:pPr>
          </w:p>
        </w:tc>
      </w:tr>
      <w:tr w:rsidR="00F44199" w:rsidRPr="005B5418" w14:paraId="3049A325" w14:textId="77777777" w:rsidTr="00017B40">
        <w:tc>
          <w:tcPr>
            <w:tcW w:w="6660" w:type="dxa"/>
            <w:vAlign w:val="center"/>
          </w:tcPr>
          <w:p w14:paraId="09C568D9" w14:textId="43E1B016" w:rsidR="00F11228" w:rsidRPr="005B5418" w:rsidRDefault="00223515" w:rsidP="001B1D48">
            <w:pPr>
              <w:pStyle w:val="Table-Cell-Indent"/>
              <w:spacing w:before="40" w:after="40"/>
              <w:ind w:left="1394" w:hanging="1052"/>
              <w:rPr>
                <w:rFonts w:cs="Arial"/>
                <w:bCs/>
                <w:color w:val="0000FF"/>
              </w:rPr>
            </w:pPr>
            <w:hyperlink w:anchor="_II.3.8.37_Social_Insurance" w:history="1">
              <w:r w:rsidRPr="005B5418">
                <w:rPr>
                  <w:rStyle w:val="Hyperlink"/>
                  <w:rFonts w:eastAsia="Times New Roman"/>
                  <w:u w:val="none"/>
                </w:rPr>
                <w:t>II.3.8.28 – Statement of Social Insurance and Statement of Changes in Social Insurance Amounts</w:t>
              </w:r>
            </w:hyperlink>
          </w:p>
        </w:tc>
        <w:tc>
          <w:tcPr>
            <w:tcW w:w="2160" w:type="dxa"/>
            <w:vAlign w:val="center"/>
          </w:tcPr>
          <w:p w14:paraId="7553F0CB" w14:textId="77777777" w:rsidR="00F11228" w:rsidRPr="005B5418" w:rsidRDefault="00F11228" w:rsidP="003B61E9">
            <w:pPr>
              <w:spacing w:line="240" w:lineRule="auto"/>
              <w:ind w:left="342"/>
              <w:jc w:val="center"/>
              <w:rPr>
                <w:rFonts w:cs="Arial"/>
                <w:b/>
              </w:rPr>
            </w:pPr>
          </w:p>
        </w:tc>
      </w:tr>
      <w:tr w:rsidR="00F44199" w:rsidRPr="005B5418" w14:paraId="61A09CB3" w14:textId="77777777" w:rsidTr="00017B40">
        <w:tc>
          <w:tcPr>
            <w:tcW w:w="6660" w:type="dxa"/>
            <w:vAlign w:val="center"/>
          </w:tcPr>
          <w:p w14:paraId="14047E9D" w14:textId="4B45F0AE" w:rsidR="00C26E8F" w:rsidRPr="005B5418" w:rsidRDefault="00223515">
            <w:pPr>
              <w:pStyle w:val="Table-Cell-Indent"/>
              <w:spacing w:before="40" w:after="40"/>
              <w:ind w:left="342"/>
              <w:rPr>
                <w:color w:val="0000FF"/>
              </w:rPr>
            </w:pPr>
            <w:hyperlink w:anchor="_II.3.8.38_Fiduciary_Activities" w:history="1">
              <w:r w:rsidRPr="005B5418">
                <w:rPr>
                  <w:rStyle w:val="Hyperlink"/>
                  <w:rFonts w:eastAsia="Times New Roman"/>
                  <w:u w:val="none"/>
                </w:rPr>
                <w:t>II.3.8.29 – Fiduciary Activities</w:t>
              </w:r>
            </w:hyperlink>
          </w:p>
        </w:tc>
        <w:tc>
          <w:tcPr>
            <w:tcW w:w="2160" w:type="dxa"/>
            <w:vAlign w:val="center"/>
          </w:tcPr>
          <w:p w14:paraId="0B79FB0B" w14:textId="77777777" w:rsidR="00C26E8F" w:rsidRPr="005B5418" w:rsidRDefault="00C26E8F" w:rsidP="003B61E9">
            <w:pPr>
              <w:spacing w:line="240" w:lineRule="auto"/>
              <w:ind w:left="342"/>
              <w:jc w:val="center"/>
              <w:rPr>
                <w:rFonts w:cs="Arial"/>
                <w:b/>
              </w:rPr>
            </w:pPr>
          </w:p>
        </w:tc>
      </w:tr>
      <w:tr w:rsidR="00F44199" w:rsidRPr="005B5418" w14:paraId="4B2604B6" w14:textId="77777777" w:rsidTr="00017B40">
        <w:tc>
          <w:tcPr>
            <w:tcW w:w="6660" w:type="dxa"/>
            <w:vAlign w:val="center"/>
          </w:tcPr>
          <w:p w14:paraId="69A878B5" w14:textId="73E325A4" w:rsidR="00C26E8F" w:rsidRPr="005B5418" w:rsidRDefault="00223515">
            <w:pPr>
              <w:pStyle w:val="Table-Cell-Indent"/>
              <w:spacing w:before="40" w:after="40"/>
              <w:ind w:left="342"/>
              <w:rPr>
                <w:color w:val="0000FF"/>
              </w:rPr>
            </w:pPr>
            <w:hyperlink w:anchor="_II.3.8.39_Restatements" w:history="1">
              <w:r w:rsidRPr="005B5418">
                <w:rPr>
                  <w:rStyle w:val="Hyperlink"/>
                  <w:rFonts w:eastAsia="Times New Roman"/>
                  <w:u w:val="none"/>
                </w:rPr>
                <w:t>II.3.8.30 – Restatements</w:t>
              </w:r>
            </w:hyperlink>
            <w:r w:rsidR="00654509" w:rsidRPr="005B5418">
              <w:rPr>
                <w:color w:val="0000FF"/>
              </w:rPr>
              <w:t xml:space="preserve"> </w:t>
            </w:r>
          </w:p>
        </w:tc>
        <w:tc>
          <w:tcPr>
            <w:tcW w:w="2160" w:type="dxa"/>
            <w:vAlign w:val="center"/>
          </w:tcPr>
          <w:p w14:paraId="7F2BB75A" w14:textId="77777777" w:rsidR="00C26E8F" w:rsidRPr="005B5418" w:rsidRDefault="00C26E8F" w:rsidP="003B61E9">
            <w:pPr>
              <w:spacing w:line="240" w:lineRule="auto"/>
              <w:ind w:left="342"/>
              <w:jc w:val="center"/>
              <w:rPr>
                <w:rFonts w:cs="Arial"/>
                <w:b/>
              </w:rPr>
            </w:pPr>
          </w:p>
        </w:tc>
      </w:tr>
      <w:tr w:rsidR="00F44199" w:rsidRPr="005B5418" w14:paraId="22AF298D" w14:textId="77777777" w:rsidTr="00017B40">
        <w:tc>
          <w:tcPr>
            <w:tcW w:w="6660" w:type="dxa"/>
            <w:vAlign w:val="center"/>
          </w:tcPr>
          <w:p w14:paraId="0C8F8E44" w14:textId="7D8689E7" w:rsidR="00654509" w:rsidRPr="005B5418" w:rsidRDefault="00223515" w:rsidP="00A51FC9">
            <w:pPr>
              <w:pStyle w:val="Table-Cell-Indent"/>
              <w:spacing w:before="40" w:after="40"/>
              <w:ind w:left="1394" w:hanging="1052"/>
              <w:rPr>
                <w:color w:val="0000FF"/>
              </w:rPr>
            </w:pPr>
            <w:hyperlink w:anchor="_II.3.8.40_Reconciliation_of" w:history="1">
              <w:r w:rsidRPr="005B5418">
                <w:rPr>
                  <w:rStyle w:val="Hyperlink"/>
                  <w:rFonts w:eastAsia="Times New Roman"/>
                  <w:u w:val="none"/>
                </w:rPr>
                <w:t>II.3.8.31 – Reconciliation of Net Cost to Net Outlays (Budget to Accrual Reconciliation)</w:t>
              </w:r>
            </w:hyperlink>
            <w:r w:rsidR="00AA04D3" w:rsidRPr="005B5418">
              <w:rPr>
                <w:b/>
              </w:rPr>
              <w:t xml:space="preserve"> </w:t>
            </w:r>
          </w:p>
        </w:tc>
        <w:tc>
          <w:tcPr>
            <w:tcW w:w="2160" w:type="dxa"/>
            <w:vAlign w:val="center"/>
          </w:tcPr>
          <w:p w14:paraId="7A517980" w14:textId="77777777" w:rsidR="00654509" w:rsidRPr="005B5418" w:rsidRDefault="00654509" w:rsidP="003B61E9">
            <w:pPr>
              <w:spacing w:line="240" w:lineRule="auto"/>
              <w:ind w:left="342"/>
              <w:jc w:val="center"/>
              <w:rPr>
                <w:rFonts w:cs="Arial"/>
                <w:b/>
              </w:rPr>
            </w:pPr>
          </w:p>
        </w:tc>
      </w:tr>
      <w:tr w:rsidR="00F44199" w:rsidRPr="005B5418" w14:paraId="246067D3" w14:textId="77777777" w:rsidTr="00017B40">
        <w:tc>
          <w:tcPr>
            <w:tcW w:w="6660" w:type="dxa"/>
            <w:vAlign w:val="center"/>
          </w:tcPr>
          <w:p w14:paraId="34D9B80D" w14:textId="27BCC65C" w:rsidR="00654509" w:rsidRPr="005B5418" w:rsidRDefault="00223515">
            <w:pPr>
              <w:pStyle w:val="Table-Cell-Indent"/>
              <w:spacing w:before="40" w:after="40"/>
              <w:ind w:left="342"/>
              <w:rPr>
                <w:color w:val="0000FF"/>
              </w:rPr>
            </w:pPr>
            <w:hyperlink w:anchor="_II.3.8.41_Public-Private_Partnershi" w:history="1">
              <w:r w:rsidRPr="005B5418">
                <w:rPr>
                  <w:rStyle w:val="Hyperlink"/>
                  <w:rFonts w:eastAsia="Times New Roman"/>
                  <w:u w:val="none"/>
                </w:rPr>
                <w:t>II.3.8.32 – Public-Private Partnerships</w:t>
              </w:r>
            </w:hyperlink>
          </w:p>
        </w:tc>
        <w:tc>
          <w:tcPr>
            <w:tcW w:w="2160" w:type="dxa"/>
            <w:vAlign w:val="center"/>
          </w:tcPr>
          <w:p w14:paraId="1F769C8C" w14:textId="77777777" w:rsidR="00654509" w:rsidRPr="005B5418" w:rsidRDefault="00654509" w:rsidP="003B61E9">
            <w:pPr>
              <w:spacing w:line="240" w:lineRule="auto"/>
              <w:ind w:left="342"/>
              <w:jc w:val="center"/>
              <w:rPr>
                <w:rFonts w:cs="Arial"/>
                <w:b/>
              </w:rPr>
            </w:pPr>
          </w:p>
        </w:tc>
      </w:tr>
      <w:tr w:rsidR="00F44199" w:rsidRPr="005B5418" w14:paraId="212C93C8" w14:textId="77777777" w:rsidTr="00017B40">
        <w:tc>
          <w:tcPr>
            <w:tcW w:w="6660" w:type="dxa"/>
            <w:vAlign w:val="center"/>
          </w:tcPr>
          <w:p w14:paraId="217BCFA3" w14:textId="78FE5DC7" w:rsidR="00654509" w:rsidRPr="005B5418" w:rsidRDefault="00223515">
            <w:pPr>
              <w:pStyle w:val="Table-Cell-Indent"/>
              <w:spacing w:before="40" w:after="40"/>
              <w:ind w:left="342"/>
              <w:rPr>
                <w:color w:val="0000FF"/>
              </w:rPr>
            </w:pPr>
            <w:hyperlink w:anchor="_II.3.8.42_Disclosure_Entities" w:history="1">
              <w:r w:rsidRPr="005B5418">
                <w:rPr>
                  <w:rStyle w:val="Hyperlink"/>
                  <w:rFonts w:eastAsia="Times New Roman"/>
                  <w:u w:val="none"/>
                </w:rPr>
                <w:t>II.3.8.33 – Disclosure Entities and Related Parties</w:t>
              </w:r>
            </w:hyperlink>
          </w:p>
        </w:tc>
        <w:tc>
          <w:tcPr>
            <w:tcW w:w="2160" w:type="dxa"/>
            <w:vAlign w:val="center"/>
          </w:tcPr>
          <w:p w14:paraId="25D96CB8" w14:textId="77777777" w:rsidR="00654509" w:rsidRPr="005B5418" w:rsidRDefault="00654509" w:rsidP="003B61E9">
            <w:pPr>
              <w:spacing w:line="240" w:lineRule="auto"/>
              <w:ind w:left="342"/>
              <w:jc w:val="center"/>
              <w:rPr>
                <w:rFonts w:cs="Arial"/>
                <w:b/>
              </w:rPr>
            </w:pPr>
          </w:p>
        </w:tc>
      </w:tr>
      <w:tr w:rsidR="00F35F95" w:rsidRPr="005B5418" w14:paraId="52B40477" w14:textId="77777777" w:rsidTr="002A3889">
        <w:tc>
          <w:tcPr>
            <w:tcW w:w="6660" w:type="dxa"/>
            <w:vAlign w:val="center"/>
          </w:tcPr>
          <w:p w14:paraId="6E5EDF6A" w14:textId="647FBE1C" w:rsidR="00F35F95" w:rsidRPr="005425ED" w:rsidRDefault="00223515">
            <w:pPr>
              <w:pStyle w:val="Table-Cell-Indent"/>
              <w:spacing w:before="40" w:after="40"/>
              <w:ind w:left="342"/>
            </w:pPr>
            <w:hyperlink w:anchor="_II.3.8.36_Subsequent_Events" w:history="1">
              <w:r w:rsidRPr="005B5418">
                <w:rPr>
                  <w:rStyle w:val="Hyperlink"/>
                  <w:rFonts w:eastAsia="Times New Roman"/>
                  <w:u w:val="none"/>
                </w:rPr>
                <w:t>II.3.8.</w:t>
              </w:r>
              <w:r w:rsidR="00B36439" w:rsidRPr="005B5418">
                <w:rPr>
                  <w:rStyle w:val="Hyperlink"/>
                  <w:rFonts w:eastAsia="Times New Roman"/>
                  <w:u w:val="none"/>
                </w:rPr>
                <w:t xml:space="preserve">34 </w:t>
              </w:r>
              <w:r w:rsidRPr="005B5418">
                <w:rPr>
                  <w:rStyle w:val="Hyperlink"/>
                  <w:rFonts w:eastAsia="Times New Roman"/>
                  <w:u w:val="none"/>
                </w:rPr>
                <w:t>– Subsequent Events</w:t>
              </w:r>
            </w:hyperlink>
          </w:p>
        </w:tc>
        <w:tc>
          <w:tcPr>
            <w:tcW w:w="2160" w:type="dxa"/>
            <w:vAlign w:val="center"/>
          </w:tcPr>
          <w:p w14:paraId="48ADE842" w14:textId="77777777" w:rsidR="00F35F95" w:rsidRPr="005B5418" w:rsidRDefault="00F35F95" w:rsidP="003B61E9">
            <w:pPr>
              <w:spacing w:line="240" w:lineRule="auto"/>
              <w:jc w:val="center"/>
              <w:rPr>
                <w:rFonts w:cs="Arial"/>
                <w:b/>
              </w:rPr>
            </w:pPr>
          </w:p>
        </w:tc>
      </w:tr>
      <w:tr w:rsidR="002A3889" w:rsidRPr="005B5418" w14:paraId="7421FD08" w14:textId="77777777" w:rsidTr="002A3889">
        <w:tc>
          <w:tcPr>
            <w:tcW w:w="6660" w:type="dxa"/>
            <w:vAlign w:val="center"/>
          </w:tcPr>
          <w:p w14:paraId="5F1C36ED" w14:textId="38E6DC21" w:rsidR="002A3889" w:rsidRPr="005B5418" w:rsidRDefault="00223515">
            <w:pPr>
              <w:pStyle w:val="Table-Cell-Indent"/>
              <w:spacing w:before="40" w:after="40"/>
              <w:ind w:left="1395" w:hanging="1053"/>
              <w:rPr>
                <w:rStyle w:val="Hyperlink"/>
                <w:rFonts w:asciiTheme="minorHAnsi" w:eastAsia="Times New Roman" w:hAnsiTheme="minorHAnsi" w:cs="Arial"/>
                <w:bCs/>
                <w:szCs w:val="22"/>
                <w:u w:val="none"/>
              </w:rPr>
            </w:pPr>
            <w:hyperlink w:anchor="_II.3.8.37_Non-custodial_Non-exchang" w:history="1">
              <w:r w:rsidRPr="005B5418">
                <w:rPr>
                  <w:rStyle w:val="Hyperlink"/>
                  <w:rFonts w:eastAsia="Times New Roman" w:cs="Arial"/>
                  <w:bCs/>
                  <w:u w:val="none"/>
                </w:rPr>
                <w:t>II.3.8.</w:t>
              </w:r>
              <w:r w:rsidR="00B36439" w:rsidRPr="005B5418">
                <w:rPr>
                  <w:rStyle w:val="Hyperlink"/>
                  <w:rFonts w:eastAsia="Times New Roman" w:cs="Arial"/>
                  <w:bCs/>
                  <w:u w:val="none"/>
                </w:rPr>
                <w:t xml:space="preserve">35 </w:t>
              </w:r>
              <w:r w:rsidRPr="005B5418">
                <w:rPr>
                  <w:rStyle w:val="Hyperlink"/>
                  <w:rFonts w:eastAsia="Times New Roman" w:cs="Arial"/>
                  <w:bCs/>
                  <w:u w:val="none"/>
                </w:rPr>
                <w:t>– Non-</w:t>
              </w:r>
              <w:r w:rsidR="007146AC">
                <w:rPr>
                  <w:rStyle w:val="Hyperlink"/>
                  <w:rFonts w:eastAsia="Times New Roman" w:cs="Arial"/>
                  <w:bCs/>
                  <w:u w:val="none"/>
                </w:rPr>
                <w:t>C</w:t>
              </w:r>
              <w:r w:rsidR="007146AC" w:rsidRPr="005B5418">
                <w:rPr>
                  <w:rStyle w:val="Hyperlink"/>
                  <w:rFonts w:eastAsia="Times New Roman" w:cs="Arial"/>
                  <w:bCs/>
                  <w:u w:val="none"/>
                </w:rPr>
                <w:t xml:space="preserve">ustodial </w:t>
              </w:r>
              <w:r w:rsidRPr="005B5418">
                <w:rPr>
                  <w:rStyle w:val="Hyperlink"/>
                  <w:rFonts w:eastAsia="Times New Roman" w:cs="Arial"/>
                  <w:bCs/>
                  <w:u w:val="none"/>
                </w:rPr>
                <w:t>Non-</w:t>
              </w:r>
              <w:r w:rsidR="007146AC">
                <w:rPr>
                  <w:rStyle w:val="Hyperlink"/>
                  <w:rFonts w:eastAsia="Times New Roman" w:cs="Arial"/>
                  <w:bCs/>
                  <w:u w:val="none"/>
                </w:rPr>
                <w:t>E</w:t>
              </w:r>
              <w:r w:rsidR="007146AC" w:rsidRPr="005B5418">
                <w:rPr>
                  <w:rStyle w:val="Hyperlink"/>
                  <w:rFonts w:eastAsia="Times New Roman" w:cs="Arial"/>
                  <w:bCs/>
                  <w:u w:val="none"/>
                </w:rPr>
                <w:t xml:space="preserve">xchange </w:t>
              </w:r>
              <w:r w:rsidRPr="005B5418">
                <w:rPr>
                  <w:rStyle w:val="Hyperlink"/>
                  <w:rFonts w:eastAsia="Times New Roman" w:cs="Arial"/>
                  <w:bCs/>
                  <w:u w:val="none"/>
                </w:rPr>
                <w:t>Revenues</w:t>
              </w:r>
            </w:hyperlink>
          </w:p>
        </w:tc>
        <w:tc>
          <w:tcPr>
            <w:tcW w:w="2160" w:type="dxa"/>
            <w:vAlign w:val="center"/>
          </w:tcPr>
          <w:p w14:paraId="5873F8F0" w14:textId="77777777" w:rsidR="002A3889" w:rsidRPr="005B5418" w:rsidRDefault="002A3889" w:rsidP="003B61E9">
            <w:pPr>
              <w:spacing w:line="240" w:lineRule="auto"/>
              <w:jc w:val="center"/>
              <w:rPr>
                <w:rFonts w:cs="Arial"/>
                <w:b/>
              </w:rPr>
            </w:pPr>
          </w:p>
        </w:tc>
      </w:tr>
      <w:tr w:rsidR="00091DBE" w:rsidRPr="005B5418" w14:paraId="6E43C6BE" w14:textId="77777777" w:rsidTr="002A3889">
        <w:tc>
          <w:tcPr>
            <w:tcW w:w="6660" w:type="dxa"/>
            <w:vAlign w:val="center"/>
          </w:tcPr>
          <w:p w14:paraId="56F500AF" w14:textId="5674653F" w:rsidR="00091DBE" w:rsidRPr="005B5418" w:rsidRDefault="009A6D60">
            <w:pPr>
              <w:pStyle w:val="Table-Cell-Indent"/>
              <w:spacing w:before="40" w:after="40"/>
              <w:ind w:left="1395" w:hanging="1053"/>
            </w:pPr>
            <w:hyperlink w:anchor="__II.3.8.45_Reclassification_of" w:history="1">
              <w:r w:rsidRPr="005B5418">
                <w:rPr>
                  <w:rStyle w:val="Hyperlink"/>
                  <w:rFonts w:eastAsia="Times New Roman"/>
                  <w:u w:val="none"/>
                </w:rPr>
                <w:t>II.3.8.36 – Reclassification of Financial Statement Line Items for Financial Report Compilation Process - Significant Entities Only</w:t>
              </w:r>
            </w:hyperlink>
          </w:p>
        </w:tc>
        <w:tc>
          <w:tcPr>
            <w:tcW w:w="2160" w:type="dxa"/>
            <w:vAlign w:val="center"/>
          </w:tcPr>
          <w:p w14:paraId="10281F41" w14:textId="77777777" w:rsidR="00091DBE" w:rsidRPr="005B5418" w:rsidRDefault="00091DBE" w:rsidP="00091DBE">
            <w:pPr>
              <w:spacing w:line="240" w:lineRule="auto"/>
              <w:jc w:val="center"/>
              <w:rPr>
                <w:rFonts w:cs="Arial"/>
                <w:b/>
              </w:rPr>
            </w:pPr>
          </w:p>
        </w:tc>
      </w:tr>
      <w:tr w:rsidR="00F44199" w:rsidRPr="005B5418" w14:paraId="1A639A69" w14:textId="77777777" w:rsidTr="00017B40">
        <w:tc>
          <w:tcPr>
            <w:tcW w:w="6660" w:type="dxa"/>
            <w:vAlign w:val="center"/>
          </w:tcPr>
          <w:p w14:paraId="392C67D3" w14:textId="77777777" w:rsidR="00F11228" w:rsidRPr="005B5418" w:rsidRDefault="002679F4" w:rsidP="003B61E9">
            <w:pPr>
              <w:pStyle w:val="Table-Cell-Indent"/>
              <w:spacing w:before="40" w:after="40"/>
              <w:ind w:left="0"/>
              <w:rPr>
                <w:rFonts w:cs="Arial"/>
                <w:color w:val="0000FF"/>
              </w:rPr>
            </w:pPr>
            <w:hyperlink w:anchor="_Section_II.3.10_–" w:history="1">
              <w:r w:rsidRPr="005B5418">
                <w:rPr>
                  <w:rStyle w:val="Hyperlink"/>
                  <w:rFonts w:eastAsia="Times New Roman" w:cs="Arial"/>
                  <w:bCs/>
                  <w:u w:val="none"/>
                </w:rPr>
                <w:t>II.3.9 – Required Supplementary Information</w:t>
              </w:r>
            </w:hyperlink>
          </w:p>
        </w:tc>
        <w:tc>
          <w:tcPr>
            <w:tcW w:w="2160" w:type="dxa"/>
            <w:vAlign w:val="center"/>
          </w:tcPr>
          <w:p w14:paraId="7797ECC8" w14:textId="77777777" w:rsidR="00F11228" w:rsidRPr="005B5418" w:rsidRDefault="00F11228" w:rsidP="003B61E9">
            <w:pPr>
              <w:spacing w:line="240" w:lineRule="auto"/>
              <w:jc w:val="center"/>
              <w:rPr>
                <w:rFonts w:cs="Arial"/>
                <w:b/>
              </w:rPr>
            </w:pPr>
          </w:p>
        </w:tc>
      </w:tr>
      <w:tr w:rsidR="002630B3" w:rsidRPr="005B5418" w14:paraId="1C87991F" w14:textId="77777777" w:rsidTr="00017B40">
        <w:tc>
          <w:tcPr>
            <w:tcW w:w="6660" w:type="dxa"/>
            <w:vAlign w:val="center"/>
          </w:tcPr>
          <w:p w14:paraId="6CB6421B" w14:textId="28A02D5A" w:rsidR="002630B3" w:rsidRPr="005B5418" w:rsidRDefault="002630B3" w:rsidP="002630B3">
            <w:pPr>
              <w:pStyle w:val="Table-Cell-Indent"/>
              <w:spacing w:before="40" w:after="40"/>
              <w:ind w:left="314"/>
            </w:pPr>
            <w:hyperlink w:anchor="_II.3.9.1_Management’s_Discussion" w:history="1">
              <w:r w:rsidRPr="005B5418">
                <w:rPr>
                  <w:rStyle w:val="Hyperlink"/>
                  <w:rFonts w:eastAsia="Times New Roman" w:cs="Arial"/>
                  <w:bCs/>
                  <w:u w:val="none"/>
                </w:rPr>
                <w:t>II.3.9.1 – Management's Discussion and Analysis</w:t>
              </w:r>
            </w:hyperlink>
          </w:p>
        </w:tc>
        <w:tc>
          <w:tcPr>
            <w:tcW w:w="2160" w:type="dxa"/>
            <w:vAlign w:val="center"/>
          </w:tcPr>
          <w:p w14:paraId="2712EFD5" w14:textId="77777777" w:rsidR="002630B3" w:rsidRPr="005B5418" w:rsidRDefault="002630B3" w:rsidP="002630B3">
            <w:pPr>
              <w:spacing w:line="240" w:lineRule="auto"/>
              <w:jc w:val="center"/>
              <w:rPr>
                <w:rFonts w:cs="Arial"/>
                <w:b/>
              </w:rPr>
            </w:pPr>
          </w:p>
        </w:tc>
      </w:tr>
      <w:tr w:rsidR="002630B3" w:rsidRPr="005B5418" w14:paraId="6C3FC31C" w14:textId="77777777" w:rsidTr="00017B40">
        <w:tc>
          <w:tcPr>
            <w:tcW w:w="6660" w:type="dxa"/>
            <w:vAlign w:val="center"/>
          </w:tcPr>
          <w:p w14:paraId="317B35FF" w14:textId="5D70628E" w:rsidR="002630B3" w:rsidRPr="005B5418" w:rsidRDefault="002630B3" w:rsidP="002630B3">
            <w:pPr>
              <w:pStyle w:val="Table-Cell-Indent"/>
              <w:spacing w:before="40" w:after="40"/>
              <w:ind w:left="404" w:hanging="90"/>
            </w:pPr>
            <w:hyperlink w:anchor="_II.3.9.2_Federal_Oil" w:history="1">
              <w:r w:rsidRPr="005B5418">
                <w:rPr>
                  <w:rStyle w:val="Hyperlink"/>
                  <w:rFonts w:eastAsia="Times New Roman" w:cs="Arial"/>
                  <w:bCs/>
                  <w:u w:val="none"/>
                </w:rPr>
                <w:t>II.3.9.2 – Federal Oil and Gas Resources</w:t>
              </w:r>
            </w:hyperlink>
          </w:p>
        </w:tc>
        <w:tc>
          <w:tcPr>
            <w:tcW w:w="2160" w:type="dxa"/>
            <w:vAlign w:val="center"/>
          </w:tcPr>
          <w:p w14:paraId="5ED353B9" w14:textId="77777777" w:rsidR="002630B3" w:rsidRPr="005B5418" w:rsidRDefault="002630B3" w:rsidP="002630B3">
            <w:pPr>
              <w:spacing w:line="240" w:lineRule="auto"/>
              <w:jc w:val="center"/>
              <w:rPr>
                <w:rFonts w:cs="Arial"/>
                <w:b/>
              </w:rPr>
            </w:pPr>
          </w:p>
        </w:tc>
      </w:tr>
      <w:tr w:rsidR="002630B3" w:rsidRPr="005B5418" w14:paraId="6DB79CE5" w14:textId="77777777" w:rsidTr="00017B40">
        <w:tc>
          <w:tcPr>
            <w:tcW w:w="6660" w:type="dxa"/>
            <w:vAlign w:val="center"/>
          </w:tcPr>
          <w:p w14:paraId="7C89BC68" w14:textId="0CADBAA3" w:rsidR="002630B3" w:rsidRPr="005B5418" w:rsidRDefault="002630B3" w:rsidP="002630B3">
            <w:pPr>
              <w:pStyle w:val="Table-Cell-Indent"/>
              <w:spacing w:before="40" w:after="40"/>
              <w:ind w:left="314"/>
            </w:pPr>
            <w:hyperlink w:anchor="_II.3.9.3_Other_Federal" w:history="1">
              <w:r w:rsidRPr="005B5418">
                <w:rPr>
                  <w:rStyle w:val="Hyperlink"/>
                  <w:rFonts w:eastAsia="Times New Roman" w:cs="Arial"/>
                  <w:bCs/>
                  <w:u w:val="none"/>
                </w:rPr>
                <w:t>II.3.9.3 – Other Federal Natural Resources</w:t>
              </w:r>
            </w:hyperlink>
          </w:p>
        </w:tc>
        <w:tc>
          <w:tcPr>
            <w:tcW w:w="2160" w:type="dxa"/>
            <w:vAlign w:val="center"/>
          </w:tcPr>
          <w:p w14:paraId="4B0DDBD7" w14:textId="77777777" w:rsidR="002630B3" w:rsidRPr="005B5418" w:rsidRDefault="002630B3" w:rsidP="002630B3">
            <w:pPr>
              <w:spacing w:line="240" w:lineRule="auto"/>
              <w:jc w:val="center"/>
              <w:rPr>
                <w:rFonts w:cs="Arial"/>
                <w:b/>
              </w:rPr>
            </w:pPr>
          </w:p>
        </w:tc>
      </w:tr>
      <w:tr w:rsidR="002630B3" w:rsidRPr="005B5418" w14:paraId="0E09C523" w14:textId="77777777" w:rsidTr="00017B40">
        <w:tc>
          <w:tcPr>
            <w:tcW w:w="6660" w:type="dxa"/>
            <w:vAlign w:val="center"/>
          </w:tcPr>
          <w:p w14:paraId="629C037F" w14:textId="51DA475E" w:rsidR="002630B3" w:rsidRPr="005B5418" w:rsidRDefault="002630B3" w:rsidP="002630B3">
            <w:pPr>
              <w:pStyle w:val="Table-Cell-Indent"/>
              <w:spacing w:before="40" w:after="40"/>
              <w:ind w:left="224" w:firstLine="90"/>
            </w:pPr>
            <w:hyperlink w:anchor="_II.3.9.4_Deferred_Maintenance" w:history="1">
              <w:r w:rsidRPr="005B5418">
                <w:rPr>
                  <w:rStyle w:val="Hyperlink"/>
                  <w:rFonts w:eastAsia="Times New Roman" w:cs="Arial"/>
                  <w:bCs/>
                  <w:u w:val="none"/>
                </w:rPr>
                <w:t>II.3.9.4 – Deferred Maintenance and Repairs</w:t>
              </w:r>
            </w:hyperlink>
          </w:p>
        </w:tc>
        <w:tc>
          <w:tcPr>
            <w:tcW w:w="2160" w:type="dxa"/>
            <w:vAlign w:val="center"/>
          </w:tcPr>
          <w:p w14:paraId="163F1B5F" w14:textId="77777777" w:rsidR="002630B3" w:rsidRPr="005B5418" w:rsidRDefault="002630B3" w:rsidP="002630B3">
            <w:pPr>
              <w:spacing w:line="240" w:lineRule="auto"/>
              <w:jc w:val="center"/>
              <w:rPr>
                <w:rFonts w:cs="Arial"/>
                <w:b/>
              </w:rPr>
            </w:pPr>
          </w:p>
        </w:tc>
      </w:tr>
      <w:tr w:rsidR="002630B3" w:rsidRPr="005B5418" w14:paraId="42B5D24E" w14:textId="77777777" w:rsidTr="00017B40">
        <w:tc>
          <w:tcPr>
            <w:tcW w:w="6660" w:type="dxa"/>
            <w:vAlign w:val="center"/>
          </w:tcPr>
          <w:p w14:paraId="5E5F579D" w14:textId="09E6281E" w:rsidR="002630B3" w:rsidRPr="005B5418" w:rsidRDefault="002630B3" w:rsidP="002630B3">
            <w:pPr>
              <w:pStyle w:val="Table-Cell-Indent"/>
              <w:spacing w:before="40" w:after="40"/>
              <w:ind w:left="0" w:firstLine="314"/>
            </w:pPr>
            <w:hyperlink w:anchor="_II.3.9.5_Social_Insurance" w:history="1">
              <w:r w:rsidRPr="005B5418">
                <w:rPr>
                  <w:rStyle w:val="Hyperlink"/>
                  <w:rFonts w:eastAsia="Times New Roman" w:cs="Arial"/>
                  <w:bCs/>
                  <w:u w:val="none"/>
                </w:rPr>
                <w:t>II.3.9.5 – Social Insurance</w:t>
              </w:r>
            </w:hyperlink>
          </w:p>
        </w:tc>
        <w:tc>
          <w:tcPr>
            <w:tcW w:w="2160" w:type="dxa"/>
            <w:vAlign w:val="center"/>
          </w:tcPr>
          <w:p w14:paraId="0AB0FBBA" w14:textId="77777777" w:rsidR="002630B3" w:rsidRPr="005B5418" w:rsidRDefault="002630B3" w:rsidP="002630B3">
            <w:pPr>
              <w:spacing w:line="240" w:lineRule="auto"/>
              <w:jc w:val="center"/>
              <w:rPr>
                <w:rFonts w:cs="Arial"/>
                <w:b/>
              </w:rPr>
            </w:pPr>
          </w:p>
        </w:tc>
      </w:tr>
      <w:tr w:rsidR="002630B3" w:rsidRPr="005B5418" w14:paraId="5A2E6D64" w14:textId="77777777" w:rsidTr="00017B40">
        <w:tc>
          <w:tcPr>
            <w:tcW w:w="6660" w:type="dxa"/>
            <w:vAlign w:val="center"/>
          </w:tcPr>
          <w:p w14:paraId="3F755F60" w14:textId="4F85AEE4" w:rsidR="002630B3" w:rsidRPr="005B5418" w:rsidRDefault="002630B3" w:rsidP="002630B3">
            <w:pPr>
              <w:pStyle w:val="Table-Cell-Indent"/>
              <w:spacing w:before="40" w:after="40"/>
              <w:ind w:left="314"/>
            </w:pPr>
            <w:hyperlink w:anchor="_II.3.9.6_Combining_Statement" w:history="1">
              <w:r w:rsidRPr="005B5418">
                <w:rPr>
                  <w:rStyle w:val="Hyperlink"/>
                  <w:rFonts w:eastAsia="Times New Roman" w:cs="Arial"/>
                  <w:bCs/>
                  <w:u w:val="none"/>
                </w:rPr>
                <w:t>II.3.9.6 – Combining Statement of Budgetary Resources</w:t>
              </w:r>
            </w:hyperlink>
          </w:p>
        </w:tc>
        <w:tc>
          <w:tcPr>
            <w:tcW w:w="2160" w:type="dxa"/>
            <w:vAlign w:val="center"/>
          </w:tcPr>
          <w:p w14:paraId="14D8BF45" w14:textId="77777777" w:rsidR="002630B3" w:rsidRPr="005B5418" w:rsidRDefault="002630B3" w:rsidP="002630B3">
            <w:pPr>
              <w:spacing w:line="240" w:lineRule="auto"/>
              <w:jc w:val="center"/>
              <w:rPr>
                <w:rFonts w:cs="Arial"/>
                <w:b/>
              </w:rPr>
            </w:pPr>
          </w:p>
        </w:tc>
      </w:tr>
      <w:tr w:rsidR="002630B3" w:rsidRPr="005B5418" w14:paraId="60CB216B" w14:textId="77777777" w:rsidTr="00017B40">
        <w:tc>
          <w:tcPr>
            <w:tcW w:w="6660" w:type="dxa"/>
            <w:vAlign w:val="center"/>
          </w:tcPr>
          <w:p w14:paraId="716ECE2B" w14:textId="053FEE58" w:rsidR="002630B3" w:rsidRPr="005B5418" w:rsidRDefault="002630B3" w:rsidP="002630B3">
            <w:pPr>
              <w:pStyle w:val="Table-Cell-Indent"/>
              <w:spacing w:before="40" w:after="40"/>
              <w:ind w:left="0" w:firstLine="314"/>
            </w:pPr>
            <w:hyperlink w:anchor="_II.3.9.7_Custodial_Activity" w:history="1">
              <w:r w:rsidRPr="005B5418">
                <w:rPr>
                  <w:rStyle w:val="Hyperlink"/>
                  <w:rFonts w:eastAsia="Times New Roman" w:cs="Arial"/>
                  <w:bCs/>
                  <w:u w:val="none"/>
                </w:rPr>
                <w:t xml:space="preserve">II.3.9.7 – Custodial Activity </w:t>
              </w:r>
            </w:hyperlink>
          </w:p>
        </w:tc>
        <w:tc>
          <w:tcPr>
            <w:tcW w:w="2160" w:type="dxa"/>
            <w:vAlign w:val="center"/>
          </w:tcPr>
          <w:p w14:paraId="42E831CB" w14:textId="77777777" w:rsidR="002630B3" w:rsidRPr="005B5418" w:rsidRDefault="002630B3" w:rsidP="002630B3">
            <w:pPr>
              <w:spacing w:line="240" w:lineRule="auto"/>
              <w:jc w:val="center"/>
              <w:rPr>
                <w:rFonts w:cs="Arial"/>
                <w:b/>
              </w:rPr>
            </w:pPr>
          </w:p>
        </w:tc>
      </w:tr>
      <w:tr w:rsidR="00E20103" w:rsidRPr="005B5418" w14:paraId="0E69CDAD" w14:textId="77777777" w:rsidTr="00017B40">
        <w:tc>
          <w:tcPr>
            <w:tcW w:w="6660" w:type="dxa"/>
            <w:vAlign w:val="center"/>
          </w:tcPr>
          <w:p w14:paraId="72E33709" w14:textId="08C5F214" w:rsidR="00E20103" w:rsidRPr="005B5418" w:rsidRDefault="00E20103" w:rsidP="002630B3">
            <w:pPr>
              <w:pStyle w:val="Table-Cell-Indent"/>
              <w:spacing w:before="40" w:after="40"/>
              <w:ind w:left="0" w:firstLine="314"/>
            </w:pPr>
            <w:hyperlink w:anchor="_II.3.9.8_Land_(RSI" w:history="1">
              <w:r w:rsidRPr="005B5418">
                <w:rPr>
                  <w:rStyle w:val="Hyperlink"/>
                  <w:rFonts w:eastAsia="Times New Roman"/>
                  <w:u w:val="none"/>
                </w:rPr>
                <w:t>II.3.9.8 – Land</w:t>
              </w:r>
            </w:hyperlink>
            <w:r w:rsidRPr="005B5418">
              <w:t xml:space="preserve"> </w:t>
            </w:r>
          </w:p>
        </w:tc>
        <w:tc>
          <w:tcPr>
            <w:tcW w:w="2160" w:type="dxa"/>
            <w:vAlign w:val="center"/>
          </w:tcPr>
          <w:p w14:paraId="11C35A3F" w14:textId="77777777" w:rsidR="00E20103" w:rsidRPr="005B5418" w:rsidRDefault="00E20103" w:rsidP="002630B3">
            <w:pPr>
              <w:spacing w:line="240" w:lineRule="auto"/>
              <w:jc w:val="center"/>
              <w:rPr>
                <w:rFonts w:cs="Arial"/>
                <w:b/>
              </w:rPr>
            </w:pPr>
          </w:p>
        </w:tc>
      </w:tr>
      <w:tr w:rsidR="00F44199" w:rsidRPr="005B5418" w14:paraId="7111E040" w14:textId="77777777" w:rsidTr="00017B40">
        <w:tc>
          <w:tcPr>
            <w:tcW w:w="6660" w:type="dxa"/>
            <w:vAlign w:val="center"/>
          </w:tcPr>
          <w:p w14:paraId="7A277B64" w14:textId="77777777" w:rsidR="00F11228" w:rsidRPr="005B5418" w:rsidRDefault="00034A2C" w:rsidP="003B61E9">
            <w:pPr>
              <w:pStyle w:val="Table-Cell-Indent"/>
              <w:spacing w:before="40" w:after="40"/>
              <w:ind w:left="0"/>
              <w:rPr>
                <w:rFonts w:cs="Arial"/>
              </w:rPr>
            </w:pPr>
            <w:hyperlink w:anchor="_Section_II.4_–" w:history="1">
              <w:r w:rsidRPr="005B5418">
                <w:rPr>
                  <w:rStyle w:val="Hyperlink"/>
                  <w:rFonts w:eastAsia="Times New Roman" w:cs="Arial"/>
                  <w:bCs/>
                  <w:u w:val="none"/>
                </w:rPr>
                <w:t>II.4</w:t>
              </w:r>
              <w:r w:rsidR="00F11228" w:rsidRPr="005B5418">
                <w:rPr>
                  <w:rStyle w:val="Hyperlink"/>
                  <w:rFonts w:eastAsia="Times New Roman" w:cs="Arial"/>
                  <w:bCs/>
                  <w:u w:val="none"/>
                </w:rPr>
                <w:t xml:space="preserve"> – Other Information</w:t>
              </w:r>
            </w:hyperlink>
          </w:p>
        </w:tc>
        <w:tc>
          <w:tcPr>
            <w:tcW w:w="2160" w:type="dxa"/>
            <w:vAlign w:val="center"/>
          </w:tcPr>
          <w:p w14:paraId="57B5B5F2" w14:textId="77777777" w:rsidR="00F11228" w:rsidRPr="005B5418" w:rsidRDefault="00F11228" w:rsidP="003B61E9">
            <w:pPr>
              <w:spacing w:line="240" w:lineRule="auto"/>
              <w:jc w:val="center"/>
              <w:rPr>
                <w:rFonts w:cs="Arial"/>
                <w:b/>
              </w:rPr>
            </w:pPr>
          </w:p>
        </w:tc>
      </w:tr>
      <w:tr w:rsidR="00DC3848" w:rsidRPr="005B5418" w14:paraId="3E190DC3" w14:textId="77777777" w:rsidTr="00017B40">
        <w:tc>
          <w:tcPr>
            <w:tcW w:w="6660" w:type="dxa"/>
            <w:vAlign w:val="center"/>
          </w:tcPr>
          <w:p w14:paraId="6F4F90ED" w14:textId="5BD7B05B" w:rsidR="00DC3848" w:rsidRPr="005B5418" w:rsidRDefault="009307B7" w:rsidP="00A51FC9">
            <w:pPr>
              <w:pStyle w:val="Table-Cell-Indent"/>
              <w:spacing w:before="40" w:after="40"/>
              <w:ind w:left="1034" w:hanging="766"/>
            </w:pPr>
            <w:hyperlink w:anchor="_II.4.1_Revenue_Foregone" w:history="1">
              <w:r w:rsidRPr="005B5418">
                <w:rPr>
                  <w:rStyle w:val="Hyperlink"/>
                  <w:rFonts w:eastAsia="Times New Roman" w:cs="Arial"/>
                  <w:bCs/>
                  <w:u w:val="none"/>
                </w:rPr>
                <w:t xml:space="preserve"> II.4.1 – Summary of Financial Statement Audit and Management Assurances</w:t>
              </w:r>
            </w:hyperlink>
          </w:p>
        </w:tc>
        <w:tc>
          <w:tcPr>
            <w:tcW w:w="2160" w:type="dxa"/>
            <w:vAlign w:val="center"/>
          </w:tcPr>
          <w:p w14:paraId="5A77B9A0" w14:textId="77777777" w:rsidR="00DC3848" w:rsidRPr="005B5418" w:rsidRDefault="00DC3848" w:rsidP="00DC3848">
            <w:pPr>
              <w:spacing w:line="240" w:lineRule="auto"/>
              <w:jc w:val="center"/>
              <w:rPr>
                <w:rFonts w:cs="Arial"/>
                <w:b/>
              </w:rPr>
            </w:pPr>
          </w:p>
        </w:tc>
      </w:tr>
      <w:tr w:rsidR="00DC3848" w:rsidRPr="005B5418" w14:paraId="5ECBF040" w14:textId="77777777" w:rsidTr="00017B40">
        <w:tc>
          <w:tcPr>
            <w:tcW w:w="6660" w:type="dxa"/>
            <w:vAlign w:val="center"/>
          </w:tcPr>
          <w:p w14:paraId="45D6F841" w14:textId="1DB55CBD" w:rsidR="00DC3848" w:rsidRPr="005B5418" w:rsidRDefault="009307B7" w:rsidP="00C00928">
            <w:pPr>
              <w:pStyle w:val="Table-Cell-Indent"/>
              <w:spacing w:before="40" w:after="40"/>
              <w:ind w:left="0" w:firstLine="314"/>
            </w:pPr>
            <w:hyperlink w:anchor="_II.4.2_Tax_Burden/Tax" w:history="1">
              <w:r w:rsidRPr="005B5418">
                <w:rPr>
                  <w:rStyle w:val="Hyperlink"/>
                  <w:rFonts w:eastAsia="Times New Roman" w:cs="Arial"/>
                  <w:bCs/>
                  <w:u w:val="none"/>
                </w:rPr>
                <w:t xml:space="preserve">II.4.2 – Revenue Forgone </w:t>
              </w:r>
            </w:hyperlink>
          </w:p>
        </w:tc>
        <w:tc>
          <w:tcPr>
            <w:tcW w:w="2160" w:type="dxa"/>
            <w:vAlign w:val="center"/>
          </w:tcPr>
          <w:p w14:paraId="62FEA9FB" w14:textId="77777777" w:rsidR="00DC3848" w:rsidRPr="005B5418" w:rsidRDefault="00DC3848" w:rsidP="00DC3848">
            <w:pPr>
              <w:spacing w:line="240" w:lineRule="auto"/>
              <w:jc w:val="center"/>
              <w:rPr>
                <w:rFonts w:cs="Arial"/>
                <w:b/>
              </w:rPr>
            </w:pPr>
          </w:p>
        </w:tc>
      </w:tr>
      <w:tr w:rsidR="00DC3848" w:rsidRPr="005B5418" w14:paraId="02695616" w14:textId="77777777" w:rsidTr="00017B40">
        <w:tc>
          <w:tcPr>
            <w:tcW w:w="6660" w:type="dxa"/>
            <w:vAlign w:val="center"/>
          </w:tcPr>
          <w:p w14:paraId="1606EDDD" w14:textId="39231247" w:rsidR="00DC3848" w:rsidRPr="005B5418" w:rsidRDefault="009307B7" w:rsidP="00C00928">
            <w:pPr>
              <w:pStyle w:val="Table-Cell-Indent"/>
              <w:spacing w:before="40" w:after="40"/>
              <w:ind w:left="0" w:firstLine="314"/>
            </w:pPr>
            <w:hyperlink w:anchor="_II.4.3_Management_and" w:history="1">
              <w:r w:rsidRPr="005B5418">
                <w:rPr>
                  <w:rStyle w:val="Hyperlink"/>
                  <w:rFonts w:eastAsia="Times New Roman" w:cs="Arial"/>
                  <w:bCs/>
                  <w:u w:val="none"/>
                </w:rPr>
                <w:t>II.4.3 – Tax Burden, Tax Gap, and Tax Expenditures</w:t>
              </w:r>
            </w:hyperlink>
          </w:p>
        </w:tc>
        <w:tc>
          <w:tcPr>
            <w:tcW w:w="2160" w:type="dxa"/>
            <w:vAlign w:val="center"/>
          </w:tcPr>
          <w:p w14:paraId="22DFE538" w14:textId="77777777" w:rsidR="00DC3848" w:rsidRPr="005B5418" w:rsidRDefault="00DC3848" w:rsidP="00DC3848">
            <w:pPr>
              <w:spacing w:line="240" w:lineRule="auto"/>
              <w:jc w:val="center"/>
              <w:rPr>
                <w:rFonts w:cs="Arial"/>
                <w:b/>
              </w:rPr>
            </w:pPr>
          </w:p>
        </w:tc>
      </w:tr>
      <w:tr w:rsidR="00DC3848" w:rsidRPr="005B5418" w14:paraId="714909D8" w14:textId="77777777" w:rsidTr="00017B40">
        <w:tc>
          <w:tcPr>
            <w:tcW w:w="6660" w:type="dxa"/>
            <w:vAlign w:val="center"/>
          </w:tcPr>
          <w:p w14:paraId="7281CA60" w14:textId="433E7FF6" w:rsidR="00DC3848" w:rsidRPr="005B5418" w:rsidRDefault="009307B7" w:rsidP="00C00928">
            <w:pPr>
              <w:pStyle w:val="Table-Cell-Indent"/>
              <w:spacing w:before="40" w:after="40"/>
              <w:ind w:left="1034" w:hanging="720"/>
            </w:pPr>
            <w:hyperlink w:anchor="_II.4.4_Summary_of" w:history="1">
              <w:r w:rsidRPr="005B5418">
                <w:rPr>
                  <w:rStyle w:val="Hyperlink"/>
                  <w:rFonts w:eastAsia="Times New Roman" w:cs="Arial"/>
                  <w:bCs/>
                  <w:u w:val="none"/>
                </w:rPr>
                <w:t xml:space="preserve">II.4.4 – Management and Performance Challenges </w:t>
              </w:r>
            </w:hyperlink>
          </w:p>
        </w:tc>
        <w:tc>
          <w:tcPr>
            <w:tcW w:w="2160" w:type="dxa"/>
            <w:vAlign w:val="center"/>
          </w:tcPr>
          <w:p w14:paraId="783DADFF" w14:textId="77777777" w:rsidR="00DC3848" w:rsidRPr="005B5418" w:rsidRDefault="00DC3848" w:rsidP="00DC3848">
            <w:pPr>
              <w:spacing w:line="240" w:lineRule="auto"/>
              <w:jc w:val="center"/>
              <w:rPr>
                <w:rFonts w:cs="Arial"/>
                <w:b/>
              </w:rPr>
            </w:pPr>
          </w:p>
        </w:tc>
      </w:tr>
      <w:tr w:rsidR="00DC3848" w:rsidRPr="005B5418" w14:paraId="2C6D3F6B" w14:textId="77777777" w:rsidTr="00017B40">
        <w:tc>
          <w:tcPr>
            <w:tcW w:w="6660" w:type="dxa"/>
            <w:vAlign w:val="center"/>
          </w:tcPr>
          <w:p w14:paraId="3C62E0A9" w14:textId="49EA4F68" w:rsidR="00DC3848" w:rsidRPr="005B5418" w:rsidRDefault="00DC3848" w:rsidP="00C00928">
            <w:pPr>
              <w:pStyle w:val="Table-Cell-Indent"/>
              <w:spacing w:before="40" w:after="40"/>
              <w:ind w:left="0" w:firstLine="314"/>
            </w:pPr>
            <w:hyperlink w:anchor="_II.4.5_Payment_Integrity" w:history="1">
              <w:r w:rsidRPr="005B5418">
                <w:rPr>
                  <w:rStyle w:val="Hyperlink"/>
                  <w:rFonts w:eastAsia="Times New Roman" w:cs="Arial"/>
                  <w:bCs/>
                  <w:u w:val="none"/>
                </w:rPr>
                <w:t>II.4.5 – Payment Integrity Information Act Reporting</w:t>
              </w:r>
            </w:hyperlink>
          </w:p>
        </w:tc>
        <w:tc>
          <w:tcPr>
            <w:tcW w:w="2160" w:type="dxa"/>
            <w:vAlign w:val="center"/>
          </w:tcPr>
          <w:p w14:paraId="3851927B" w14:textId="77777777" w:rsidR="00DC3848" w:rsidRPr="005B5418" w:rsidRDefault="00DC3848" w:rsidP="00DC3848">
            <w:pPr>
              <w:spacing w:line="240" w:lineRule="auto"/>
              <w:jc w:val="center"/>
              <w:rPr>
                <w:rFonts w:cs="Arial"/>
                <w:b/>
              </w:rPr>
            </w:pPr>
          </w:p>
        </w:tc>
      </w:tr>
      <w:tr w:rsidR="00DC3848" w:rsidRPr="005B5418" w14:paraId="1A5D2E13" w14:textId="77777777" w:rsidTr="00017B40">
        <w:tc>
          <w:tcPr>
            <w:tcW w:w="6660" w:type="dxa"/>
            <w:vAlign w:val="center"/>
          </w:tcPr>
          <w:p w14:paraId="05C19D8E" w14:textId="6EFC7A3A" w:rsidR="00DC3848" w:rsidRPr="005B5418" w:rsidRDefault="00DC3848" w:rsidP="00C00928">
            <w:pPr>
              <w:pStyle w:val="Table-Cell-Indent"/>
              <w:spacing w:before="40" w:after="40"/>
              <w:ind w:left="0" w:firstLine="314"/>
            </w:pPr>
            <w:hyperlink w:anchor="_II.4.6_Other_Agency-Specific" w:history="1">
              <w:r w:rsidRPr="005B5418">
                <w:rPr>
                  <w:rStyle w:val="Hyperlink"/>
                  <w:rFonts w:eastAsia="Times New Roman" w:cs="Arial"/>
                  <w:bCs/>
                  <w:u w:val="none"/>
                </w:rPr>
                <w:t>II.4.6 – Other Agency-Specific Statutorily Required Reports</w:t>
              </w:r>
            </w:hyperlink>
          </w:p>
        </w:tc>
        <w:tc>
          <w:tcPr>
            <w:tcW w:w="2160" w:type="dxa"/>
            <w:vAlign w:val="center"/>
          </w:tcPr>
          <w:p w14:paraId="6FC6028F" w14:textId="77777777" w:rsidR="00DC3848" w:rsidRPr="005B5418" w:rsidRDefault="00DC3848" w:rsidP="00DC3848">
            <w:pPr>
              <w:spacing w:line="240" w:lineRule="auto"/>
              <w:jc w:val="center"/>
              <w:rPr>
                <w:rFonts w:cs="Arial"/>
                <w:b/>
              </w:rPr>
            </w:pPr>
          </w:p>
        </w:tc>
      </w:tr>
      <w:tr w:rsidR="00DC3848" w:rsidRPr="005B5418" w14:paraId="50E1FC01" w14:textId="77777777" w:rsidTr="00017B40">
        <w:tc>
          <w:tcPr>
            <w:tcW w:w="6660" w:type="dxa"/>
            <w:vAlign w:val="center"/>
          </w:tcPr>
          <w:p w14:paraId="4AC657AF" w14:textId="6953DF70" w:rsidR="00DC3848" w:rsidRPr="005B5418" w:rsidRDefault="00DC3848" w:rsidP="00C00928">
            <w:pPr>
              <w:pStyle w:val="Table-Cell-Indent"/>
              <w:spacing w:before="40" w:after="40"/>
              <w:ind w:left="0" w:firstLine="314"/>
            </w:pPr>
            <w:hyperlink w:anchor="_II.4.7_Civil_Monetary" w:history="1">
              <w:r w:rsidRPr="005B5418">
                <w:rPr>
                  <w:rStyle w:val="Hyperlink"/>
                  <w:rFonts w:eastAsia="Times New Roman" w:cs="Arial"/>
                  <w:bCs/>
                  <w:u w:val="none"/>
                </w:rPr>
                <w:t>II.4.7 – Civil Monetary Penalties Adjustment for Inflation</w:t>
              </w:r>
            </w:hyperlink>
          </w:p>
        </w:tc>
        <w:tc>
          <w:tcPr>
            <w:tcW w:w="2160" w:type="dxa"/>
            <w:vAlign w:val="center"/>
          </w:tcPr>
          <w:p w14:paraId="361EA663" w14:textId="77777777" w:rsidR="00DC3848" w:rsidRPr="005B5418" w:rsidRDefault="00DC3848" w:rsidP="00DC3848">
            <w:pPr>
              <w:spacing w:line="240" w:lineRule="auto"/>
              <w:jc w:val="center"/>
              <w:rPr>
                <w:rFonts w:cs="Arial"/>
                <w:b/>
              </w:rPr>
            </w:pPr>
          </w:p>
        </w:tc>
      </w:tr>
      <w:tr w:rsidR="00DC3848" w:rsidRPr="005B5418" w14:paraId="5E269DEA" w14:textId="77777777" w:rsidTr="00017B40">
        <w:tc>
          <w:tcPr>
            <w:tcW w:w="6660" w:type="dxa"/>
            <w:vAlign w:val="center"/>
          </w:tcPr>
          <w:p w14:paraId="49749B8B" w14:textId="6E61BA20" w:rsidR="00DC3848" w:rsidRPr="005B5418" w:rsidRDefault="00DC3848" w:rsidP="00C00928">
            <w:pPr>
              <w:pStyle w:val="Table-Cell-Indent"/>
              <w:spacing w:before="40" w:after="40"/>
              <w:ind w:left="0" w:firstLine="314"/>
            </w:pPr>
            <w:hyperlink w:anchor="_II.4.8_Biennial_Review" w:history="1">
              <w:r w:rsidRPr="005B5418">
                <w:rPr>
                  <w:rStyle w:val="Hyperlink"/>
                  <w:rFonts w:eastAsia="Times New Roman" w:cs="Arial"/>
                  <w:bCs/>
                  <w:u w:val="none"/>
                </w:rPr>
                <w:t>II.4.8 – Biennial Review of User Fees</w:t>
              </w:r>
            </w:hyperlink>
          </w:p>
        </w:tc>
        <w:tc>
          <w:tcPr>
            <w:tcW w:w="2160" w:type="dxa"/>
            <w:vAlign w:val="center"/>
          </w:tcPr>
          <w:p w14:paraId="197FFD56" w14:textId="77777777" w:rsidR="00DC3848" w:rsidRPr="005B5418" w:rsidRDefault="00DC3848" w:rsidP="00DC3848">
            <w:pPr>
              <w:spacing w:line="240" w:lineRule="auto"/>
              <w:jc w:val="center"/>
              <w:rPr>
                <w:rFonts w:cs="Arial"/>
                <w:b/>
              </w:rPr>
            </w:pPr>
          </w:p>
        </w:tc>
      </w:tr>
      <w:tr w:rsidR="00DC3848" w:rsidRPr="005B5418" w14:paraId="5F31A50E" w14:textId="77777777" w:rsidTr="00017B40">
        <w:tc>
          <w:tcPr>
            <w:tcW w:w="6660" w:type="dxa"/>
            <w:vAlign w:val="center"/>
          </w:tcPr>
          <w:p w14:paraId="29126674" w14:textId="7334A9CC" w:rsidR="00DC3848" w:rsidRPr="005B5418" w:rsidRDefault="00DC3848" w:rsidP="00C00928">
            <w:pPr>
              <w:pStyle w:val="Table-Cell-Indent"/>
              <w:spacing w:before="40" w:after="40"/>
              <w:ind w:left="0" w:firstLine="314"/>
            </w:pPr>
            <w:hyperlink w:anchor="_II.4.9_Grants_Programs" w:history="1">
              <w:r w:rsidRPr="005B5418">
                <w:rPr>
                  <w:rStyle w:val="Hyperlink"/>
                  <w:rFonts w:eastAsia="Times New Roman" w:cs="Arial"/>
                  <w:bCs/>
                  <w:u w:val="none"/>
                </w:rPr>
                <w:t>II.4.9 – Grants Programs</w:t>
              </w:r>
            </w:hyperlink>
          </w:p>
        </w:tc>
        <w:tc>
          <w:tcPr>
            <w:tcW w:w="2160" w:type="dxa"/>
            <w:vAlign w:val="center"/>
          </w:tcPr>
          <w:p w14:paraId="41F14004" w14:textId="77777777" w:rsidR="00DC3848" w:rsidRPr="005B5418" w:rsidRDefault="00DC3848" w:rsidP="00DC3848">
            <w:pPr>
              <w:spacing w:line="240" w:lineRule="auto"/>
              <w:jc w:val="center"/>
              <w:rPr>
                <w:rFonts w:cs="Arial"/>
                <w:b/>
              </w:rPr>
            </w:pPr>
          </w:p>
        </w:tc>
      </w:tr>
      <w:tr w:rsidR="004B3717" w:rsidRPr="005B5418" w14:paraId="31D5F7E9" w14:textId="77777777" w:rsidTr="00017B40">
        <w:tc>
          <w:tcPr>
            <w:tcW w:w="6660" w:type="dxa"/>
            <w:vAlign w:val="center"/>
          </w:tcPr>
          <w:p w14:paraId="767B87F0" w14:textId="6B1DECA8" w:rsidR="004B3717" w:rsidRPr="005B5418" w:rsidRDefault="00285BEC">
            <w:pPr>
              <w:pStyle w:val="Table-Cell-Indent"/>
              <w:spacing w:before="40" w:after="40"/>
              <w:ind w:left="0" w:firstLine="314"/>
            </w:pPr>
            <w:hyperlink w:anchor="_II.4.11_Agency_Audit" w:history="1">
              <w:r w:rsidRPr="005B5418">
                <w:rPr>
                  <w:rStyle w:val="Hyperlink"/>
                  <w:rFonts w:eastAsia="Times New Roman"/>
                  <w:u w:val="none"/>
                </w:rPr>
                <w:t>II.4.10 – Agency Audit Resolution Reports</w:t>
              </w:r>
            </w:hyperlink>
          </w:p>
        </w:tc>
        <w:tc>
          <w:tcPr>
            <w:tcW w:w="2160" w:type="dxa"/>
            <w:vAlign w:val="center"/>
          </w:tcPr>
          <w:p w14:paraId="7C1AF92C" w14:textId="77777777" w:rsidR="004B3717" w:rsidRPr="005B5418" w:rsidRDefault="004B3717" w:rsidP="00DC3848">
            <w:pPr>
              <w:spacing w:line="240" w:lineRule="auto"/>
              <w:jc w:val="center"/>
              <w:rPr>
                <w:rFonts w:cs="Arial"/>
                <w:b/>
              </w:rPr>
            </w:pPr>
          </w:p>
        </w:tc>
      </w:tr>
      <w:tr w:rsidR="00FC7B71" w:rsidRPr="005B5418" w14:paraId="456BD389" w14:textId="77777777" w:rsidTr="00017B40">
        <w:tc>
          <w:tcPr>
            <w:tcW w:w="6660" w:type="dxa"/>
            <w:vAlign w:val="center"/>
          </w:tcPr>
          <w:p w14:paraId="6CDCC636" w14:textId="645762D7" w:rsidR="00FC7B71" w:rsidRPr="005B5418" w:rsidRDefault="00285BEC">
            <w:pPr>
              <w:pStyle w:val="Table-Cell-Indent"/>
              <w:spacing w:before="40" w:after="40"/>
              <w:ind w:left="0" w:firstLine="314"/>
            </w:pPr>
            <w:hyperlink w:anchor="_II.4.12_Financial_Reporting-Related" w:history="1">
              <w:r w:rsidRPr="005B5418">
                <w:rPr>
                  <w:rStyle w:val="Hyperlink"/>
                  <w:rFonts w:eastAsia="Times New Roman"/>
                  <w:u w:val="none"/>
                </w:rPr>
                <w:t>II.4.11 – Financial Reporting-Related Legislation</w:t>
              </w:r>
            </w:hyperlink>
          </w:p>
        </w:tc>
        <w:tc>
          <w:tcPr>
            <w:tcW w:w="2160" w:type="dxa"/>
            <w:vAlign w:val="center"/>
          </w:tcPr>
          <w:p w14:paraId="6CAD0A2A" w14:textId="77777777" w:rsidR="00FC7B71" w:rsidRPr="005B5418" w:rsidRDefault="00FC7B71" w:rsidP="00DC3848">
            <w:pPr>
              <w:spacing w:line="240" w:lineRule="auto"/>
              <w:jc w:val="center"/>
              <w:rPr>
                <w:rFonts w:cs="Arial"/>
                <w:b/>
              </w:rPr>
            </w:pPr>
          </w:p>
        </w:tc>
      </w:tr>
      <w:tr w:rsidR="00FC7B71" w:rsidRPr="005B5418" w14:paraId="44398B5D" w14:textId="77777777" w:rsidTr="00017B40">
        <w:tc>
          <w:tcPr>
            <w:tcW w:w="6660" w:type="dxa"/>
            <w:vAlign w:val="center"/>
          </w:tcPr>
          <w:p w14:paraId="0EA620AF" w14:textId="18A9CAF2" w:rsidR="00FC7B71" w:rsidRPr="005B5418" w:rsidRDefault="00285BEC">
            <w:pPr>
              <w:pStyle w:val="Table-Cell-Indent"/>
              <w:spacing w:before="40" w:after="40"/>
              <w:ind w:left="0" w:firstLine="314"/>
            </w:pPr>
            <w:hyperlink w:anchor="_II.4.13_Optional_Federal" w:history="1">
              <w:r w:rsidRPr="005B5418">
                <w:rPr>
                  <w:rStyle w:val="Hyperlink"/>
                  <w:rFonts w:eastAsia="Times New Roman"/>
                  <w:u w:val="none"/>
                </w:rPr>
                <w:t>II.4.12 –</w:t>
              </w:r>
              <w:r w:rsidR="002E4B04" w:rsidRPr="005B5418">
                <w:rPr>
                  <w:rStyle w:val="Hyperlink"/>
                  <w:rFonts w:eastAsia="Times New Roman"/>
                  <w:u w:val="none"/>
                </w:rPr>
                <w:t xml:space="preserve"> </w:t>
              </w:r>
              <w:r w:rsidRPr="005B5418">
                <w:rPr>
                  <w:rStyle w:val="Hyperlink"/>
                  <w:rFonts w:eastAsia="Times New Roman"/>
                  <w:u w:val="none"/>
                </w:rPr>
                <w:t>Federal Entity Trading Partner Information</w:t>
              </w:r>
            </w:hyperlink>
          </w:p>
        </w:tc>
        <w:tc>
          <w:tcPr>
            <w:tcW w:w="2160" w:type="dxa"/>
            <w:vAlign w:val="center"/>
          </w:tcPr>
          <w:p w14:paraId="164084F6" w14:textId="77777777" w:rsidR="00FC7B71" w:rsidRPr="005B5418" w:rsidRDefault="00FC7B71" w:rsidP="00DC3848">
            <w:pPr>
              <w:spacing w:line="240" w:lineRule="auto"/>
              <w:jc w:val="center"/>
              <w:rPr>
                <w:rFonts w:cs="Arial"/>
                <w:b/>
              </w:rPr>
            </w:pPr>
          </w:p>
        </w:tc>
      </w:tr>
      <w:tr w:rsidR="00F44199" w:rsidRPr="005B5418" w14:paraId="689C612A" w14:textId="77777777" w:rsidTr="00017B40">
        <w:tc>
          <w:tcPr>
            <w:tcW w:w="6660" w:type="dxa"/>
            <w:vAlign w:val="center"/>
          </w:tcPr>
          <w:p w14:paraId="55D4E133" w14:textId="77777777" w:rsidR="00F11228" w:rsidRPr="005B5418" w:rsidRDefault="00034A2C" w:rsidP="003B61E9">
            <w:pPr>
              <w:pStyle w:val="Table-Cell-Indent"/>
              <w:spacing w:before="40" w:after="40"/>
              <w:ind w:left="0"/>
              <w:rPr>
                <w:rFonts w:cs="Arial"/>
                <w:color w:val="0000FF"/>
              </w:rPr>
            </w:pPr>
            <w:hyperlink w:anchor="_Appendix_A_–" w:history="1">
              <w:r w:rsidRPr="005B5418">
                <w:rPr>
                  <w:rStyle w:val="Hyperlink"/>
                  <w:rFonts w:eastAsia="Times New Roman" w:cs="Arial"/>
                  <w:bCs/>
                  <w:u w:val="none"/>
                </w:rPr>
                <w:t xml:space="preserve">Appendix </w:t>
              </w:r>
              <w:r w:rsidR="00F11228" w:rsidRPr="005B5418">
                <w:rPr>
                  <w:rStyle w:val="Hyperlink"/>
                  <w:rFonts w:eastAsia="Times New Roman" w:cs="Arial"/>
                  <w:bCs/>
                  <w:u w:val="none"/>
                </w:rPr>
                <w:t xml:space="preserve">A – Authoritative </w:t>
              </w:r>
              <w:r w:rsidR="00E1332F" w:rsidRPr="005B5418">
                <w:rPr>
                  <w:rStyle w:val="Hyperlink"/>
                  <w:rFonts w:eastAsia="Times New Roman" w:cs="Arial"/>
                  <w:bCs/>
                  <w:u w:val="none"/>
                </w:rPr>
                <w:t>Sources</w:t>
              </w:r>
            </w:hyperlink>
          </w:p>
        </w:tc>
        <w:tc>
          <w:tcPr>
            <w:tcW w:w="2160" w:type="dxa"/>
            <w:vAlign w:val="center"/>
          </w:tcPr>
          <w:p w14:paraId="62D0355F" w14:textId="77777777" w:rsidR="00F11228" w:rsidRPr="005B5418" w:rsidRDefault="00F11228" w:rsidP="003B61E9">
            <w:pPr>
              <w:spacing w:line="240" w:lineRule="auto"/>
              <w:jc w:val="center"/>
              <w:rPr>
                <w:rFonts w:cs="Arial"/>
                <w:b/>
              </w:rPr>
            </w:pPr>
          </w:p>
        </w:tc>
      </w:tr>
    </w:tbl>
    <w:p w14:paraId="5248786D" w14:textId="77777777" w:rsidR="00F45069" w:rsidRPr="005B5418" w:rsidRDefault="00F45069" w:rsidP="003B61E9">
      <w:pPr>
        <w:spacing w:before="180" w:after="180" w:line="240" w:lineRule="auto"/>
        <w:rPr>
          <w:rFonts w:eastAsia="Arial Unicode MS" w:cs="Arial"/>
        </w:rPr>
      </w:pPr>
      <w:bookmarkStart w:id="29" w:name="_Toc72727001"/>
      <w:bookmarkStart w:id="30" w:name="_Toc72727510"/>
      <w:bookmarkStart w:id="31" w:name="_Toc72732510"/>
      <w:bookmarkStart w:id="32" w:name="_Toc73947572"/>
    </w:p>
    <w:p w14:paraId="4140C437" w14:textId="77777777" w:rsidR="00E53B22" w:rsidRPr="005B5418" w:rsidRDefault="00E53B22" w:rsidP="003B61E9">
      <w:pPr>
        <w:spacing w:line="240" w:lineRule="auto"/>
        <w:rPr>
          <w:rFonts w:eastAsia="Arial Unicode MS" w:cs="Arial"/>
        </w:rPr>
        <w:sectPr w:rsidR="00E53B22" w:rsidRPr="005B5418" w:rsidSect="008848DA">
          <w:headerReference w:type="default" r:id="rId11"/>
          <w:footerReference w:type="default" r:id="rId12"/>
          <w:pgSz w:w="12240" w:h="15840"/>
          <w:pgMar w:top="1440" w:right="1440" w:bottom="1440" w:left="1440" w:header="720" w:footer="720" w:gutter="0"/>
          <w:pgNumType w:start="1" w:chapSep="emDash"/>
          <w:cols w:space="720"/>
          <w:docGrid w:linePitch="360"/>
        </w:sectPr>
      </w:pPr>
    </w:p>
    <w:p w14:paraId="6CB44AEB" w14:textId="77777777" w:rsidR="00BB0148" w:rsidRPr="005B5418" w:rsidRDefault="00BB0148" w:rsidP="003B61E9">
      <w:pPr>
        <w:pStyle w:val="Heading3"/>
        <w:spacing w:before="130" w:after="0" w:line="240" w:lineRule="auto"/>
        <w:rPr>
          <w:rFonts w:eastAsia="Arial Unicode MS"/>
          <w:sz w:val="22"/>
          <w:szCs w:val="22"/>
        </w:rPr>
      </w:pPr>
      <w:bookmarkStart w:id="33" w:name="_Section_I_–"/>
      <w:bookmarkStart w:id="34" w:name="_Ref520103078"/>
      <w:bookmarkStart w:id="35" w:name="_Toc18571190"/>
      <w:bookmarkStart w:id="36" w:name="_Ref495438881"/>
      <w:bookmarkStart w:id="37" w:name="_Toc8724390"/>
      <w:bookmarkEnd w:id="33"/>
      <w:r w:rsidRPr="005B5418">
        <w:rPr>
          <w:rFonts w:eastAsia="Arial Unicode MS"/>
          <w:sz w:val="22"/>
          <w:szCs w:val="22"/>
        </w:rPr>
        <w:lastRenderedPageBreak/>
        <w:t>Section I – Reporting Entity</w:t>
      </w:r>
      <w:bookmarkEnd w:id="34"/>
      <w:bookmarkEnd w:id="35"/>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65"/>
        <w:gridCol w:w="19"/>
        <w:gridCol w:w="3192"/>
      </w:tblGrid>
      <w:tr w:rsidR="00BB0148" w:rsidRPr="005B5418" w14:paraId="0A4A6E80" w14:textId="77777777" w:rsidTr="00597B33">
        <w:trPr>
          <w:tblHeader/>
        </w:trPr>
        <w:tc>
          <w:tcPr>
            <w:tcW w:w="5400" w:type="dxa"/>
          </w:tcPr>
          <w:p w14:paraId="5BAB0A83" w14:textId="46949CA7" w:rsidR="00BB0148" w:rsidRPr="005B5418" w:rsidRDefault="008254B4" w:rsidP="008254B4">
            <w:pPr>
              <w:pStyle w:val="Heading4"/>
              <w:spacing w:before="60" w:after="60" w:line="240" w:lineRule="auto"/>
              <w:jc w:val="left"/>
              <w:rPr>
                <w:b/>
                <w:vanish/>
                <w:color w:val="auto"/>
                <w:u w:val="none"/>
              </w:rPr>
            </w:pPr>
            <w:r w:rsidRPr="005B5418">
              <w:rPr>
                <w:b/>
                <w:u w:val="none"/>
              </w:rPr>
              <w:t>I – R</w:t>
            </w:r>
            <w:r w:rsidR="00BB0148" w:rsidRPr="005B5418">
              <w:rPr>
                <w:b/>
                <w:u w:val="none"/>
              </w:rPr>
              <w:t>eporting Entity</w:t>
            </w:r>
          </w:p>
        </w:tc>
        <w:tc>
          <w:tcPr>
            <w:tcW w:w="965" w:type="dxa"/>
          </w:tcPr>
          <w:p w14:paraId="4BBF2838" w14:textId="1FE5FF5E" w:rsidR="00BB0148" w:rsidRPr="005B5418" w:rsidRDefault="00BB0148" w:rsidP="008848DA">
            <w:pPr>
              <w:spacing w:before="60" w:after="60" w:line="240" w:lineRule="auto"/>
              <w:rPr>
                <w:rFonts w:ascii="Arial" w:hAnsi="Arial" w:cs="Arial"/>
                <w:b/>
              </w:rPr>
            </w:pPr>
            <w:r w:rsidRPr="005B5418">
              <w:rPr>
                <w:rFonts w:ascii="Arial" w:hAnsi="Arial" w:cs="Arial"/>
                <w:b/>
              </w:rPr>
              <w:t>Yes, No, or N/A</w:t>
            </w:r>
          </w:p>
        </w:tc>
        <w:tc>
          <w:tcPr>
            <w:tcW w:w="3211" w:type="dxa"/>
            <w:gridSpan w:val="2"/>
          </w:tcPr>
          <w:p w14:paraId="7F76C402" w14:textId="11476F4B" w:rsidR="00BB0148" w:rsidRPr="005B5418" w:rsidRDefault="00BB0148" w:rsidP="008848DA">
            <w:pPr>
              <w:spacing w:before="60" w:after="60" w:line="240" w:lineRule="auto"/>
              <w:rPr>
                <w:rFonts w:ascii="Arial" w:hAnsi="Arial" w:cs="Arial"/>
                <w:b/>
              </w:rPr>
            </w:pPr>
            <w:r w:rsidRPr="005B5418">
              <w:rPr>
                <w:rFonts w:ascii="Arial" w:hAnsi="Arial" w:cs="Arial"/>
                <w:b/>
              </w:rPr>
              <w:t xml:space="preserve">Explanation </w:t>
            </w:r>
            <w:r w:rsidR="00CE150A" w:rsidRPr="005B5418">
              <w:rPr>
                <w:rFonts w:ascii="Arial" w:hAnsi="Arial" w:cs="Arial"/>
                <w:b/>
              </w:rPr>
              <w:t xml:space="preserve">and </w:t>
            </w:r>
            <w:r w:rsidRPr="005B5418">
              <w:rPr>
                <w:rFonts w:ascii="Arial" w:hAnsi="Arial" w:cs="Arial"/>
                <w:b/>
              </w:rPr>
              <w:t>Reference</w:t>
            </w:r>
          </w:p>
        </w:tc>
      </w:tr>
      <w:tr w:rsidR="00BB0148" w:rsidRPr="005B5418" w14:paraId="5BFC5C23" w14:textId="77777777" w:rsidTr="005C5977">
        <w:trPr>
          <w:trHeight w:val="287"/>
        </w:trPr>
        <w:tc>
          <w:tcPr>
            <w:tcW w:w="9576" w:type="dxa"/>
            <w:gridSpan w:val="4"/>
          </w:tcPr>
          <w:p w14:paraId="647DDC05" w14:textId="774416F9" w:rsidR="00BB0148" w:rsidRPr="005B5418" w:rsidRDefault="00BB0148" w:rsidP="008848DA">
            <w:pPr>
              <w:spacing w:before="60" w:after="60" w:line="240" w:lineRule="auto"/>
              <w:rPr>
                <w:rFonts w:ascii="Arial" w:hAnsi="Arial" w:cs="Arial"/>
              </w:rPr>
            </w:pPr>
            <w:r w:rsidRPr="005B5418">
              <w:rPr>
                <w:rFonts w:ascii="Arial" w:hAnsi="Arial" w:cs="Arial"/>
              </w:rPr>
              <w:t xml:space="preserve">SFFAS 47, </w:t>
            </w:r>
            <w:r w:rsidRPr="005B5418">
              <w:rPr>
                <w:rFonts w:ascii="Arial" w:hAnsi="Arial" w:cs="Arial"/>
                <w:i/>
              </w:rPr>
              <w:t>Reporting Entity</w:t>
            </w:r>
            <w:r w:rsidRPr="005B5418">
              <w:rPr>
                <w:rFonts w:ascii="Arial" w:hAnsi="Arial" w:cs="Arial"/>
              </w:rPr>
              <w:t xml:space="preserve">, provides guidance for determining the most appropriate </w:t>
            </w:r>
            <w:r w:rsidR="00E5437D" w:rsidRPr="005B5418">
              <w:rPr>
                <w:rFonts w:ascii="Arial" w:hAnsi="Arial" w:cs="Arial"/>
              </w:rPr>
              <w:t xml:space="preserve">way </w:t>
            </w:r>
            <w:r w:rsidRPr="005B5418">
              <w:rPr>
                <w:rFonts w:ascii="Arial" w:hAnsi="Arial" w:cs="Arial"/>
              </w:rPr>
              <w:t>to include information about reporting entities in GPFFR. SFFAS 47 guides GPFFR preparers in determining (1) what organizations to include</w:t>
            </w:r>
            <w:r w:rsidR="00E5437D" w:rsidRPr="005B5418">
              <w:rPr>
                <w:rFonts w:ascii="Arial" w:hAnsi="Arial" w:cs="Arial"/>
              </w:rPr>
              <w:t xml:space="preserve">; </w:t>
            </w:r>
            <w:r w:rsidRPr="005B5418">
              <w:rPr>
                <w:rFonts w:ascii="Arial" w:hAnsi="Arial" w:cs="Arial"/>
              </w:rPr>
              <w:t>(2) whether such organizations should be consolidated or disclosed</w:t>
            </w:r>
            <w:r w:rsidR="00E5437D" w:rsidRPr="005B5418">
              <w:rPr>
                <w:rFonts w:ascii="Arial" w:hAnsi="Arial" w:cs="Arial"/>
              </w:rPr>
              <w:t>;</w:t>
            </w:r>
            <w:r w:rsidRPr="005B5418">
              <w:rPr>
                <w:rFonts w:ascii="Arial" w:hAnsi="Arial" w:cs="Arial"/>
              </w:rPr>
              <w:t xml:space="preserve"> (3) what information should be included for organizations</w:t>
            </w:r>
            <w:r w:rsidR="00586601" w:rsidRPr="005B5418">
              <w:rPr>
                <w:rFonts w:ascii="Arial" w:hAnsi="Arial" w:cs="Arial"/>
              </w:rPr>
              <w:t>;</w:t>
            </w:r>
            <w:r w:rsidRPr="005B5418">
              <w:rPr>
                <w:rFonts w:ascii="Arial" w:hAnsi="Arial" w:cs="Arial"/>
              </w:rPr>
              <w:t xml:space="preserve"> and (4) what disclosures, if any, are needed regarding related parties. In applying the guidance and meeting the reporting requirements,</w:t>
            </w:r>
            <w:r w:rsidR="00586601" w:rsidRPr="005B5418">
              <w:rPr>
                <w:rFonts w:ascii="Arial" w:hAnsi="Arial" w:cs="Arial"/>
              </w:rPr>
              <w:t xml:space="preserve"> “organization”</w:t>
            </w:r>
            <w:r w:rsidRPr="005B5418">
              <w:rPr>
                <w:rFonts w:ascii="Arial" w:hAnsi="Arial" w:cs="Arial"/>
              </w:rPr>
              <w:t xml:space="preserve"> refers to the organization in its entirety</w:t>
            </w:r>
            <w:r w:rsidR="00586601" w:rsidRPr="005B5418">
              <w:rPr>
                <w:rFonts w:ascii="Arial" w:hAnsi="Arial" w:cs="Arial"/>
              </w:rPr>
              <w:t>,</w:t>
            </w:r>
            <w:r w:rsidRPr="005B5418">
              <w:rPr>
                <w:rFonts w:ascii="Arial" w:hAnsi="Arial" w:cs="Arial"/>
              </w:rPr>
              <w:t xml:space="preserve"> including all funding sources (for example, appropriations or donations). The term organization is used broadly and may include, among others, departments, agencies, bureaus, divisions, commissions, corporations, and components. (SFFAS 47, par</w:t>
            </w:r>
            <w:r w:rsidR="00586601" w:rsidRPr="005B5418">
              <w:rPr>
                <w:rFonts w:ascii="Arial" w:hAnsi="Arial" w:cs="Arial"/>
              </w:rPr>
              <w:t>as</w:t>
            </w:r>
            <w:r w:rsidRPr="005B5418">
              <w:rPr>
                <w:rFonts w:ascii="Arial" w:hAnsi="Arial" w:cs="Arial"/>
              </w:rPr>
              <w:t xml:space="preserve">. 2, 7, </w:t>
            </w:r>
            <w:r w:rsidR="00586601" w:rsidRPr="005B5418">
              <w:rPr>
                <w:rFonts w:ascii="Arial" w:hAnsi="Arial" w:cs="Arial"/>
              </w:rPr>
              <w:t xml:space="preserve">and </w:t>
            </w:r>
            <w:r w:rsidRPr="005B5418">
              <w:rPr>
                <w:rFonts w:ascii="Arial" w:hAnsi="Arial" w:cs="Arial"/>
              </w:rPr>
              <w:t>15)</w:t>
            </w:r>
          </w:p>
          <w:p w14:paraId="1C72A537" w14:textId="5ABC75FF" w:rsidR="003A59CF" w:rsidRPr="005B5418" w:rsidRDefault="003A59CF" w:rsidP="003A59CF">
            <w:pPr>
              <w:spacing w:before="60" w:after="60" w:line="240" w:lineRule="auto"/>
              <w:rPr>
                <w:rFonts w:ascii="Arial" w:hAnsi="Arial" w:cs="Arial"/>
              </w:rPr>
            </w:pPr>
            <w:r w:rsidRPr="005B5418">
              <w:rPr>
                <w:rFonts w:ascii="Arial" w:hAnsi="Arial" w:cs="Arial"/>
              </w:rPr>
              <w:t xml:space="preserve">This checklist does not provide guidance for the governmentwide reporting entity. For the purposes of this checklist, the reporting entity is the entity issuing the GPFFR. </w:t>
            </w:r>
          </w:p>
          <w:p w14:paraId="3FEAD50D" w14:textId="3038E178" w:rsidR="00BD0C60" w:rsidRPr="005B5418" w:rsidRDefault="00BB0148" w:rsidP="00FD68EC">
            <w:pPr>
              <w:autoSpaceDE w:val="0"/>
              <w:autoSpaceDN w:val="0"/>
              <w:spacing w:before="60" w:after="60" w:line="240" w:lineRule="auto"/>
              <w:rPr>
                <w:rFonts w:ascii="Arial" w:hAnsi="Arial" w:cs="Arial"/>
              </w:rPr>
            </w:pPr>
            <w:r w:rsidRPr="005B5418">
              <w:rPr>
                <w:rFonts w:ascii="Arial" w:hAnsi="Arial" w:cs="Arial"/>
              </w:rPr>
              <w:t>Reporting entities are organizations that issue GPFFR</w:t>
            </w:r>
            <w:r w:rsidR="00CA25D9" w:rsidRPr="005B5418">
              <w:rPr>
                <w:rFonts w:ascii="Arial" w:hAnsi="Arial" w:cs="Arial"/>
              </w:rPr>
              <w:t>s</w:t>
            </w:r>
            <w:r w:rsidRPr="005B5418">
              <w:rPr>
                <w:rFonts w:ascii="Arial" w:hAnsi="Arial" w:cs="Arial"/>
              </w:rPr>
              <w:t xml:space="preserve"> because either </w:t>
            </w:r>
            <w:r w:rsidR="00CA25D9" w:rsidRPr="005B5418">
              <w:rPr>
                <w:rFonts w:ascii="Arial" w:hAnsi="Arial" w:cs="Arial"/>
              </w:rPr>
              <w:t>they are subject to</w:t>
            </w:r>
            <w:r w:rsidRPr="005B5418">
              <w:rPr>
                <w:rFonts w:ascii="Arial" w:hAnsi="Arial" w:cs="Arial"/>
              </w:rPr>
              <w:t xml:space="preserve"> a statutory or administrative requirement to prepare a GPFFR or they choose to prepare one. The term reporting entity may refer to either the governmentwide reporting entity or a component reporting entity. (SFFAS 47, par</w:t>
            </w:r>
            <w:r w:rsidR="00D66B7D" w:rsidRPr="005B5418">
              <w:rPr>
                <w:rFonts w:ascii="Arial" w:hAnsi="Arial" w:cs="Arial"/>
              </w:rPr>
              <w:t>a</w:t>
            </w:r>
            <w:r w:rsidRPr="005B5418">
              <w:rPr>
                <w:rFonts w:ascii="Arial" w:hAnsi="Arial" w:cs="Arial"/>
              </w:rPr>
              <w:t>. 8) Component reporting entity is used broadly to refer to a reporting entity within a larger reporting entity. Examples of component reporting entities include organizations such as executive departments, independent agencies, government corporations, legislative agencies, and federal courts. Component reporting entities also include sub-components (those components included in the GPFFR of a larger component reporting entity) that may prepare their own GPFFRs. (SFFAS 47, par</w:t>
            </w:r>
            <w:r w:rsidR="003D5004" w:rsidRPr="005B5418">
              <w:rPr>
                <w:rFonts w:ascii="Arial" w:hAnsi="Arial" w:cs="Arial"/>
              </w:rPr>
              <w:t>a</w:t>
            </w:r>
            <w:r w:rsidRPr="005B5418">
              <w:rPr>
                <w:rFonts w:ascii="Arial" w:hAnsi="Arial" w:cs="Arial"/>
              </w:rPr>
              <w:t>. 10)</w:t>
            </w:r>
          </w:p>
          <w:p w14:paraId="4C572C92" w14:textId="19E87AD4" w:rsidR="003A59CF" w:rsidRPr="005B5418" w:rsidRDefault="003A59CF" w:rsidP="003A59CF">
            <w:pPr>
              <w:spacing w:before="60" w:after="60" w:line="240" w:lineRule="auto"/>
              <w:rPr>
                <w:rFonts w:ascii="Arial" w:hAnsi="Arial" w:cs="Arial"/>
              </w:rPr>
            </w:pPr>
            <w:r w:rsidRPr="005B5418">
              <w:rPr>
                <w:rFonts w:ascii="Arial" w:hAnsi="Arial" w:cs="Arial"/>
              </w:rPr>
              <w:t>GPFFRs for the government-wide reporting entity represent a consolidation of component reporting entity GPFFRs. Therefore, component reporting entities must identify and include in their GPFFRs all consolidation entities and disclosure entities for which they are accountable so that both the component reporting entity GPFFRs and government-wide GPFFR are complete. (SFFAS 47, para</w:t>
            </w:r>
            <w:r w:rsidR="004904F4" w:rsidRPr="005B5418">
              <w:rPr>
                <w:rFonts w:ascii="Arial" w:hAnsi="Arial" w:cs="Arial"/>
              </w:rPr>
              <w:t xml:space="preserve">. </w:t>
            </w:r>
            <w:r w:rsidRPr="005B5418">
              <w:rPr>
                <w:rFonts w:ascii="Arial" w:hAnsi="Arial" w:cs="Arial"/>
              </w:rPr>
              <w:t>56)</w:t>
            </w:r>
          </w:p>
          <w:p w14:paraId="0A775500" w14:textId="06BCDF2D" w:rsidR="00C10DE8" w:rsidRPr="005B5418" w:rsidRDefault="00C10DE8" w:rsidP="00C10DE8">
            <w:pPr>
              <w:spacing w:before="60" w:after="60" w:line="240" w:lineRule="auto"/>
              <w:rPr>
                <w:rFonts w:ascii="Arial" w:hAnsi="Arial" w:cs="Arial"/>
              </w:rPr>
            </w:pPr>
            <w:r w:rsidRPr="005B5418">
              <w:rPr>
                <w:rFonts w:ascii="Arial" w:hAnsi="Arial" w:cs="Arial"/>
              </w:rPr>
              <w:t>A component reporting entity’s GPFFR should include all organizations that would allow the users to hold the component reporting entity’s management (such as appointed officials or other agency heads) accountable for implementation of public policy decisions. Inclusion would also reveal the risks inherent in component reporting entity operations, and thereby enhance accountability to the public. Each component reporting entity is accountable for all consolidation entities and disclosure entities administratively assigned to it. (SFFAS 47, para</w:t>
            </w:r>
            <w:r w:rsidR="004904F4" w:rsidRPr="005B5418">
              <w:rPr>
                <w:rFonts w:ascii="Arial" w:hAnsi="Arial" w:cs="Arial"/>
              </w:rPr>
              <w:t>.</w:t>
            </w:r>
            <w:r w:rsidRPr="005B5418">
              <w:rPr>
                <w:rFonts w:ascii="Arial" w:hAnsi="Arial" w:cs="Arial"/>
              </w:rPr>
              <w:t xml:space="preserve"> 57)</w:t>
            </w:r>
          </w:p>
          <w:p w14:paraId="1F049FDE" w14:textId="08697904" w:rsidR="00C10DE8" w:rsidRPr="005B5418" w:rsidRDefault="00C10DE8" w:rsidP="00C10DE8">
            <w:pPr>
              <w:spacing w:before="60" w:after="60" w:line="240" w:lineRule="auto"/>
              <w:rPr>
                <w:rFonts w:ascii="Arial" w:hAnsi="Arial" w:cs="Arial"/>
              </w:rPr>
            </w:pPr>
            <w:r w:rsidRPr="005B5418">
              <w:rPr>
                <w:rFonts w:ascii="Arial" w:hAnsi="Arial" w:cs="Arial"/>
              </w:rPr>
              <w:t xml:space="preserve">Administrative assignments to component reporting entities are typically made in laws and policy documents such as statutes, budget documents, regulations, or strategic plans. Administrative assignments can be identified by evaluating: </w:t>
            </w:r>
            <w:r w:rsidR="004904F4" w:rsidRPr="005B5418">
              <w:rPr>
                <w:rFonts w:ascii="Arial" w:hAnsi="Arial" w:cs="Arial"/>
              </w:rPr>
              <w:t>(</w:t>
            </w:r>
            <w:r w:rsidRPr="005B5418">
              <w:rPr>
                <w:rFonts w:ascii="Arial" w:hAnsi="Arial" w:cs="Arial"/>
              </w:rPr>
              <w:t>a</w:t>
            </w:r>
            <w:r w:rsidR="004904F4" w:rsidRPr="005B5418">
              <w:rPr>
                <w:rFonts w:ascii="Arial" w:hAnsi="Arial" w:cs="Arial"/>
              </w:rPr>
              <w:t>)</w:t>
            </w:r>
            <w:r w:rsidRPr="005B5418">
              <w:rPr>
                <w:rFonts w:ascii="Arial" w:hAnsi="Arial" w:cs="Arial"/>
              </w:rPr>
              <w:t xml:space="preserve"> Scope of the Budget Process </w:t>
            </w:r>
            <w:r w:rsidR="004904F4" w:rsidRPr="005B5418">
              <w:rPr>
                <w:rFonts w:ascii="Arial" w:hAnsi="Arial" w:cs="Arial"/>
              </w:rPr>
              <w:t>(</w:t>
            </w:r>
            <w:r w:rsidRPr="005B5418">
              <w:rPr>
                <w:rFonts w:ascii="Arial" w:hAnsi="Arial" w:cs="Arial"/>
              </w:rPr>
              <w:t>b</w:t>
            </w:r>
            <w:r w:rsidR="004904F4" w:rsidRPr="005B5418">
              <w:rPr>
                <w:rFonts w:ascii="Arial" w:hAnsi="Arial" w:cs="Arial"/>
              </w:rPr>
              <w:t>)</w:t>
            </w:r>
            <w:r w:rsidRPr="005B5418">
              <w:rPr>
                <w:rFonts w:ascii="Arial" w:hAnsi="Arial" w:cs="Arial"/>
              </w:rPr>
              <w:t xml:space="preserve"> Accountability Established Within a Component Reporting Entity </w:t>
            </w:r>
            <w:r w:rsidR="004904F4" w:rsidRPr="005B5418">
              <w:rPr>
                <w:rFonts w:ascii="Arial" w:hAnsi="Arial" w:cs="Arial"/>
              </w:rPr>
              <w:t>(</w:t>
            </w:r>
            <w:r w:rsidRPr="005B5418">
              <w:rPr>
                <w:rFonts w:ascii="Arial" w:hAnsi="Arial" w:cs="Arial"/>
              </w:rPr>
              <w:t>c</w:t>
            </w:r>
            <w:r w:rsidR="004904F4" w:rsidRPr="005B5418">
              <w:rPr>
                <w:rFonts w:ascii="Arial" w:hAnsi="Arial" w:cs="Arial"/>
              </w:rPr>
              <w:t>)</w:t>
            </w:r>
            <w:r w:rsidRPr="005B5418">
              <w:rPr>
                <w:rFonts w:ascii="Arial" w:hAnsi="Arial" w:cs="Arial"/>
              </w:rPr>
              <w:t xml:space="preserve"> Misleading to Exclude and/or Misleading to Include. (SFFAS 47, para</w:t>
            </w:r>
            <w:r w:rsidR="004904F4" w:rsidRPr="005B5418">
              <w:rPr>
                <w:rFonts w:ascii="Arial" w:hAnsi="Arial" w:cs="Arial"/>
              </w:rPr>
              <w:t>.</w:t>
            </w:r>
            <w:r w:rsidRPr="005B5418">
              <w:rPr>
                <w:rFonts w:ascii="Arial" w:hAnsi="Arial" w:cs="Arial"/>
              </w:rPr>
              <w:t xml:space="preserve"> 58)</w:t>
            </w:r>
          </w:p>
          <w:p w14:paraId="1F24A5E1" w14:textId="7E5C8F1A" w:rsidR="003A59CF" w:rsidRPr="005B5418" w:rsidRDefault="003A59CF" w:rsidP="00FD68EC">
            <w:pPr>
              <w:autoSpaceDE w:val="0"/>
              <w:autoSpaceDN w:val="0"/>
              <w:spacing w:before="60" w:after="60" w:line="240" w:lineRule="auto"/>
              <w:rPr>
                <w:rFonts w:ascii="Arial" w:hAnsi="Arial" w:cs="Arial"/>
              </w:rPr>
            </w:pPr>
          </w:p>
        </w:tc>
      </w:tr>
      <w:tr w:rsidR="00760155" w:rsidRPr="005B5418" w14:paraId="50D0252B" w14:textId="77777777" w:rsidTr="00246E91">
        <w:trPr>
          <w:trHeight w:val="323"/>
        </w:trPr>
        <w:tc>
          <w:tcPr>
            <w:tcW w:w="9576" w:type="dxa"/>
            <w:gridSpan w:val="4"/>
          </w:tcPr>
          <w:p w14:paraId="7B679BC7" w14:textId="77777777" w:rsidR="00760155" w:rsidRPr="005B5418" w:rsidRDefault="00760155" w:rsidP="008848DA">
            <w:pPr>
              <w:spacing w:before="60" w:after="60" w:line="240" w:lineRule="auto"/>
              <w:rPr>
                <w:rFonts w:ascii="Arial" w:hAnsi="Arial" w:cs="Arial"/>
                <w:b/>
                <w:i/>
              </w:rPr>
            </w:pPr>
            <w:r w:rsidRPr="005B5418">
              <w:rPr>
                <w:rFonts w:ascii="Arial" w:hAnsi="Arial" w:cs="Arial"/>
                <w:b/>
                <w:i/>
              </w:rPr>
              <w:t>Accounting</w:t>
            </w:r>
          </w:p>
        </w:tc>
      </w:tr>
      <w:tr w:rsidR="00BB0148" w:rsidRPr="005B5418" w14:paraId="0634E13C" w14:textId="77777777" w:rsidTr="00246E91">
        <w:trPr>
          <w:trHeight w:val="323"/>
        </w:trPr>
        <w:tc>
          <w:tcPr>
            <w:tcW w:w="9576" w:type="dxa"/>
            <w:gridSpan w:val="4"/>
          </w:tcPr>
          <w:p w14:paraId="5C2EB078" w14:textId="77777777" w:rsidR="00BB0148" w:rsidRPr="005B5418" w:rsidRDefault="00BB0148" w:rsidP="008848DA">
            <w:pPr>
              <w:spacing w:before="60" w:after="60" w:line="240" w:lineRule="auto"/>
              <w:rPr>
                <w:rFonts w:ascii="Arial" w:hAnsi="Arial" w:cs="Arial"/>
                <w:b/>
              </w:rPr>
            </w:pPr>
            <w:r w:rsidRPr="005B5418">
              <w:rPr>
                <w:rFonts w:ascii="Arial" w:hAnsi="Arial" w:cs="Arial"/>
                <w:b/>
              </w:rPr>
              <w:t>Identifying Organizations for Inclusion</w:t>
            </w:r>
          </w:p>
        </w:tc>
      </w:tr>
      <w:tr w:rsidR="00844190" w:rsidRPr="005B5418" w14:paraId="161BCDC3" w14:textId="77777777" w:rsidTr="00246E91">
        <w:trPr>
          <w:trHeight w:val="575"/>
        </w:trPr>
        <w:tc>
          <w:tcPr>
            <w:tcW w:w="5400" w:type="dxa"/>
          </w:tcPr>
          <w:p w14:paraId="14F389F1" w14:textId="698837BD" w:rsidR="00844190" w:rsidRPr="005B5418" w:rsidRDefault="00844190" w:rsidP="00452122">
            <w:pPr>
              <w:pStyle w:val="FAM-Table-outline"/>
              <w:numPr>
                <w:ilvl w:val="0"/>
                <w:numId w:val="8"/>
              </w:numPr>
              <w:spacing w:line="240" w:lineRule="auto"/>
              <w:rPr>
                <w:rFonts w:cs="Arial"/>
                <w:color w:val="auto"/>
                <w:szCs w:val="22"/>
              </w:rPr>
            </w:pPr>
            <w:r w:rsidRPr="005B5418">
              <w:t xml:space="preserve">In determining which consolidation and disclosure entities are identified and included in the reporting entity GPFFR, does the </w:t>
            </w:r>
            <w:r w:rsidRPr="005B5418">
              <w:lastRenderedPageBreak/>
              <w:t xml:space="preserve">reporting entity consider </w:t>
            </w:r>
            <w:r w:rsidR="00EB0049" w:rsidRPr="005B5418">
              <w:t xml:space="preserve">whether such entities are </w:t>
            </w:r>
            <w:r w:rsidR="00EB0049" w:rsidRPr="005B5418">
              <w:rPr>
                <w:rFonts w:cs="Arial"/>
              </w:rPr>
              <w:t>administratively assigned to the reporting entity</w:t>
            </w:r>
            <w:r w:rsidR="00EB0049" w:rsidRPr="005B5418">
              <w:t>?</w:t>
            </w:r>
            <w:r w:rsidR="0093617F" w:rsidRPr="005B5418">
              <w:rPr>
                <w:rStyle w:val="FootnoteReference"/>
                <w:rFonts w:cs="Arial"/>
              </w:rPr>
              <w:footnoteReference w:id="2"/>
            </w:r>
            <w:r w:rsidR="00352E59" w:rsidRPr="005B5418">
              <w:rPr>
                <w:rFonts w:cs="Arial"/>
              </w:rPr>
              <w:t xml:space="preserve"> (SFFAS 47, paras. 5</w:t>
            </w:r>
            <w:r w:rsidR="0014187E" w:rsidRPr="005B5418">
              <w:rPr>
                <w:rFonts w:cs="Arial"/>
              </w:rPr>
              <w:t xml:space="preserve">7 and </w:t>
            </w:r>
            <w:r w:rsidR="00352E59" w:rsidRPr="005B5418">
              <w:rPr>
                <w:rFonts w:cs="Arial"/>
              </w:rPr>
              <w:t>58)</w:t>
            </w:r>
          </w:p>
        </w:tc>
        <w:tc>
          <w:tcPr>
            <w:tcW w:w="984" w:type="dxa"/>
            <w:gridSpan w:val="2"/>
          </w:tcPr>
          <w:p w14:paraId="5DFFAFCD" w14:textId="77777777" w:rsidR="00844190" w:rsidRPr="005B5418" w:rsidRDefault="00844190" w:rsidP="008848DA">
            <w:pPr>
              <w:spacing w:before="60" w:after="60" w:line="240" w:lineRule="auto"/>
              <w:rPr>
                <w:rFonts w:cs="Arial"/>
                <w:b/>
              </w:rPr>
            </w:pPr>
          </w:p>
        </w:tc>
        <w:tc>
          <w:tcPr>
            <w:tcW w:w="3192" w:type="dxa"/>
          </w:tcPr>
          <w:p w14:paraId="35082FBA" w14:textId="77777777" w:rsidR="00844190" w:rsidRPr="005B5418" w:rsidRDefault="00844190" w:rsidP="008848DA">
            <w:pPr>
              <w:spacing w:before="60" w:after="60" w:line="240" w:lineRule="auto"/>
              <w:rPr>
                <w:rFonts w:cs="Arial"/>
                <w:b/>
              </w:rPr>
            </w:pPr>
          </w:p>
        </w:tc>
      </w:tr>
      <w:tr w:rsidR="00BB0148" w:rsidRPr="005B5418" w:rsidDel="000F4E9F" w14:paraId="32DC5525" w14:textId="77777777" w:rsidTr="003951D2">
        <w:trPr>
          <w:trHeight w:val="647"/>
        </w:trPr>
        <w:tc>
          <w:tcPr>
            <w:tcW w:w="5400" w:type="dxa"/>
          </w:tcPr>
          <w:p w14:paraId="054E31ED" w14:textId="1B4EB57C" w:rsidR="00BB0148" w:rsidRPr="005B5418" w:rsidRDefault="00BB0148" w:rsidP="002B370B">
            <w:pPr>
              <w:pStyle w:val="FAM-Table-outline"/>
              <w:spacing w:line="240" w:lineRule="auto"/>
              <w:rPr>
                <w:rFonts w:cs="Arial"/>
                <w:color w:val="auto"/>
                <w:szCs w:val="22"/>
              </w:rPr>
            </w:pPr>
            <w:r w:rsidRPr="005B5418">
              <w:rPr>
                <w:rFonts w:cs="Arial"/>
                <w:color w:val="auto"/>
                <w:szCs w:val="22"/>
              </w:rPr>
              <w:t>If more than one component reporting enti</w:t>
            </w:r>
            <w:r w:rsidR="002B370B" w:rsidRPr="005B5418">
              <w:rPr>
                <w:rFonts w:cs="Arial"/>
                <w:color w:val="auto"/>
                <w:szCs w:val="22"/>
              </w:rPr>
              <w:t>ty is assigned responsibilities</w:t>
            </w:r>
            <w:r w:rsidRPr="005B5418">
              <w:rPr>
                <w:rFonts w:cs="Arial"/>
                <w:color w:val="auto"/>
                <w:szCs w:val="22"/>
              </w:rPr>
              <w:t>, is the consolidation entity administratively assigned to only one component reporting entity</w:t>
            </w:r>
            <w:r w:rsidR="0078414B" w:rsidRPr="005B5418">
              <w:rPr>
                <w:rFonts w:cs="Arial"/>
                <w:color w:val="auto"/>
                <w:szCs w:val="22"/>
              </w:rPr>
              <w:t>?</w:t>
            </w:r>
            <w:r w:rsidRPr="005B5418">
              <w:rPr>
                <w:rFonts w:cs="Arial"/>
                <w:color w:val="auto"/>
                <w:szCs w:val="22"/>
                <w:vertAlign w:val="superscript"/>
              </w:rPr>
              <w:footnoteReference w:id="3"/>
            </w:r>
            <w:r w:rsidRPr="005B5418">
              <w:rPr>
                <w:rFonts w:cs="Arial"/>
                <w:color w:val="auto"/>
                <w:szCs w:val="22"/>
                <w:vertAlign w:val="superscript"/>
              </w:rPr>
              <w:t xml:space="preserve"> </w:t>
            </w:r>
            <w:r w:rsidRPr="005B5418">
              <w:rPr>
                <w:rFonts w:cs="Arial"/>
                <w:color w:val="auto"/>
                <w:szCs w:val="22"/>
              </w:rPr>
              <w:t>(SFFAS 47, par</w:t>
            </w:r>
            <w:r w:rsidR="0078414B" w:rsidRPr="005B5418">
              <w:rPr>
                <w:rFonts w:cs="Arial"/>
                <w:color w:val="auto"/>
                <w:szCs w:val="22"/>
              </w:rPr>
              <w:t>a</w:t>
            </w:r>
            <w:r w:rsidRPr="005B5418">
              <w:rPr>
                <w:rFonts w:cs="Arial"/>
                <w:color w:val="auto"/>
                <w:szCs w:val="22"/>
              </w:rPr>
              <w:t xml:space="preserve">. 61b) </w:t>
            </w:r>
          </w:p>
        </w:tc>
        <w:tc>
          <w:tcPr>
            <w:tcW w:w="965" w:type="dxa"/>
          </w:tcPr>
          <w:p w14:paraId="23DE1103" w14:textId="77777777" w:rsidR="00BB0148" w:rsidRPr="005B5418" w:rsidDel="000F4E9F" w:rsidRDefault="00BB0148" w:rsidP="008848DA">
            <w:pPr>
              <w:spacing w:before="60" w:after="60" w:line="240" w:lineRule="auto"/>
              <w:jc w:val="center"/>
              <w:rPr>
                <w:rFonts w:cs="Arial"/>
                <w:b/>
                <w:bCs/>
              </w:rPr>
            </w:pPr>
          </w:p>
        </w:tc>
        <w:tc>
          <w:tcPr>
            <w:tcW w:w="3211" w:type="dxa"/>
            <w:gridSpan w:val="2"/>
          </w:tcPr>
          <w:p w14:paraId="193F779C" w14:textId="77777777" w:rsidR="00BB0148" w:rsidRPr="005B5418" w:rsidDel="000F4E9F" w:rsidRDefault="00BB0148" w:rsidP="008848DA">
            <w:pPr>
              <w:spacing w:before="60" w:after="60" w:line="240" w:lineRule="auto"/>
              <w:rPr>
                <w:rFonts w:cs="Arial"/>
              </w:rPr>
            </w:pPr>
          </w:p>
        </w:tc>
      </w:tr>
      <w:tr w:rsidR="00E5517B" w:rsidRPr="005B5418" w:rsidDel="000F4E9F" w14:paraId="60C5ED30" w14:textId="77777777" w:rsidTr="003951D2">
        <w:trPr>
          <w:trHeight w:val="647"/>
        </w:trPr>
        <w:tc>
          <w:tcPr>
            <w:tcW w:w="5400" w:type="dxa"/>
          </w:tcPr>
          <w:p w14:paraId="76ECF1E2" w14:textId="499FFAC5" w:rsidR="00E5517B" w:rsidRPr="005B5418" w:rsidRDefault="00A22782" w:rsidP="002B370B">
            <w:pPr>
              <w:pStyle w:val="FAM-Table-outline"/>
              <w:spacing w:line="240" w:lineRule="auto"/>
              <w:rPr>
                <w:rFonts w:cs="Arial"/>
                <w:color w:val="auto"/>
                <w:szCs w:val="22"/>
              </w:rPr>
            </w:pPr>
            <w:r w:rsidRPr="005B5418">
              <w:t>In determining which entities to include</w:t>
            </w:r>
            <w:r w:rsidR="00E5517B" w:rsidRPr="005B5418">
              <w:t xml:space="preserve"> </w:t>
            </w:r>
            <w:r w:rsidR="009C6BCF" w:rsidRPr="005B5418">
              <w:t xml:space="preserve">(consolidation or disclosure entities) </w:t>
            </w:r>
            <w:r w:rsidRPr="005B5418">
              <w:t>in the reporting entity’s GPFFR, did the reporting entity consider the following inclusion principles:</w:t>
            </w:r>
            <w:r w:rsidR="009C6BCF" w:rsidRPr="005B5418">
              <w:t xml:space="preserve"> </w:t>
            </w:r>
          </w:p>
          <w:p w14:paraId="04FE5EAF" w14:textId="24EADED7" w:rsidR="00E5517B" w:rsidRPr="005B5418" w:rsidRDefault="0014187E" w:rsidP="004C4D23">
            <w:pPr>
              <w:pStyle w:val="FAM-Table-outline2"/>
              <w:spacing w:line="240" w:lineRule="auto"/>
              <w:ind w:left="1140" w:hanging="443"/>
              <w:rPr>
                <w:rFonts w:cs="Arial"/>
                <w:color w:val="auto"/>
                <w:szCs w:val="22"/>
              </w:rPr>
            </w:pPr>
            <w:r w:rsidRPr="005B5418">
              <w:rPr>
                <w:rFonts w:cs="Arial"/>
                <w:color w:val="auto"/>
                <w:szCs w:val="22"/>
              </w:rPr>
              <w:t>In the Budget;</w:t>
            </w:r>
          </w:p>
          <w:p w14:paraId="2998A6F4" w14:textId="4E80DF11" w:rsidR="00E5517B" w:rsidRPr="005B5418" w:rsidRDefault="00E5517B" w:rsidP="004C4D23">
            <w:pPr>
              <w:pStyle w:val="FAM-Table-outline2"/>
              <w:spacing w:line="240" w:lineRule="auto"/>
              <w:ind w:left="1140" w:hanging="443"/>
              <w:rPr>
                <w:rFonts w:cs="Arial"/>
                <w:color w:val="auto"/>
                <w:szCs w:val="22"/>
              </w:rPr>
            </w:pPr>
            <w:r w:rsidRPr="005B5418">
              <w:rPr>
                <w:rFonts w:cs="Arial"/>
                <w:color w:val="auto"/>
                <w:szCs w:val="22"/>
              </w:rPr>
              <w:t xml:space="preserve">Majority Ownership </w:t>
            </w:r>
            <w:r w:rsidR="0014187E" w:rsidRPr="005B5418">
              <w:rPr>
                <w:rFonts w:cs="Arial"/>
                <w:color w:val="auto"/>
                <w:szCs w:val="22"/>
              </w:rPr>
              <w:t>Interest;</w:t>
            </w:r>
          </w:p>
          <w:p w14:paraId="3D0493F3" w14:textId="66E6EE1E" w:rsidR="00E5517B" w:rsidRPr="005B5418" w:rsidRDefault="00E5517B" w:rsidP="004C4D23">
            <w:pPr>
              <w:pStyle w:val="FAM-Table-outline2"/>
              <w:spacing w:line="240" w:lineRule="auto"/>
              <w:ind w:left="1140" w:hanging="443"/>
              <w:rPr>
                <w:rFonts w:cs="Arial"/>
                <w:color w:val="auto"/>
                <w:szCs w:val="22"/>
              </w:rPr>
            </w:pPr>
            <w:r w:rsidRPr="005B5418">
              <w:rPr>
                <w:rFonts w:cs="Arial"/>
                <w:color w:val="auto"/>
                <w:szCs w:val="22"/>
              </w:rPr>
              <w:t>Control with Risk of Loss or Expectation of Benefit</w:t>
            </w:r>
            <w:r w:rsidR="0014187E" w:rsidRPr="005B5418">
              <w:rPr>
                <w:rFonts w:cs="Arial"/>
                <w:color w:val="auto"/>
                <w:szCs w:val="22"/>
              </w:rPr>
              <w:t>; or</w:t>
            </w:r>
          </w:p>
          <w:p w14:paraId="48CAF918" w14:textId="03CA3390" w:rsidR="00E5517B" w:rsidRPr="005B5418" w:rsidRDefault="00E5517B" w:rsidP="004C4D23">
            <w:pPr>
              <w:pStyle w:val="FAM-Table-outline2"/>
              <w:spacing w:line="240" w:lineRule="auto"/>
              <w:ind w:left="1140" w:hanging="443"/>
              <w:rPr>
                <w:rFonts w:cs="Arial"/>
                <w:color w:val="auto"/>
                <w:szCs w:val="22"/>
              </w:rPr>
            </w:pPr>
            <w:r w:rsidRPr="005B5418">
              <w:rPr>
                <w:rFonts w:cs="Arial"/>
                <w:color w:val="auto"/>
                <w:szCs w:val="22"/>
              </w:rPr>
              <w:t>Misleading to Exclude</w:t>
            </w:r>
            <w:r w:rsidR="0014187E" w:rsidRPr="005B5418">
              <w:rPr>
                <w:rFonts w:cs="Arial"/>
                <w:color w:val="auto"/>
                <w:szCs w:val="22"/>
              </w:rPr>
              <w:t>? (SFFAS 47 paras. 21 and 37)</w:t>
            </w:r>
          </w:p>
          <w:p w14:paraId="7AF8E5F6" w14:textId="72F8AB27" w:rsidR="0014187E" w:rsidRPr="005B5418" w:rsidRDefault="0014187E" w:rsidP="00D928CB">
            <w:pPr>
              <w:pStyle w:val="FAM-Table-outline"/>
              <w:numPr>
                <w:ilvl w:val="0"/>
                <w:numId w:val="0"/>
              </w:numPr>
              <w:spacing w:line="240" w:lineRule="auto"/>
              <w:ind w:left="1026"/>
              <w:rPr>
                <w:rFonts w:cs="Arial"/>
                <w:color w:val="auto"/>
                <w:szCs w:val="22"/>
              </w:rPr>
            </w:pPr>
          </w:p>
        </w:tc>
        <w:tc>
          <w:tcPr>
            <w:tcW w:w="965" w:type="dxa"/>
          </w:tcPr>
          <w:p w14:paraId="399B1012" w14:textId="77777777" w:rsidR="00E5517B" w:rsidRPr="005B5418" w:rsidDel="000F4E9F" w:rsidRDefault="00E5517B" w:rsidP="008848DA">
            <w:pPr>
              <w:spacing w:before="60" w:after="60" w:line="240" w:lineRule="auto"/>
              <w:jc w:val="center"/>
              <w:rPr>
                <w:rFonts w:cs="Arial"/>
                <w:b/>
                <w:bCs/>
              </w:rPr>
            </w:pPr>
          </w:p>
        </w:tc>
        <w:tc>
          <w:tcPr>
            <w:tcW w:w="3211" w:type="dxa"/>
            <w:gridSpan w:val="2"/>
          </w:tcPr>
          <w:p w14:paraId="0CC44634" w14:textId="77777777" w:rsidR="00E5517B" w:rsidRPr="005B5418" w:rsidDel="000F4E9F" w:rsidRDefault="00E5517B" w:rsidP="008848DA">
            <w:pPr>
              <w:spacing w:before="60" w:after="60" w:line="240" w:lineRule="auto"/>
              <w:rPr>
                <w:rFonts w:cs="Arial"/>
              </w:rPr>
            </w:pPr>
          </w:p>
        </w:tc>
      </w:tr>
      <w:tr w:rsidR="00BB0148" w:rsidRPr="005B5418" w:rsidDel="000F4E9F" w14:paraId="0BEABB5B" w14:textId="77777777" w:rsidTr="008848DA">
        <w:trPr>
          <w:trHeight w:val="872"/>
        </w:trPr>
        <w:tc>
          <w:tcPr>
            <w:tcW w:w="5400" w:type="dxa"/>
          </w:tcPr>
          <w:p w14:paraId="49BB2C21" w14:textId="6A92A51F" w:rsidR="00BB0148" w:rsidRPr="005B5418" w:rsidRDefault="003A59CF" w:rsidP="00BF16CD">
            <w:pPr>
              <w:pStyle w:val="FAM-Table-outline"/>
              <w:spacing w:line="240" w:lineRule="auto"/>
              <w:rPr>
                <w:color w:val="auto"/>
                <w:szCs w:val="22"/>
              </w:rPr>
            </w:pPr>
            <w:r w:rsidRPr="005B5418">
              <w:t>In the determining whether an entity included in the reporting entity GPFFR is a consolidation or disclosure entity, does the reporting consider the following principles</w:t>
            </w:r>
            <w:r w:rsidR="004B4314" w:rsidRPr="005B5418">
              <w:t>:</w:t>
            </w:r>
            <w:r w:rsidR="00D9352A" w:rsidRPr="005B5418">
              <w:rPr>
                <w:color w:val="auto"/>
                <w:szCs w:val="22"/>
              </w:rPr>
              <w:t xml:space="preserve"> </w:t>
            </w:r>
          </w:p>
          <w:p w14:paraId="2C98D6F7" w14:textId="65245BB4" w:rsidR="00BB0148" w:rsidRPr="005B5418" w:rsidRDefault="00BB0148" w:rsidP="008F094E">
            <w:pPr>
              <w:pStyle w:val="FAM-Table-outline2"/>
              <w:spacing w:line="240" w:lineRule="auto"/>
              <w:ind w:left="1140" w:hanging="443"/>
              <w:rPr>
                <w:rFonts w:cs="Arial"/>
                <w:color w:val="auto"/>
                <w:szCs w:val="22"/>
              </w:rPr>
            </w:pPr>
            <w:r w:rsidRPr="005B5418">
              <w:rPr>
                <w:rFonts w:cs="Arial"/>
                <w:color w:val="auto"/>
                <w:szCs w:val="22"/>
              </w:rPr>
              <w:t>Is the organization financed through taxes and other non-exchange revenue</w:t>
            </w:r>
            <w:r w:rsidR="0078414B" w:rsidRPr="005B5418">
              <w:rPr>
                <w:rFonts w:cs="Arial"/>
                <w:color w:val="auto"/>
                <w:szCs w:val="22"/>
              </w:rPr>
              <w:t>?</w:t>
            </w:r>
          </w:p>
          <w:p w14:paraId="7E7B878F" w14:textId="03E0E91D" w:rsidR="00BB0148" w:rsidRPr="005B5418" w:rsidRDefault="00BB0148" w:rsidP="008F094E">
            <w:pPr>
              <w:pStyle w:val="FAM-Table-outline2"/>
              <w:spacing w:line="240" w:lineRule="auto"/>
              <w:ind w:left="1140" w:hanging="443"/>
              <w:rPr>
                <w:rFonts w:cs="Arial"/>
                <w:color w:val="auto"/>
                <w:szCs w:val="22"/>
              </w:rPr>
            </w:pPr>
            <w:r w:rsidRPr="005B5418">
              <w:rPr>
                <w:rFonts w:cs="Arial"/>
                <w:color w:val="auto"/>
                <w:szCs w:val="22"/>
              </w:rPr>
              <w:t>Is the organization governed by the Congress and/or the President</w:t>
            </w:r>
            <w:r w:rsidR="00D138A8" w:rsidRPr="005B5418">
              <w:rPr>
                <w:rFonts w:cs="Arial"/>
                <w:color w:val="auto"/>
                <w:szCs w:val="22"/>
              </w:rPr>
              <w:t>?</w:t>
            </w:r>
          </w:p>
          <w:p w14:paraId="640C843D" w14:textId="5A92F52C" w:rsidR="00BB0148" w:rsidRPr="005B5418" w:rsidRDefault="00BB0148" w:rsidP="008F094E">
            <w:pPr>
              <w:pStyle w:val="FAM-Table-outline2"/>
              <w:spacing w:line="240" w:lineRule="auto"/>
              <w:ind w:left="1140" w:hanging="443"/>
              <w:rPr>
                <w:rFonts w:cs="Arial"/>
                <w:color w:val="auto"/>
                <w:szCs w:val="22"/>
              </w:rPr>
            </w:pPr>
            <w:r w:rsidRPr="005B5418">
              <w:rPr>
                <w:rFonts w:cs="Arial"/>
                <w:color w:val="auto"/>
                <w:szCs w:val="22"/>
              </w:rPr>
              <w:t xml:space="preserve">Does the organization impose or may </w:t>
            </w:r>
            <w:r w:rsidR="002E13CF" w:rsidRPr="005B5418">
              <w:rPr>
                <w:rFonts w:cs="Arial"/>
                <w:color w:val="auto"/>
                <w:szCs w:val="22"/>
              </w:rPr>
              <w:t xml:space="preserve">it </w:t>
            </w:r>
            <w:r w:rsidRPr="005B5418">
              <w:rPr>
                <w:rFonts w:cs="Arial"/>
                <w:color w:val="auto"/>
                <w:szCs w:val="22"/>
              </w:rPr>
              <w:t>impose risks and rewards to the federal government</w:t>
            </w:r>
            <w:r w:rsidR="002E13CF" w:rsidRPr="005B5418">
              <w:rPr>
                <w:rFonts w:cs="Arial"/>
                <w:color w:val="auto"/>
                <w:szCs w:val="22"/>
              </w:rPr>
              <w:t>?</w:t>
            </w:r>
          </w:p>
          <w:p w14:paraId="4F3A0BC6" w14:textId="74B0A50C" w:rsidR="00BB0148" w:rsidRPr="005B5418" w:rsidRDefault="00BB0148" w:rsidP="008F094E">
            <w:pPr>
              <w:pStyle w:val="FAM-Table-outline2"/>
              <w:spacing w:line="240" w:lineRule="auto"/>
              <w:ind w:left="1140" w:hanging="443"/>
              <w:rPr>
                <w:rFonts w:cs="Arial"/>
                <w:color w:val="auto"/>
                <w:szCs w:val="22"/>
              </w:rPr>
            </w:pPr>
            <w:r w:rsidRPr="005B5418">
              <w:rPr>
                <w:rFonts w:cs="Arial"/>
                <w:color w:val="auto"/>
                <w:szCs w:val="22"/>
              </w:rPr>
              <w:t>Does the organization provide goods and services on a non-market basis? (SFFAS 47 par</w:t>
            </w:r>
            <w:r w:rsidR="002E13CF" w:rsidRPr="005B5418">
              <w:rPr>
                <w:rFonts w:cs="Arial"/>
                <w:color w:val="auto"/>
                <w:szCs w:val="22"/>
              </w:rPr>
              <w:t>a</w:t>
            </w:r>
            <w:r w:rsidRPr="005B5418">
              <w:rPr>
                <w:rFonts w:cs="Arial"/>
                <w:color w:val="auto"/>
                <w:szCs w:val="22"/>
              </w:rPr>
              <w:t>. 39)</w:t>
            </w:r>
          </w:p>
        </w:tc>
        <w:tc>
          <w:tcPr>
            <w:tcW w:w="965" w:type="dxa"/>
          </w:tcPr>
          <w:p w14:paraId="00E28F30" w14:textId="77777777" w:rsidR="00BB0148" w:rsidRPr="005B5418" w:rsidDel="000F4E9F" w:rsidRDefault="00BB0148" w:rsidP="008848DA">
            <w:pPr>
              <w:spacing w:before="60" w:after="60" w:line="240" w:lineRule="auto"/>
              <w:jc w:val="center"/>
              <w:rPr>
                <w:rFonts w:cs="Arial"/>
                <w:b/>
                <w:bCs/>
              </w:rPr>
            </w:pPr>
          </w:p>
        </w:tc>
        <w:tc>
          <w:tcPr>
            <w:tcW w:w="3211" w:type="dxa"/>
            <w:gridSpan w:val="2"/>
          </w:tcPr>
          <w:p w14:paraId="0E9BD944" w14:textId="77777777" w:rsidR="00BB0148" w:rsidRPr="005B5418" w:rsidDel="000F4E9F" w:rsidRDefault="00BB0148" w:rsidP="008848DA">
            <w:pPr>
              <w:spacing w:before="60" w:after="60" w:line="240" w:lineRule="auto"/>
              <w:rPr>
                <w:rFonts w:cs="Arial"/>
              </w:rPr>
            </w:pPr>
          </w:p>
        </w:tc>
      </w:tr>
      <w:tr w:rsidR="00451C2B" w:rsidRPr="005B5418" w:rsidDel="000F4E9F" w14:paraId="7CA30C66" w14:textId="77777777" w:rsidTr="008F094E">
        <w:trPr>
          <w:trHeight w:hRule="exact" w:val="1351"/>
        </w:trPr>
        <w:tc>
          <w:tcPr>
            <w:tcW w:w="5400" w:type="dxa"/>
          </w:tcPr>
          <w:p w14:paraId="4D485A2A" w14:textId="25AFE2D5" w:rsidR="006425E0" w:rsidRPr="005B5418" w:rsidRDefault="00C55F7D" w:rsidP="00451C2B">
            <w:pPr>
              <w:pStyle w:val="FAM-Table-outline"/>
            </w:pPr>
            <w:r w:rsidRPr="005B5418">
              <w:lastRenderedPageBreak/>
              <w:t xml:space="preserve">Did the reporting entity consolidate the financial </w:t>
            </w:r>
            <w:r w:rsidR="00055277" w:rsidRPr="005B5418">
              <w:t>information for all consolidation entities administratively assigned to it?</w:t>
            </w:r>
            <w:r w:rsidR="00C409AB" w:rsidRPr="005B5418">
              <w:rPr>
                <w:rStyle w:val="FootnoteReference"/>
              </w:rPr>
              <w:t xml:space="preserve"> </w:t>
            </w:r>
            <w:r w:rsidR="00C409AB" w:rsidRPr="005B5418">
              <w:rPr>
                <w:rStyle w:val="FootnoteReference"/>
              </w:rPr>
              <w:footnoteReference w:id="4"/>
            </w:r>
            <w:r w:rsidR="00055277" w:rsidRPr="005B5418">
              <w:t xml:space="preserve"> (SFFAS 47 para. 66)</w:t>
            </w:r>
          </w:p>
          <w:p w14:paraId="3470B59A" w14:textId="17AE9970" w:rsidR="006425E0" w:rsidRPr="005B5418" w:rsidRDefault="006425E0" w:rsidP="006425E0">
            <w:pPr>
              <w:pStyle w:val="FAM-Table-outline"/>
              <w:numPr>
                <w:ilvl w:val="0"/>
                <w:numId w:val="0"/>
              </w:numPr>
              <w:ind w:left="666"/>
            </w:pPr>
          </w:p>
          <w:p w14:paraId="6008FACA" w14:textId="7F5E36B7" w:rsidR="00451C2B" w:rsidRPr="005B5418" w:rsidRDefault="00C55F7D" w:rsidP="006425E0">
            <w:pPr>
              <w:pStyle w:val="FAM-Table-outline"/>
              <w:numPr>
                <w:ilvl w:val="0"/>
                <w:numId w:val="0"/>
              </w:numPr>
              <w:ind w:left="666"/>
            </w:pPr>
            <w:r w:rsidRPr="005B5418">
              <w:t xml:space="preserve"> </w:t>
            </w:r>
            <w:r w:rsidR="00C409AB" w:rsidRPr="005B5418">
              <w:t xml:space="preserve"> </w:t>
            </w:r>
            <w:r w:rsidR="00451C2B" w:rsidRPr="005B5418">
              <w:t xml:space="preserve"> </w:t>
            </w:r>
          </w:p>
          <w:p w14:paraId="0E281ACF" w14:textId="74B3EAFB" w:rsidR="00451C2B" w:rsidRPr="005B5418" w:rsidRDefault="00451C2B" w:rsidP="00D928CB">
            <w:pPr>
              <w:pStyle w:val="FAM-Table-outline"/>
              <w:numPr>
                <w:ilvl w:val="0"/>
                <w:numId w:val="0"/>
              </w:numPr>
              <w:ind w:left="666"/>
            </w:pPr>
          </w:p>
        </w:tc>
        <w:tc>
          <w:tcPr>
            <w:tcW w:w="965" w:type="dxa"/>
          </w:tcPr>
          <w:p w14:paraId="33991DDD" w14:textId="77777777" w:rsidR="00451C2B" w:rsidRPr="005B5418" w:rsidDel="000F4E9F" w:rsidRDefault="00451C2B" w:rsidP="008848DA">
            <w:pPr>
              <w:spacing w:before="60" w:after="60" w:line="240" w:lineRule="auto"/>
              <w:jc w:val="center"/>
              <w:rPr>
                <w:rFonts w:cs="Arial"/>
                <w:b/>
                <w:bCs/>
              </w:rPr>
            </w:pPr>
          </w:p>
        </w:tc>
        <w:tc>
          <w:tcPr>
            <w:tcW w:w="3211" w:type="dxa"/>
            <w:gridSpan w:val="2"/>
          </w:tcPr>
          <w:p w14:paraId="141B76A3" w14:textId="77777777" w:rsidR="00451C2B" w:rsidRPr="005B5418" w:rsidDel="000F4E9F" w:rsidRDefault="00451C2B" w:rsidP="008848DA">
            <w:pPr>
              <w:spacing w:before="60" w:after="60" w:line="240" w:lineRule="auto"/>
              <w:rPr>
                <w:rFonts w:cs="Arial"/>
              </w:rPr>
            </w:pPr>
          </w:p>
        </w:tc>
      </w:tr>
      <w:tr w:rsidR="00BB0148" w:rsidRPr="005B5418" w14:paraId="6137BACF" w14:textId="77777777" w:rsidTr="00246E91">
        <w:trPr>
          <w:trHeight w:val="377"/>
        </w:trPr>
        <w:tc>
          <w:tcPr>
            <w:tcW w:w="9576" w:type="dxa"/>
            <w:gridSpan w:val="4"/>
          </w:tcPr>
          <w:p w14:paraId="4C1F20BC" w14:textId="4D79B3C9" w:rsidR="00BB0148" w:rsidRPr="005B5418" w:rsidRDefault="00BB0148">
            <w:pPr>
              <w:spacing w:before="60" w:after="60" w:line="240" w:lineRule="auto"/>
              <w:rPr>
                <w:rFonts w:ascii="Arial" w:hAnsi="Arial" w:cs="Arial"/>
              </w:rPr>
            </w:pPr>
            <w:r w:rsidRPr="005B5418">
              <w:rPr>
                <w:rFonts w:ascii="Arial" w:hAnsi="Arial" w:cs="Arial"/>
                <w:b/>
              </w:rPr>
              <w:t xml:space="preserve">Disclosure </w:t>
            </w:r>
          </w:p>
        </w:tc>
      </w:tr>
      <w:tr w:rsidR="00451C2B" w:rsidRPr="005B5418" w14:paraId="3320D4E7" w14:textId="77777777" w:rsidTr="00246E91">
        <w:trPr>
          <w:trHeight w:val="1133"/>
        </w:trPr>
        <w:tc>
          <w:tcPr>
            <w:tcW w:w="5400" w:type="dxa"/>
          </w:tcPr>
          <w:p w14:paraId="1E97F0A8" w14:textId="16CA71C1" w:rsidR="00451C2B" w:rsidRPr="005B5418" w:rsidRDefault="00451C2B" w:rsidP="00451C2B">
            <w:pPr>
              <w:pStyle w:val="FAM-Table-outline"/>
              <w:rPr>
                <w:rFonts w:cs="Arial"/>
                <w:color w:val="auto"/>
                <w:szCs w:val="22"/>
              </w:rPr>
            </w:pPr>
            <w:r w:rsidRPr="005B5418">
              <w:rPr>
                <w:rFonts w:cs="Arial"/>
                <w:color w:val="auto"/>
                <w:szCs w:val="22"/>
              </w:rPr>
              <w:t xml:space="preserve">If a component reporting entity’s financial statements were prepared in accordance with FASB standards and consolidated without conversion to FASAB standards, did the reporting entity disclose the use of multiple accounting standards? (SFFAS 47, paras. 66-68) </w:t>
            </w:r>
          </w:p>
          <w:p w14:paraId="25CF3FF4" w14:textId="77777777" w:rsidR="00451C2B" w:rsidRPr="005B5418" w:rsidRDefault="00451C2B" w:rsidP="00D928CB">
            <w:pPr>
              <w:pStyle w:val="FAM-Table-outline"/>
              <w:numPr>
                <w:ilvl w:val="0"/>
                <w:numId w:val="0"/>
              </w:numPr>
              <w:spacing w:line="240" w:lineRule="auto"/>
              <w:ind w:left="666" w:hanging="576"/>
              <w:rPr>
                <w:rFonts w:cs="Arial"/>
                <w:color w:val="auto"/>
                <w:szCs w:val="22"/>
              </w:rPr>
            </w:pPr>
          </w:p>
        </w:tc>
        <w:tc>
          <w:tcPr>
            <w:tcW w:w="965" w:type="dxa"/>
          </w:tcPr>
          <w:p w14:paraId="1AD52E8A" w14:textId="77777777" w:rsidR="00451C2B" w:rsidRPr="005B5418" w:rsidRDefault="00451C2B" w:rsidP="008848DA">
            <w:pPr>
              <w:spacing w:before="60" w:after="60" w:line="240" w:lineRule="auto"/>
              <w:jc w:val="center"/>
              <w:rPr>
                <w:rFonts w:cs="Arial"/>
                <w:b/>
                <w:bCs/>
              </w:rPr>
            </w:pPr>
          </w:p>
        </w:tc>
        <w:tc>
          <w:tcPr>
            <w:tcW w:w="3211" w:type="dxa"/>
            <w:gridSpan w:val="2"/>
          </w:tcPr>
          <w:p w14:paraId="7F6725C4" w14:textId="77777777" w:rsidR="00451C2B" w:rsidRPr="005B5418" w:rsidRDefault="00451C2B" w:rsidP="008848DA">
            <w:pPr>
              <w:spacing w:before="60" w:after="60" w:line="240" w:lineRule="auto"/>
              <w:rPr>
                <w:rFonts w:cs="Arial"/>
              </w:rPr>
            </w:pPr>
          </w:p>
        </w:tc>
      </w:tr>
      <w:tr w:rsidR="00BB0148" w:rsidRPr="005B5418" w14:paraId="43877148" w14:textId="77777777" w:rsidTr="008F094E">
        <w:trPr>
          <w:trHeight w:val="1421"/>
        </w:trPr>
        <w:tc>
          <w:tcPr>
            <w:tcW w:w="5400" w:type="dxa"/>
          </w:tcPr>
          <w:p w14:paraId="41F1C9DA" w14:textId="51C6AFC2" w:rsidR="00BB0148" w:rsidRPr="005B5418" w:rsidRDefault="00BB0148" w:rsidP="00BF16CD">
            <w:pPr>
              <w:pStyle w:val="FAM-Table-outline"/>
              <w:spacing w:line="240" w:lineRule="auto"/>
              <w:rPr>
                <w:rFonts w:cs="Arial"/>
                <w:color w:val="auto"/>
                <w:szCs w:val="22"/>
              </w:rPr>
            </w:pPr>
            <w:r w:rsidRPr="005B5418">
              <w:rPr>
                <w:rFonts w:cs="Arial"/>
                <w:color w:val="auto"/>
                <w:szCs w:val="22"/>
              </w:rPr>
              <w:t xml:space="preserve">For organizations classified as disclosure </w:t>
            </w:r>
            <w:r w:rsidR="007B61F7" w:rsidRPr="005B5418">
              <w:rPr>
                <w:rFonts w:cs="Arial"/>
                <w:color w:val="auto"/>
                <w:szCs w:val="22"/>
              </w:rPr>
              <w:t>entities</w:t>
            </w:r>
            <w:r w:rsidRPr="005B5418">
              <w:rPr>
                <w:rFonts w:cs="Arial"/>
                <w:color w:val="auto"/>
                <w:szCs w:val="22"/>
              </w:rPr>
              <w:t>, did the reporting entity consider both qualitative and quantitative materiality in determining the information presented? (SFFAS 47, par</w:t>
            </w:r>
            <w:r w:rsidR="007B61F7" w:rsidRPr="005B5418">
              <w:rPr>
                <w:rFonts w:cs="Arial"/>
                <w:color w:val="auto"/>
                <w:szCs w:val="22"/>
              </w:rPr>
              <w:t>a</w:t>
            </w:r>
            <w:r w:rsidRPr="005B5418">
              <w:rPr>
                <w:rFonts w:cs="Arial"/>
                <w:color w:val="auto"/>
                <w:szCs w:val="22"/>
              </w:rPr>
              <w:t>.</w:t>
            </w:r>
            <w:r w:rsidR="007B61F7" w:rsidRPr="005B5418">
              <w:rPr>
                <w:rFonts w:cs="Arial"/>
                <w:color w:val="auto"/>
                <w:szCs w:val="22"/>
              </w:rPr>
              <w:t xml:space="preserve"> </w:t>
            </w:r>
            <w:r w:rsidRPr="005B5418">
              <w:rPr>
                <w:rFonts w:cs="Arial"/>
                <w:color w:val="auto"/>
                <w:szCs w:val="22"/>
              </w:rPr>
              <w:t>71)</w:t>
            </w:r>
          </w:p>
        </w:tc>
        <w:tc>
          <w:tcPr>
            <w:tcW w:w="965" w:type="dxa"/>
          </w:tcPr>
          <w:p w14:paraId="73D9871C" w14:textId="77777777" w:rsidR="00BB0148" w:rsidRPr="005B5418" w:rsidRDefault="00BB0148" w:rsidP="008848DA">
            <w:pPr>
              <w:spacing w:before="60" w:after="60" w:line="240" w:lineRule="auto"/>
              <w:jc w:val="center"/>
              <w:rPr>
                <w:rFonts w:cs="Arial"/>
                <w:b/>
                <w:bCs/>
              </w:rPr>
            </w:pPr>
          </w:p>
        </w:tc>
        <w:tc>
          <w:tcPr>
            <w:tcW w:w="3211" w:type="dxa"/>
            <w:gridSpan w:val="2"/>
          </w:tcPr>
          <w:p w14:paraId="7B2131FB" w14:textId="77777777" w:rsidR="00BB0148" w:rsidRPr="005B5418" w:rsidRDefault="00BB0148" w:rsidP="008848DA">
            <w:pPr>
              <w:spacing w:before="60" w:after="60" w:line="240" w:lineRule="auto"/>
              <w:rPr>
                <w:rFonts w:cs="Arial"/>
              </w:rPr>
            </w:pPr>
          </w:p>
        </w:tc>
      </w:tr>
      <w:tr w:rsidR="00BB0148" w:rsidRPr="005B5418" w14:paraId="7146506B" w14:textId="77777777" w:rsidTr="00246E91">
        <w:trPr>
          <w:trHeight w:val="485"/>
        </w:trPr>
        <w:tc>
          <w:tcPr>
            <w:tcW w:w="5400" w:type="dxa"/>
          </w:tcPr>
          <w:p w14:paraId="3E119DD0" w14:textId="58E33F3C" w:rsidR="00BB0148" w:rsidRPr="005B5418" w:rsidRDefault="00BB0148" w:rsidP="00BF16CD">
            <w:pPr>
              <w:pStyle w:val="FAM-Table-outline"/>
              <w:spacing w:line="240" w:lineRule="auto"/>
              <w:rPr>
                <w:rFonts w:cs="Arial"/>
                <w:color w:val="auto"/>
                <w:szCs w:val="22"/>
              </w:rPr>
            </w:pPr>
            <w:r w:rsidRPr="005B5418">
              <w:rPr>
                <w:rFonts w:cs="Arial"/>
                <w:color w:val="auto"/>
                <w:szCs w:val="22"/>
              </w:rPr>
              <w:t>For organizations classified as disclosure entit</w:t>
            </w:r>
            <w:r w:rsidR="00E23D6A" w:rsidRPr="005B5418">
              <w:rPr>
                <w:rFonts w:cs="Arial"/>
                <w:color w:val="auto"/>
                <w:szCs w:val="22"/>
              </w:rPr>
              <w:t>ies</w:t>
            </w:r>
            <w:r w:rsidRPr="005B5418">
              <w:rPr>
                <w:rFonts w:cs="Arial"/>
                <w:color w:val="auto"/>
                <w:szCs w:val="22"/>
              </w:rPr>
              <w:t>, did the reporting entity consider the following factors in making judgments about the extent of appropriate disclosures:</w:t>
            </w:r>
          </w:p>
          <w:p w14:paraId="44E0196A" w14:textId="6010101B" w:rsidR="00BB0148" w:rsidRPr="005B5418" w:rsidRDefault="00E23D6A" w:rsidP="008F094E">
            <w:pPr>
              <w:pStyle w:val="FAM-Table-outline2"/>
              <w:spacing w:line="240" w:lineRule="auto"/>
              <w:ind w:left="1140" w:hanging="443"/>
            </w:pPr>
            <w:r w:rsidRPr="005B5418">
              <w:t>r</w:t>
            </w:r>
            <w:r w:rsidR="00BB0148" w:rsidRPr="005B5418">
              <w:t>elevance to reporting objectives</w:t>
            </w:r>
            <w:r w:rsidRPr="005B5418">
              <w:t>;</w:t>
            </w:r>
          </w:p>
          <w:p w14:paraId="643BE414" w14:textId="04E9304E" w:rsidR="00BB0148" w:rsidRPr="005B5418" w:rsidRDefault="00E23D6A" w:rsidP="008F094E">
            <w:pPr>
              <w:pStyle w:val="FAM-Table-outline2"/>
              <w:spacing w:line="240" w:lineRule="auto"/>
              <w:ind w:left="1140" w:hanging="443"/>
            </w:pPr>
            <w:r w:rsidRPr="005B5418">
              <w:t>n</w:t>
            </w:r>
            <w:r w:rsidR="00BB0148" w:rsidRPr="005B5418">
              <w:t>ature and magnitude of potential risks/exposures or benefits associated with the relationship</w:t>
            </w:r>
            <w:r w:rsidRPr="005B5418">
              <w:t>;</w:t>
            </w:r>
          </w:p>
          <w:p w14:paraId="68A9B4AC" w14:textId="34EF7B2F" w:rsidR="00BB0148" w:rsidRPr="005B5418" w:rsidRDefault="00E23D6A" w:rsidP="008F094E">
            <w:pPr>
              <w:pStyle w:val="FAM-Table-outline2"/>
              <w:spacing w:line="240" w:lineRule="auto"/>
              <w:ind w:left="1140" w:hanging="443"/>
            </w:pPr>
            <w:r w:rsidRPr="005B5418">
              <w:t>c</w:t>
            </w:r>
            <w:r w:rsidR="00BB0148" w:rsidRPr="005B5418">
              <w:t>omplexity of relationship</w:t>
            </w:r>
            <w:r w:rsidRPr="005B5418">
              <w:t>;</w:t>
            </w:r>
          </w:p>
          <w:p w14:paraId="5185096B" w14:textId="47E2BE42" w:rsidR="00BB0148" w:rsidRPr="005B5418" w:rsidRDefault="00E23D6A" w:rsidP="008F094E">
            <w:pPr>
              <w:pStyle w:val="FAM-Table-outline2"/>
              <w:spacing w:line="240" w:lineRule="auto"/>
              <w:ind w:left="1140" w:hanging="443"/>
            </w:pPr>
            <w:r w:rsidRPr="005B5418">
              <w:t>e</w:t>
            </w:r>
            <w:r w:rsidR="00BB0148" w:rsidRPr="005B5418">
              <w:t>xtent to which the information interests, or may be expected to interest, a wide audience</w:t>
            </w:r>
            <w:r w:rsidRPr="005B5418">
              <w:t>;</w:t>
            </w:r>
            <w:r w:rsidR="00053178" w:rsidRPr="005B5418">
              <w:t xml:space="preserve"> and</w:t>
            </w:r>
          </w:p>
          <w:p w14:paraId="77C72D07" w14:textId="1C029FD8" w:rsidR="00BB0148" w:rsidRPr="005B5418" w:rsidRDefault="00E23D6A" w:rsidP="008F094E">
            <w:pPr>
              <w:pStyle w:val="FAM-Table-outline2"/>
              <w:spacing w:line="240" w:lineRule="auto"/>
              <w:ind w:left="1140" w:hanging="443"/>
            </w:pPr>
            <w:r w:rsidRPr="005B5418">
              <w:t>e</w:t>
            </w:r>
            <w:r w:rsidR="00BB0148" w:rsidRPr="005B5418">
              <w:t>xtent to which there are no alternative sources of reliable information? (SFFAS 47, par</w:t>
            </w:r>
            <w:r w:rsidRPr="005B5418">
              <w:t>a</w:t>
            </w:r>
            <w:r w:rsidR="00BB0148" w:rsidRPr="005B5418">
              <w:t>.</w:t>
            </w:r>
            <w:r w:rsidRPr="005B5418">
              <w:t xml:space="preserve"> </w:t>
            </w:r>
            <w:r w:rsidR="00BB0148" w:rsidRPr="005B5418">
              <w:t>71)</w:t>
            </w:r>
          </w:p>
        </w:tc>
        <w:tc>
          <w:tcPr>
            <w:tcW w:w="965" w:type="dxa"/>
          </w:tcPr>
          <w:p w14:paraId="2F17599C" w14:textId="77777777" w:rsidR="00BB0148" w:rsidRPr="005B5418" w:rsidRDefault="00BB0148" w:rsidP="008848DA">
            <w:pPr>
              <w:spacing w:before="60" w:after="60" w:line="240" w:lineRule="auto"/>
              <w:jc w:val="center"/>
              <w:rPr>
                <w:rFonts w:cs="Arial"/>
                <w:b/>
                <w:bCs/>
              </w:rPr>
            </w:pPr>
          </w:p>
        </w:tc>
        <w:tc>
          <w:tcPr>
            <w:tcW w:w="3211" w:type="dxa"/>
            <w:gridSpan w:val="2"/>
          </w:tcPr>
          <w:p w14:paraId="2DD57716" w14:textId="77777777" w:rsidR="00BB0148" w:rsidRPr="005B5418" w:rsidRDefault="00BB0148" w:rsidP="008848DA">
            <w:pPr>
              <w:spacing w:before="60" w:after="60" w:line="240" w:lineRule="auto"/>
              <w:rPr>
                <w:rFonts w:cs="Arial"/>
              </w:rPr>
            </w:pPr>
          </w:p>
        </w:tc>
      </w:tr>
      <w:tr w:rsidR="00BB0148" w:rsidRPr="005B5418" w14:paraId="2B8D3BAD" w14:textId="77777777" w:rsidTr="00FD2015">
        <w:trPr>
          <w:trHeight w:val="467"/>
        </w:trPr>
        <w:tc>
          <w:tcPr>
            <w:tcW w:w="5400" w:type="dxa"/>
          </w:tcPr>
          <w:p w14:paraId="31881960" w14:textId="19A3D9B9" w:rsidR="00BB0148" w:rsidRPr="005B5418" w:rsidRDefault="00BB0148" w:rsidP="008848DA">
            <w:pPr>
              <w:pStyle w:val="FAM-Table-outline"/>
              <w:spacing w:line="240" w:lineRule="auto"/>
            </w:pPr>
            <w:r w:rsidRPr="005B5418">
              <w:t>For organizations classified as disclosure entit</w:t>
            </w:r>
            <w:r w:rsidR="006A683A" w:rsidRPr="005B5418">
              <w:t>ies</w:t>
            </w:r>
            <w:r w:rsidRPr="005B5418">
              <w:t xml:space="preserve">, did the reporting entity consider other qualitative and quantitative factors in determining whether information </w:t>
            </w:r>
            <w:r w:rsidR="006A683A" w:rsidRPr="005B5418">
              <w:t xml:space="preserve">should </w:t>
            </w:r>
            <w:r w:rsidRPr="005B5418">
              <w:t xml:space="preserve">be </w:t>
            </w:r>
            <w:r w:rsidRPr="005B5418">
              <w:lastRenderedPageBreak/>
              <w:t>presented separately due to its significance or aggregated</w:t>
            </w:r>
            <w:r w:rsidR="00414CFA" w:rsidRPr="005B5418">
              <w:t xml:space="preserve"> </w:t>
            </w:r>
            <w:r w:rsidR="00414CFA" w:rsidRPr="005B5418">
              <w:rPr>
                <w:rFonts w:cs="Arial"/>
                <w:color w:val="auto"/>
                <w:szCs w:val="22"/>
              </w:rPr>
              <w:t>with information regarding other disclosure entities?</w:t>
            </w:r>
            <w:r w:rsidRPr="005B5418">
              <w:rPr>
                <w:vertAlign w:val="superscript"/>
              </w:rPr>
              <w:footnoteReference w:id="5"/>
            </w:r>
            <w:r w:rsidRPr="005B5418">
              <w:t xml:space="preserve"> (SFFAS 47, par</w:t>
            </w:r>
            <w:r w:rsidR="00414CFA" w:rsidRPr="005B5418">
              <w:t>a</w:t>
            </w:r>
            <w:r w:rsidRPr="005B5418">
              <w:t>.</w:t>
            </w:r>
            <w:r w:rsidR="00414CFA" w:rsidRPr="005B5418">
              <w:t xml:space="preserve"> </w:t>
            </w:r>
            <w:r w:rsidRPr="005B5418">
              <w:t>72)</w:t>
            </w:r>
          </w:p>
        </w:tc>
        <w:tc>
          <w:tcPr>
            <w:tcW w:w="965" w:type="dxa"/>
          </w:tcPr>
          <w:p w14:paraId="4D423F22" w14:textId="77777777" w:rsidR="00BB0148" w:rsidRPr="005B5418" w:rsidRDefault="00BB0148" w:rsidP="008848DA">
            <w:pPr>
              <w:spacing w:before="60" w:after="60" w:line="240" w:lineRule="auto"/>
              <w:jc w:val="center"/>
              <w:rPr>
                <w:rFonts w:cs="Arial"/>
                <w:b/>
                <w:bCs/>
              </w:rPr>
            </w:pPr>
          </w:p>
        </w:tc>
        <w:tc>
          <w:tcPr>
            <w:tcW w:w="3211" w:type="dxa"/>
            <w:gridSpan w:val="2"/>
          </w:tcPr>
          <w:p w14:paraId="017CCB3B" w14:textId="77777777" w:rsidR="00BB0148" w:rsidRPr="005B5418" w:rsidRDefault="00BB0148" w:rsidP="008848DA">
            <w:pPr>
              <w:spacing w:before="60" w:after="60" w:line="240" w:lineRule="auto"/>
              <w:rPr>
                <w:rFonts w:cs="Arial"/>
              </w:rPr>
            </w:pPr>
          </w:p>
        </w:tc>
      </w:tr>
      <w:tr w:rsidR="00BB0148" w:rsidRPr="005B5418" w14:paraId="44E47AF7" w14:textId="77777777" w:rsidTr="00033C0B">
        <w:trPr>
          <w:trHeight w:val="431"/>
        </w:trPr>
        <w:tc>
          <w:tcPr>
            <w:tcW w:w="5400" w:type="dxa"/>
          </w:tcPr>
          <w:p w14:paraId="643719E3" w14:textId="651FDD86" w:rsidR="00BB0148" w:rsidRPr="005B5418" w:rsidRDefault="00BB0148" w:rsidP="008848DA">
            <w:pPr>
              <w:pStyle w:val="FAM-Table-outline"/>
              <w:spacing w:line="240" w:lineRule="auto"/>
            </w:pPr>
            <w:r w:rsidRPr="005B5418">
              <w:t>For organizations classified as disclosure entit</w:t>
            </w:r>
            <w:r w:rsidR="003A723C" w:rsidRPr="005B5418">
              <w:t>ies</w:t>
            </w:r>
            <w:r w:rsidRPr="005B5418">
              <w:t>, did the reporting entity integrate</w:t>
            </w:r>
            <w:r w:rsidR="003A723C" w:rsidRPr="005B5418">
              <w:t xml:space="preserve"> </w:t>
            </w:r>
            <w:r w:rsidR="003A723C" w:rsidRPr="005B5418">
              <w:rPr>
                <w:rFonts w:cs="Arial"/>
                <w:color w:val="auto"/>
                <w:szCs w:val="22"/>
              </w:rPr>
              <w:t>the disclosures so that concise, meaningful, and transparent information is provided?</w:t>
            </w:r>
            <w:r w:rsidRPr="005B5418">
              <w:rPr>
                <w:vertAlign w:val="superscript"/>
              </w:rPr>
              <w:footnoteReference w:id="6"/>
            </w:r>
            <w:r w:rsidRPr="005B5418">
              <w:t xml:space="preserve"> (SFFAS 47, par</w:t>
            </w:r>
            <w:r w:rsidR="00414CFA" w:rsidRPr="005B5418">
              <w:t>a</w:t>
            </w:r>
            <w:r w:rsidRPr="005B5418">
              <w:t>.</w:t>
            </w:r>
            <w:r w:rsidR="00414CFA" w:rsidRPr="005B5418">
              <w:t xml:space="preserve"> </w:t>
            </w:r>
            <w:r w:rsidRPr="005B5418">
              <w:t>73)</w:t>
            </w:r>
          </w:p>
        </w:tc>
        <w:tc>
          <w:tcPr>
            <w:tcW w:w="965" w:type="dxa"/>
          </w:tcPr>
          <w:p w14:paraId="30E90E18" w14:textId="77777777" w:rsidR="00BB0148" w:rsidRPr="005B5418" w:rsidRDefault="00BB0148" w:rsidP="008848DA">
            <w:pPr>
              <w:spacing w:before="60" w:after="60" w:line="240" w:lineRule="auto"/>
              <w:jc w:val="center"/>
              <w:rPr>
                <w:rFonts w:cs="Arial"/>
                <w:b/>
                <w:bCs/>
              </w:rPr>
            </w:pPr>
          </w:p>
        </w:tc>
        <w:tc>
          <w:tcPr>
            <w:tcW w:w="3211" w:type="dxa"/>
            <w:gridSpan w:val="2"/>
          </w:tcPr>
          <w:p w14:paraId="77CE6ACF" w14:textId="77777777" w:rsidR="00BB0148" w:rsidRPr="005B5418" w:rsidRDefault="00BB0148" w:rsidP="008848DA">
            <w:pPr>
              <w:spacing w:before="60" w:after="60" w:line="240" w:lineRule="auto"/>
              <w:rPr>
                <w:rFonts w:cs="Arial"/>
              </w:rPr>
            </w:pPr>
          </w:p>
        </w:tc>
      </w:tr>
      <w:tr w:rsidR="00BB0148" w:rsidRPr="005B5418" w14:paraId="646F848E" w14:textId="77777777" w:rsidTr="00246E91">
        <w:trPr>
          <w:trHeight w:val="2160"/>
        </w:trPr>
        <w:tc>
          <w:tcPr>
            <w:tcW w:w="5400" w:type="dxa"/>
          </w:tcPr>
          <w:p w14:paraId="0C4E21A3" w14:textId="495CA41A" w:rsidR="00BB0148" w:rsidRPr="005B5418" w:rsidRDefault="00BB0148" w:rsidP="005B4C99">
            <w:pPr>
              <w:pStyle w:val="FAM-Table-outline"/>
              <w:tabs>
                <w:tab w:val="clear" w:pos="666"/>
                <w:tab w:val="num" w:pos="697"/>
              </w:tabs>
              <w:spacing w:line="240" w:lineRule="auto"/>
              <w:rPr>
                <w:rFonts w:cs="Arial"/>
                <w:color w:val="auto"/>
                <w:szCs w:val="22"/>
              </w:rPr>
            </w:pPr>
            <w:r w:rsidRPr="005B5418">
              <w:rPr>
                <w:rFonts w:cs="Arial"/>
                <w:color w:val="auto"/>
                <w:szCs w:val="22"/>
              </w:rPr>
              <w:t>For each significant disclosure entity and aggregation of disclosure entities, did the reporting entity disclose information to meet the following objectives</w:t>
            </w:r>
            <w:r w:rsidR="00BF60F1" w:rsidRPr="005B5418">
              <w:rPr>
                <w:rFonts w:cs="Arial"/>
                <w:color w:val="auto"/>
                <w:szCs w:val="22"/>
              </w:rPr>
              <w:t>:</w:t>
            </w:r>
            <w:r w:rsidRPr="005B5418">
              <w:rPr>
                <w:rStyle w:val="FootnoteReference"/>
                <w:rFonts w:cs="Arial"/>
                <w:color w:val="auto"/>
                <w:szCs w:val="22"/>
              </w:rPr>
              <w:footnoteReference w:id="7"/>
            </w:r>
            <w:r w:rsidRPr="005B5418">
              <w:rPr>
                <w:rFonts w:cs="Arial"/>
                <w:color w:val="auto"/>
                <w:szCs w:val="22"/>
              </w:rPr>
              <w:t xml:space="preserve"> </w:t>
            </w:r>
          </w:p>
          <w:p w14:paraId="2C6D1DC4" w14:textId="639D1D4F" w:rsidR="00BB0148" w:rsidRPr="005B5418" w:rsidRDefault="00BF60F1" w:rsidP="008F094E">
            <w:pPr>
              <w:pStyle w:val="FAM-Table-outline2"/>
              <w:spacing w:line="240" w:lineRule="auto"/>
              <w:ind w:left="1140" w:hanging="443"/>
            </w:pPr>
            <w:r w:rsidRPr="005B5418">
              <w:t xml:space="preserve">relationship </w:t>
            </w:r>
            <w:r w:rsidR="00BB0148" w:rsidRPr="005B5418">
              <w:t>and organization</w:t>
            </w:r>
            <w:r w:rsidR="00053178" w:rsidRPr="005B5418">
              <w:t>,</w:t>
            </w:r>
          </w:p>
          <w:p w14:paraId="711BC0D7" w14:textId="729A511B" w:rsidR="00BB0148" w:rsidRPr="005B5418" w:rsidRDefault="00BF60F1" w:rsidP="008F094E">
            <w:pPr>
              <w:pStyle w:val="FAM-Table-outline2"/>
              <w:spacing w:line="240" w:lineRule="auto"/>
              <w:ind w:left="1140" w:hanging="443"/>
            </w:pPr>
            <w:r w:rsidRPr="005B5418">
              <w:t xml:space="preserve">relevant </w:t>
            </w:r>
            <w:r w:rsidR="00BB0148" w:rsidRPr="005B5418">
              <w:t>activity</w:t>
            </w:r>
            <w:r w:rsidR="00053178" w:rsidRPr="005B5418">
              <w:t>, and</w:t>
            </w:r>
          </w:p>
          <w:p w14:paraId="50C1F3BD" w14:textId="0332D27E" w:rsidR="00BB0148" w:rsidRPr="005B5418" w:rsidRDefault="00BF60F1" w:rsidP="008F094E">
            <w:pPr>
              <w:pStyle w:val="FAM-Table-outline2"/>
              <w:spacing w:line="240" w:lineRule="auto"/>
              <w:ind w:left="1140" w:hanging="443"/>
            </w:pPr>
            <w:r w:rsidRPr="005B5418">
              <w:t xml:space="preserve">future </w:t>
            </w:r>
            <w:r w:rsidR="00BB0148" w:rsidRPr="005B5418">
              <w:t>exposures? (SFFAS 47, par</w:t>
            </w:r>
            <w:r w:rsidRPr="005B5418">
              <w:t>a</w:t>
            </w:r>
            <w:r w:rsidR="00BB0148" w:rsidRPr="005B5418">
              <w:t>.</w:t>
            </w:r>
            <w:r w:rsidRPr="005B5418">
              <w:t xml:space="preserve"> </w:t>
            </w:r>
            <w:r w:rsidR="00BB0148" w:rsidRPr="005B5418">
              <w:t>74)</w:t>
            </w:r>
          </w:p>
        </w:tc>
        <w:tc>
          <w:tcPr>
            <w:tcW w:w="965" w:type="dxa"/>
          </w:tcPr>
          <w:p w14:paraId="3BB06869" w14:textId="77777777" w:rsidR="00BB0148" w:rsidRPr="005B5418" w:rsidRDefault="00BB0148" w:rsidP="008848DA">
            <w:pPr>
              <w:spacing w:before="60" w:after="60" w:line="240" w:lineRule="auto"/>
              <w:jc w:val="center"/>
              <w:rPr>
                <w:rFonts w:cs="Arial"/>
                <w:b/>
                <w:bCs/>
              </w:rPr>
            </w:pPr>
          </w:p>
        </w:tc>
        <w:tc>
          <w:tcPr>
            <w:tcW w:w="3211" w:type="dxa"/>
            <w:gridSpan w:val="2"/>
          </w:tcPr>
          <w:p w14:paraId="79A25A4F" w14:textId="77777777" w:rsidR="00BB0148" w:rsidRPr="005B5418" w:rsidRDefault="00BB0148" w:rsidP="008848DA">
            <w:pPr>
              <w:spacing w:before="60" w:after="60" w:line="240" w:lineRule="auto"/>
              <w:rPr>
                <w:rFonts w:cs="Arial"/>
              </w:rPr>
            </w:pPr>
          </w:p>
        </w:tc>
      </w:tr>
      <w:tr w:rsidR="00BB0148" w:rsidRPr="005B5418" w14:paraId="34E17775" w14:textId="77777777" w:rsidTr="008848DA">
        <w:trPr>
          <w:trHeight w:hRule="exact" w:val="490"/>
        </w:trPr>
        <w:tc>
          <w:tcPr>
            <w:tcW w:w="9576" w:type="dxa"/>
            <w:gridSpan w:val="4"/>
          </w:tcPr>
          <w:p w14:paraId="253D1F2B" w14:textId="77777777" w:rsidR="00BB0148" w:rsidRPr="005B5418" w:rsidRDefault="00BB0148" w:rsidP="008848DA">
            <w:pPr>
              <w:autoSpaceDE w:val="0"/>
              <w:autoSpaceDN w:val="0"/>
              <w:spacing w:before="60" w:after="60" w:line="240" w:lineRule="auto"/>
              <w:rPr>
                <w:rFonts w:ascii="Arial" w:hAnsi="Arial" w:cs="Arial"/>
                <w:b/>
              </w:rPr>
            </w:pPr>
            <w:r w:rsidRPr="005B5418">
              <w:rPr>
                <w:rFonts w:ascii="Arial" w:hAnsi="Arial" w:cs="Arial"/>
                <w:b/>
              </w:rPr>
              <w:t>Related Parties</w:t>
            </w:r>
          </w:p>
        </w:tc>
      </w:tr>
      <w:tr w:rsidR="00BB0148" w:rsidRPr="005B5418" w14:paraId="3AB38917" w14:textId="77777777" w:rsidTr="00246E91">
        <w:trPr>
          <w:trHeight w:val="953"/>
        </w:trPr>
        <w:tc>
          <w:tcPr>
            <w:tcW w:w="9576" w:type="dxa"/>
            <w:gridSpan w:val="4"/>
          </w:tcPr>
          <w:p w14:paraId="48B09E3E" w14:textId="5158764E" w:rsidR="00BB0148" w:rsidRPr="005B5418" w:rsidRDefault="00BB0148" w:rsidP="008848DA">
            <w:pPr>
              <w:autoSpaceDE w:val="0"/>
              <w:autoSpaceDN w:val="0"/>
              <w:spacing w:before="60" w:after="60" w:line="240" w:lineRule="auto"/>
              <w:rPr>
                <w:rFonts w:ascii="Arial" w:hAnsi="Arial" w:cs="Arial"/>
              </w:rPr>
            </w:pPr>
            <w:r w:rsidRPr="005B5418">
              <w:rPr>
                <w:rFonts w:ascii="Arial" w:hAnsi="Arial" w:cs="Arial"/>
              </w:rPr>
              <w:t>Organizations are considered to be related parties in the GPFFR if the existing relationship (i.e., material transactions or events involving both parties) or one party to the existing relationship has the ability to exercise significant influence</w:t>
            </w:r>
            <w:r w:rsidR="00EB4412" w:rsidRPr="005B5418">
              <w:t xml:space="preserve"> </w:t>
            </w:r>
            <w:r w:rsidR="00EB4412" w:rsidRPr="005B5418">
              <w:rPr>
                <w:rFonts w:ascii="Arial" w:hAnsi="Arial" w:cs="Arial"/>
              </w:rPr>
              <w:t>over the other party’s policy decisions.</w:t>
            </w:r>
            <w:r w:rsidRPr="005B5418">
              <w:rPr>
                <w:rFonts w:ascii="Arial" w:hAnsi="Arial" w:cs="Arial"/>
                <w:vertAlign w:val="superscript"/>
              </w:rPr>
              <w:footnoteReference w:id="8"/>
            </w:r>
            <w:r w:rsidRPr="005B5418">
              <w:rPr>
                <w:rFonts w:ascii="Arial" w:hAnsi="Arial" w:cs="Arial"/>
              </w:rPr>
              <w:t xml:space="preserve"> (SFFAS 47, par</w:t>
            </w:r>
            <w:r w:rsidR="008C6D75" w:rsidRPr="005B5418">
              <w:rPr>
                <w:rFonts w:ascii="Arial" w:hAnsi="Arial" w:cs="Arial"/>
              </w:rPr>
              <w:t>a</w:t>
            </w:r>
            <w:r w:rsidRPr="005B5418">
              <w:rPr>
                <w:rFonts w:ascii="Arial" w:hAnsi="Arial" w:cs="Arial"/>
              </w:rPr>
              <w:t>.</w:t>
            </w:r>
            <w:r w:rsidR="008C6D75" w:rsidRPr="005B5418">
              <w:rPr>
                <w:rFonts w:ascii="Arial" w:hAnsi="Arial" w:cs="Arial"/>
              </w:rPr>
              <w:t xml:space="preserve"> </w:t>
            </w:r>
            <w:r w:rsidRPr="005B5418">
              <w:rPr>
                <w:rFonts w:ascii="Arial" w:hAnsi="Arial" w:cs="Arial"/>
              </w:rPr>
              <w:t>81)</w:t>
            </w:r>
          </w:p>
        </w:tc>
      </w:tr>
      <w:tr w:rsidR="00BB0148" w:rsidRPr="005B5418" w14:paraId="19BD1872" w14:textId="77777777" w:rsidTr="008F094E">
        <w:trPr>
          <w:trHeight w:val="701"/>
        </w:trPr>
        <w:tc>
          <w:tcPr>
            <w:tcW w:w="5400" w:type="dxa"/>
          </w:tcPr>
          <w:p w14:paraId="149F05A9" w14:textId="79BEEEE6" w:rsidR="00347D18" w:rsidRPr="005B5418" w:rsidRDefault="004721C3" w:rsidP="005B4C99">
            <w:pPr>
              <w:pStyle w:val="FAM-Table-outline"/>
              <w:tabs>
                <w:tab w:val="clear" w:pos="666"/>
                <w:tab w:val="num" w:pos="697"/>
              </w:tabs>
              <w:spacing w:line="240" w:lineRule="auto"/>
              <w:rPr>
                <w:color w:val="auto"/>
                <w:szCs w:val="22"/>
              </w:rPr>
            </w:pPr>
            <w:r w:rsidRPr="005B5418">
              <w:t>F</w:t>
            </w:r>
            <w:r w:rsidR="00BB0148" w:rsidRPr="005B5418">
              <w:t xml:space="preserve">or </w:t>
            </w:r>
            <w:r w:rsidRPr="005B5418">
              <w:t>related-</w:t>
            </w:r>
            <w:r w:rsidR="00BB0148" w:rsidRPr="005B5418">
              <w:t xml:space="preserve">party relationships of such significance to the reporting entity that it would be misleading to exclude information about </w:t>
            </w:r>
            <w:r w:rsidRPr="005B5418">
              <w:t xml:space="preserve">them, </w:t>
            </w:r>
            <w:r w:rsidRPr="005B5418">
              <w:rPr>
                <w:rFonts w:cs="Arial"/>
              </w:rPr>
              <w:t>did the agency disclose</w:t>
            </w:r>
            <w:r w:rsidR="00BB0148" w:rsidRPr="005B5418">
              <w:t xml:space="preserve"> the </w:t>
            </w:r>
          </w:p>
          <w:p w14:paraId="33A8D0C1" w14:textId="730D079D" w:rsidR="00347D18" w:rsidRPr="005B5418" w:rsidRDefault="004721C3" w:rsidP="008F094E">
            <w:pPr>
              <w:pStyle w:val="FAM-Table-outline2"/>
              <w:spacing w:line="240" w:lineRule="auto"/>
              <w:ind w:left="1140" w:hanging="443"/>
            </w:pPr>
            <w:r w:rsidRPr="005B5418">
              <w:t xml:space="preserve">nature </w:t>
            </w:r>
            <w:r w:rsidR="00BB0148" w:rsidRPr="005B5418">
              <w:t>of the reporting entity relationship with the party, including the name of the party or if aggregated a description of the related parties</w:t>
            </w:r>
            <w:r w:rsidR="00053178" w:rsidRPr="005B5418">
              <w:t>, and</w:t>
            </w:r>
          </w:p>
          <w:p w14:paraId="6E5D43F8" w14:textId="0F5B4686" w:rsidR="00BB0148" w:rsidRPr="005B5418" w:rsidRDefault="004721C3" w:rsidP="008F094E">
            <w:pPr>
              <w:pStyle w:val="FAM-Table-outline2"/>
              <w:spacing w:line="240" w:lineRule="auto"/>
              <w:ind w:left="1140" w:hanging="443"/>
              <w:rPr>
                <w:rFonts w:cs="Arial"/>
              </w:rPr>
            </w:pPr>
            <w:r w:rsidRPr="005B5418">
              <w:rPr>
                <w:rFonts w:cs="Arial"/>
              </w:rPr>
              <w:t xml:space="preserve">other </w:t>
            </w:r>
            <w:r w:rsidR="00BB0148" w:rsidRPr="005B5418">
              <w:rPr>
                <w:rFonts w:cs="Arial"/>
              </w:rPr>
              <w:t xml:space="preserve">information that would provide an understanding of the relationship and potential financial reporting impact, including financial-related exposures to risk of loss or potential gain to the reporting entity resulting from the </w:t>
            </w:r>
            <w:r w:rsidR="00BB0148" w:rsidRPr="005B5418">
              <w:rPr>
                <w:rFonts w:cs="Arial"/>
              </w:rPr>
              <w:lastRenderedPageBreak/>
              <w:t>relationship? (SFFAS 47, par</w:t>
            </w:r>
            <w:r w:rsidR="00566E01" w:rsidRPr="005B5418">
              <w:rPr>
                <w:rFonts w:cs="Arial"/>
              </w:rPr>
              <w:t>a</w:t>
            </w:r>
            <w:r w:rsidR="00BB0148" w:rsidRPr="005B5418">
              <w:rPr>
                <w:rFonts w:cs="Arial"/>
              </w:rPr>
              <w:t>.</w:t>
            </w:r>
            <w:r w:rsidR="004E109E" w:rsidRPr="005B5418">
              <w:rPr>
                <w:rFonts w:cs="Arial"/>
              </w:rPr>
              <w:t xml:space="preserve"> </w:t>
            </w:r>
            <w:r w:rsidR="00BB0148" w:rsidRPr="005B5418">
              <w:rPr>
                <w:rFonts w:cs="Arial"/>
              </w:rPr>
              <w:t>89</w:t>
            </w:r>
            <w:r w:rsidR="00C8298F" w:rsidRPr="005B5418">
              <w:rPr>
                <w:rFonts w:cs="Arial"/>
              </w:rPr>
              <w:t>)</w:t>
            </w:r>
          </w:p>
        </w:tc>
        <w:tc>
          <w:tcPr>
            <w:tcW w:w="965" w:type="dxa"/>
          </w:tcPr>
          <w:p w14:paraId="0B05625B" w14:textId="77777777" w:rsidR="00BB0148" w:rsidRPr="005B5418" w:rsidRDefault="00BB0148" w:rsidP="008848DA">
            <w:pPr>
              <w:spacing w:before="60" w:after="60" w:line="240" w:lineRule="auto"/>
              <w:jc w:val="center"/>
              <w:rPr>
                <w:rFonts w:ascii="Arial" w:hAnsi="Arial" w:cs="Arial"/>
                <w:b/>
                <w:bCs/>
              </w:rPr>
            </w:pPr>
          </w:p>
        </w:tc>
        <w:tc>
          <w:tcPr>
            <w:tcW w:w="3211" w:type="dxa"/>
            <w:gridSpan w:val="2"/>
          </w:tcPr>
          <w:p w14:paraId="689AE7D7" w14:textId="77777777" w:rsidR="00BB0148" w:rsidRPr="005B5418" w:rsidRDefault="00BB0148" w:rsidP="008848DA">
            <w:pPr>
              <w:spacing w:before="60" w:after="60" w:line="240" w:lineRule="auto"/>
              <w:rPr>
                <w:rFonts w:ascii="Arial" w:hAnsi="Arial" w:cs="Arial"/>
              </w:rPr>
            </w:pPr>
          </w:p>
        </w:tc>
      </w:tr>
    </w:tbl>
    <w:p w14:paraId="065F9221" w14:textId="77777777" w:rsidR="005E6D03" w:rsidRPr="005B5418" w:rsidRDefault="005E6D03" w:rsidP="003B61E9">
      <w:pPr>
        <w:spacing w:line="240" w:lineRule="auto"/>
        <w:sectPr w:rsidR="005E6D03" w:rsidRPr="005B5418">
          <w:pgSz w:w="12240" w:h="15840"/>
          <w:pgMar w:top="1440" w:right="1440" w:bottom="1440" w:left="1440" w:header="720" w:footer="720" w:gutter="0"/>
          <w:cols w:space="720"/>
          <w:docGrid w:linePitch="360"/>
        </w:sectPr>
      </w:pPr>
    </w:p>
    <w:p w14:paraId="1B759EC2" w14:textId="25C81DEE" w:rsidR="008D177A" w:rsidRPr="005B5418" w:rsidRDefault="008D177A" w:rsidP="003B61E9">
      <w:pPr>
        <w:pStyle w:val="Heading3"/>
        <w:spacing w:line="240" w:lineRule="auto"/>
      </w:pPr>
      <w:bookmarkStart w:id="38" w:name="_Section_II.1_–"/>
      <w:bookmarkStart w:id="39" w:name="_Toc18571191"/>
      <w:bookmarkEnd w:id="38"/>
      <w:r w:rsidRPr="005B5418">
        <w:lastRenderedPageBreak/>
        <w:t>Section II.1</w:t>
      </w:r>
      <w:r w:rsidR="008254B4" w:rsidRPr="005B5418">
        <w:t xml:space="preserve"> </w:t>
      </w:r>
      <w:r w:rsidRPr="005B5418">
        <w:t>– Required Contents of the AFR or PAR</w:t>
      </w:r>
      <w:bookmarkEnd w:id="39"/>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65"/>
        <w:gridCol w:w="3211"/>
      </w:tblGrid>
      <w:tr w:rsidR="00B35B53" w:rsidRPr="005B5418" w14:paraId="7145D4A3" w14:textId="77777777" w:rsidTr="00597B33">
        <w:trPr>
          <w:tblHeader/>
        </w:trPr>
        <w:tc>
          <w:tcPr>
            <w:tcW w:w="5400" w:type="dxa"/>
          </w:tcPr>
          <w:p w14:paraId="0A5836BF" w14:textId="4ABC9470" w:rsidR="00B35B53" w:rsidRPr="005B5418" w:rsidRDefault="00B35B53" w:rsidP="008254B4">
            <w:pPr>
              <w:pStyle w:val="Heading4"/>
              <w:spacing w:line="240" w:lineRule="auto"/>
              <w:jc w:val="left"/>
              <w:rPr>
                <w:b/>
                <w:vanish/>
                <w:szCs w:val="20"/>
                <w:u w:val="none"/>
              </w:rPr>
            </w:pPr>
            <w:bookmarkStart w:id="40" w:name="_Hlk192831960"/>
            <w:r w:rsidRPr="005B5418">
              <w:rPr>
                <w:b/>
                <w:u w:val="none"/>
              </w:rPr>
              <w:t>II.</w:t>
            </w:r>
            <w:r w:rsidR="002E33BE" w:rsidRPr="005B5418">
              <w:rPr>
                <w:b/>
                <w:u w:val="none"/>
              </w:rPr>
              <w:t>1</w:t>
            </w:r>
            <w:r w:rsidRPr="005B5418">
              <w:rPr>
                <w:b/>
                <w:u w:val="none"/>
              </w:rPr>
              <w:t xml:space="preserve"> </w:t>
            </w:r>
            <w:r w:rsidR="00825817" w:rsidRPr="005B5418">
              <w:rPr>
                <w:b/>
                <w:u w:val="none"/>
              </w:rPr>
              <w:t>– Required Contents of the AFR or PAR</w:t>
            </w:r>
          </w:p>
        </w:tc>
        <w:tc>
          <w:tcPr>
            <w:tcW w:w="965" w:type="dxa"/>
          </w:tcPr>
          <w:p w14:paraId="7538EEB0" w14:textId="77777777" w:rsidR="00B35B53" w:rsidRPr="005B5418" w:rsidRDefault="00B35B53" w:rsidP="00597B33">
            <w:pPr>
              <w:pStyle w:val="TableCellCenter"/>
              <w:jc w:val="left"/>
            </w:pPr>
            <w:r w:rsidRPr="005B5418">
              <w:t>Yes, No, or N/A</w:t>
            </w:r>
          </w:p>
        </w:tc>
        <w:tc>
          <w:tcPr>
            <w:tcW w:w="3211" w:type="dxa"/>
          </w:tcPr>
          <w:p w14:paraId="2429C3B6" w14:textId="37C56A4B" w:rsidR="00B35B53" w:rsidRPr="005B5418" w:rsidRDefault="00B35B53" w:rsidP="008A5FC3">
            <w:pPr>
              <w:pStyle w:val="TableCellCenter"/>
              <w:jc w:val="left"/>
            </w:pPr>
            <w:r w:rsidRPr="005B5418">
              <w:t xml:space="preserve">Explanation </w:t>
            </w:r>
            <w:r w:rsidR="008A5FC3" w:rsidRPr="005B5418">
              <w:t xml:space="preserve">and </w:t>
            </w:r>
            <w:r w:rsidRPr="005B5418">
              <w:t>Reference</w:t>
            </w:r>
          </w:p>
        </w:tc>
      </w:tr>
      <w:tr w:rsidR="00B35B53" w:rsidRPr="005B5418" w14:paraId="5363F824" w14:textId="77777777" w:rsidTr="00FD2015">
        <w:trPr>
          <w:trHeight w:val="4895"/>
        </w:trPr>
        <w:tc>
          <w:tcPr>
            <w:tcW w:w="5400" w:type="dxa"/>
          </w:tcPr>
          <w:p w14:paraId="1EFB61E9" w14:textId="1D90CF5F" w:rsidR="00B35B53" w:rsidRPr="005425ED" w:rsidRDefault="00B35B53" w:rsidP="005425ED">
            <w:pPr>
              <w:pStyle w:val="FAM-Table-outline"/>
              <w:numPr>
                <w:ilvl w:val="0"/>
                <w:numId w:val="153"/>
              </w:numPr>
              <w:spacing w:line="240" w:lineRule="auto"/>
            </w:pPr>
            <w:r w:rsidRPr="005425ED">
              <w:t xml:space="preserve">Does the </w:t>
            </w:r>
            <w:r w:rsidR="00CC4692" w:rsidRPr="005425ED">
              <w:t>performance and accountability report (</w:t>
            </w:r>
            <w:r w:rsidRPr="005425ED">
              <w:t>PAR</w:t>
            </w:r>
            <w:r w:rsidR="00CC4692" w:rsidRPr="005425ED">
              <w:t>)</w:t>
            </w:r>
            <w:r w:rsidRPr="005425ED">
              <w:t xml:space="preserve"> consist of </w:t>
            </w:r>
          </w:p>
          <w:p w14:paraId="2CE7E251" w14:textId="77777777" w:rsidR="00B35B53" w:rsidRPr="005B5418" w:rsidRDefault="00B35B53" w:rsidP="005425ED">
            <w:pPr>
              <w:pStyle w:val="FAM-Table-outline2"/>
              <w:spacing w:line="240" w:lineRule="auto"/>
              <w:ind w:left="1140" w:hanging="443"/>
            </w:pPr>
            <w:r w:rsidRPr="005B5418">
              <w:t>an Agency Head Transmittal Letter</w:t>
            </w:r>
            <w:r w:rsidR="00053178" w:rsidRPr="005B5418">
              <w:t>;</w:t>
            </w:r>
            <w:r w:rsidRPr="005B5418">
              <w:t xml:space="preserve"> </w:t>
            </w:r>
          </w:p>
          <w:p w14:paraId="56E1F984" w14:textId="77777777" w:rsidR="00B35B53" w:rsidRPr="005B5418" w:rsidRDefault="00B35B53" w:rsidP="005425ED">
            <w:pPr>
              <w:pStyle w:val="FAM-Table-outline2"/>
              <w:spacing w:line="240" w:lineRule="auto"/>
              <w:ind w:left="1140" w:hanging="443"/>
            </w:pPr>
            <w:r w:rsidRPr="005B5418">
              <w:t>a Management’s Discussion &amp; Analysis (MD&amp;A) (</w:t>
            </w:r>
            <w:r w:rsidR="00053178" w:rsidRPr="005B5418">
              <w:t xml:space="preserve">PAR </w:t>
            </w:r>
            <w:r w:rsidRPr="005B5418">
              <w:t>section 1);</w:t>
            </w:r>
          </w:p>
          <w:p w14:paraId="362E30B8" w14:textId="77777777" w:rsidR="00B35B53" w:rsidRPr="005B5418" w:rsidRDefault="00B35B53" w:rsidP="005425ED">
            <w:pPr>
              <w:pStyle w:val="FAM-Table-outline2"/>
              <w:spacing w:line="240" w:lineRule="auto"/>
              <w:ind w:left="1140" w:hanging="443"/>
            </w:pPr>
            <w:r w:rsidRPr="005B5418">
              <w:t>a Performance Section (PAR section 2);</w:t>
            </w:r>
          </w:p>
          <w:p w14:paraId="250FCEAC" w14:textId="77777777" w:rsidR="00B35B53" w:rsidRPr="005B5418" w:rsidRDefault="00B35B53" w:rsidP="005425ED">
            <w:pPr>
              <w:pStyle w:val="FAM-Table-outline2"/>
              <w:spacing w:line="240" w:lineRule="auto"/>
              <w:ind w:left="1140" w:hanging="443"/>
            </w:pPr>
            <w:r w:rsidRPr="005B5418">
              <w:t>a Financial Section (PAR section 3), including:</w:t>
            </w:r>
          </w:p>
          <w:p w14:paraId="6A786F6D" w14:textId="21C06F18" w:rsidR="00B35B53" w:rsidRPr="005B5418" w:rsidRDefault="00B35B53"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 xml:space="preserve">a signed Auditor’s Report consistent with guidance from OMB’s audit bulletin, </w:t>
            </w:r>
            <w:r w:rsidR="00CE1C05" w:rsidRPr="005B5418">
              <w:rPr>
                <w:rFonts w:cs="Arial"/>
                <w:sz w:val="22"/>
                <w:szCs w:val="22"/>
              </w:rPr>
              <w:t>“A</w:t>
            </w:r>
            <w:r w:rsidRPr="005B5418">
              <w:rPr>
                <w:rFonts w:cs="Arial"/>
                <w:sz w:val="22"/>
                <w:szCs w:val="22"/>
              </w:rPr>
              <w:t>udit Requirements for Federal Financial Statements</w:t>
            </w:r>
            <w:r w:rsidR="00CE1C05" w:rsidRPr="005B5418">
              <w:rPr>
                <w:rFonts w:cs="Arial"/>
                <w:sz w:val="22"/>
                <w:szCs w:val="22"/>
              </w:rPr>
              <w:t>;</w:t>
            </w:r>
            <w:r w:rsidRPr="005B5418">
              <w:rPr>
                <w:rFonts w:cs="Arial"/>
                <w:sz w:val="22"/>
                <w:szCs w:val="22"/>
              </w:rPr>
              <w:t>”</w:t>
            </w:r>
          </w:p>
          <w:p w14:paraId="2957ABB9" w14:textId="77777777" w:rsidR="00E32C53" w:rsidRPr="005B5418" w:rsidRDefault="00B35B53"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Financial Statements and Notes</w:t>
            </w:r>
            <w:r w:rsidR="00E32C53" w:rsidRPr="005B5418">
              <w:rPr>
                <w:rFonts w:cs="Arial"/>
                <w:sz w:val="22"/>
                <w:szCs w:val="22"/>
              </w:rPr>
              <w:t xml:space="preserve">; </w:t>
            </w:r>
          </w:p>
          <w:p w14:paraId="2363AD1A" w14:textId="77777777" w:rsidR="00B35B53" w:rsidRPr="005B5418" w:rsidRDefault="00B35B53"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Required Supplementary Information (RSI)</w:t>
            </w:r>
            <w:r w:rsidR="00053178" w:rsidRPr="005B5418">
              <w:rPr>
                <w:rFonts w:cs="Arial"/>
                <w:sz w:val="22"/>
                <w:szCs w:val="22"/>
              </w:rPr>
              <w:t>;</w:t>
            </w:r>
            <w:r w:rsidR="00490D41" w:rsidRPr="005B5418">
              <w:rPr>
                <w:rStyle w:val="FootnoteReference"/>
                <w:sz w:val="22"/>
              </w:rPr>
              <w:footnoteReference w:id="9"/>
            </w:r>
            <w:r w:rsidRPr="005B5418">
              <w:rPr>
                <w:rFonts w:cs="Arial"/>
                <w:sz w:val="22"/>
                <w:szCs w:val="22"/>
              </w:rPr>
              <w:t xml:space="preserve"> and</w:t>
            </w:r>
          </w:p>
          <w:p w14:paraId="41F49091" w14:textId="52301806" w:rsidR="00B35B53" w:rsidRPr="005B5418" w:rsidRDefault="00B35B53" w:rsidP="005425ED">
            <w:pPr>
              <w:pStyle w:val="FAM-Table-outline2"/>
              <w:spacing w:line="240" w:lineRule="auto"/>
              <w:ind w:left="1140" w:hanging="443"/>
            </w:pPr>
            <w:r w:rsidRPr="005B5418">
              <w:t xml:space="preserve">other information (PAR </w:t>
            </w:r>
            <w:r w:rsidR="00CE1C05" w:rsidRPr="005B5418">
              <w:t xml:space="preserve">section </w:t>
            </w:r>
            <w:r w:rsidRPr="005B5418">
              <w:t>4)?</w:t>
            </w:r>
            <w:r w:rsidR="00AE73BF" w:rsidRPr="005B5418">
              <w:br/>
            </w:r>
            <w:r w:rsidRPr="005B5418">
              <w:t>(A-136, section II.1.1)</w:t>
            </w:r>
          </w:p>
        </w:tc>
        <w:tc>
          <w:tcPr>
            <w:tcW w:w="965" w:type="dxa"/>
          </w:tcPr>
          <w:p w14:paraId="5E5AE783" w14:textId="77777777" w:rsidR="00B35B53" w:rsidRPr="005B5418" w:rsidRDefault="00B35B53" w:rsidP="003B61E9">
            <w:pPr>
              <w:pStyle w:val="Table-Cell-CenterBoldBefore6ptAfter6pt"/>
              <w:rPr>
                <w:rFonts w:cs="Arial"/>
              </w:rPr>
            </w:pPr>
          </w:p>
        </w:tc>
        <w:tc>
          <w:tcPr>
            <w:tcW w:w="3211" w:type="dxa"/>
          </w:tcPr>
          <w:p w14:paraId="60706873" w14:textId="77777777" w:rsidR="00B35B53" w:rsidRPr="005B5418" w:rsidRDefault="00B35B53" w:rsidP="003B61E9">
            <w:pPr>
              <w:spacing w:line="240" w:lineRule="auto"/>
              <w:rPr>
                <w:rFonts w:cs="Arial"/>
              </w:rPr>
            </w:pPr>
          </w:p>
        </w:tc>
      </w:tr>
      <w:tr w:rsidR="00B35B53" w:rsidRPr="005B5418" w14:paraId="0EF39F00" w14:textId="77777777" w:rsidTr="00FD2015">
        <w:trPr>
          <w:cantSplit/>
          <w:trHeight w:val="4427"/>
        </w:trPr>
        <w:tc>
          <w:tcPr>
            <w:tcW w:w="5400" w:type="dxa"/>
          </w:tcPr>
          <w:p w14:paraId="3D335A4A" w14:textId="1500D65D" w:rsidR="00B35B53" w:rsidRPr="005B5418" w:rsidRDefault="00B35B53" w:rsidP="005425ED">
            <w:pPr>
              <w:pStyle w:val="FAM-Table-outline"/>
              <w:numPr>
                <w:ilvl w:val="0"/>
                <w:numId w:val="153"/>
              </w:numPr>
              <w:spacing w:line="240" w:lineRule="auto"/>
            </w:pPr>
            <w:r w:rsidRPr="005B5418">
              <w:t xml:space="preserve">Does the </w:t>
            </w:r>
            <w:r w:rsidR="00CC4692" w:rsidRPr="005B5418">
              <w:t>agency financial report (</w:t>
            </w:r>
            <w:r w:rsidRPr="005B5418">
              <w:t>AFR</w:t>
            </w:r>
            <w:r w:rsidRPr="005B5418">
              <w:rPr>
                <w:rStyle w:val="FootnoteReference"/>
              </w:rPr>
              <w:footnoteReference w:id="10"/>
            </w:r>
            <w:r w:rsidR="00CC4692" w:rsidRPr="005B5418">
              <w:t>)</w:t>
            </w:r>
            <w:r w:rsidRPr="005B5418">
              <w:t xml:space="preserve"> consist of </w:t>
            </w:r>
          </w:p>
          <w:p w14:paraId="581508C4" w14:textId="77777777" w:rsidR="00F32FBB" w:rsidRPr="005B5418" w:rsidRDefault="00F32FBB" w:rsidP="005425ED">
            <w:pPr>
              <w:pStyle w:val="FAM-Table-outline2"/>
              <w:spacing w:line="240" w:lineRule="auto"/>
              <w:ind w:left="1140" w:hanging="443"/>
            </w:pPr>
            <w:r w:rsidRPr="005B5418">
              <w:t xml:space="preserve">an Agency Head Transmittal Letter; </w:t>
            </w:r>
          </w:p>
          <w:p w14:paraId="6D540AE4" w14:textId="77777777" w:rsidR="00F32FBB" w:rsidRPr="005B5418" w:rsidRDefault="00F32FBB" w:rsidP="005425ED">
            <w:pPr>
              <w:pStyle w:val="FAM-Table-outline2"/>
              <w:spacing w:line="240" w:lineRule="auto"/>
              <w:ind w:left="1140" w:hanging="443"/>
            </w:pPr>
            <w:r w:rsidRPr="005B5418">
              <w:t>an MD&amp;A (AFR section 1);</w:t>
            </w:r>
          </w:p>
          <w:p w14:paraId="1D04E778" w14:textId="254FD87E" w:rsidR="00B35B53" w:rsidRPr="005B5418" w:rsidRDefault="00B35B53" w:rsidP="005425ED">
            <w:pPr>
              <w:pStyle w:val="FAM-Table-outline2"/>
              <w:spacing w:line="240" w:lineRule="auto"/>
              <w:ind w:left="1140" w:hanging="443"/>
            </w:pPr>
            <w:r w:rsidRPr="005B5418">
              <w:t>a Financial Section (AFR section 2), including</w:t>
            </w:r>
          </w:p>
          <w:p w14:paraId="60309F76" w14:textId="29B76C1D" w:rsidR="00B35B53" w:rsidRPr="005425ED" w:rsidRDefault="00B35B53" w:rsidP="005425ED">
            <w:pPr>
              <w:pStyle w:val="FAM-Table-outline3"/>
              <w:widowControl/>
              <w:adjustRightInd/>
              <w:spacing w:before="60" w:after="60" w:line="240" w:lineRule="auto"/>
              <w:ind w:left="1410" w:hanging="432"/>
              <w:textAlignment w:val="auto"/>
              <w:rPr>
                <w:sz w:val="22"/>
              </w:rPr>
            </w:pPr>
            <w:r w:rsidRPr="005B5418">
              <w:rPr>
                <w:rFonts w:cs="Arial"/>
                <w:sz w:val="22"/>
                <w:szCs w:val="22"/>
              </w:rPr>
              <w:t xml:space="preserve">a signed Auditor’s Report consistent with guidance from OMB’s audit bulletin, </w:t>
            </w:r>
            <w:r w:rsidR="00CE1C05" w:rsidRPr="005B5418">
              <w:rPr>
                <w:rFonts w:cs="Arial"/>
                <w:sz w:val="22"/>
                <w:szCs w:val="22"/>
              </w:rPr>
              <w:t>“A</w:t>
            </w:r>
            <w:r w:rsidRPr="005B5418">
              <w:rPr>
                <w:rFonts w:cs="Arial"/>
                <w:sz w:val="22"/>
                <w:szCs w:val="22"/>
              </w:rPr>
              <w:t>udit Requirements for Federal Financial Statements</w:t>
            </w:r>
            <w:r w:rsidR="00D52A94" w:rsidRPr="005B5418">
              <w:rPr>
                <w:rFonts w:cs="Arial"/>
                <w:sz w:val="22"/>
                <w:szCs w:val="22"/>
              </w:rPr>
              <w:t>;</w:t>
            </w:r>
            <w:r w:rsidRPr="005B5418">
              <w:rPr>
                <w:rFonts w:cs="Arial"/>
                <w:sz w:val="22"/>
                <w:szCs w:val="22"/>
              </w:rPr>
              <w:t>”</w:t>
            </w:r>
          </w:p>
          <w:p w14:paraId="44626CE6" w14:textId="77777777" w:rsidR="00E32C53" w:rsidRPr="005425ED" w:rsidRDefault="00B35B53" w:rsidP="005425ED">
            <w:pPr>
              <w:pStyle w:val="FAM-Table-outline3"/>
              <w:widowControl/>
              <w:adjustRightInd/>
              <w:spacing w:before="60" w:after="60" w:line="240" w:lineRule="auto"/>
              <w:ind w:left="1410" w:hanging="432"/>
              <w:textAlignment w:val="auto"/>
              <w:rPr>
                <w:sz w:val="22"/>
              </w:rPr>
            </w:pPr>
            <w:r w:rsidRPr="005B5418">
              <w:rPr>
                <w:rFonts w:cs="Arial"/>
                <w:sz w:val="22"/>
                <w:szCs w:val="22"/>
              </w:rPr>
              <w:t>Financial Statements and Notes</w:t>
            </w:r>
            <w:r w:rsidR="00E32C53" w:rsidRPr="005B5418">
              <w:rPr>
                <w:rFonts w:cs="Arial"/>
                <w:sz w:val="22"/>
                <w:szCs w:val="22"/>
              </w:rPr>
              <w:t>;</w:t>
            </w:r>
          </w:p>
          <w:p w14:paraId="0EF89723" w14:textId="302778F2" w:rsidR="00B35B53" w:rsidRPr="005425ED" w:rsidRDefault="00B35B53" w:rsidP="005425ED">
            <w:pPr>
              <w:pStyle w:val="FAM-Table-outline3"/>
              <w:widowControl/>
              <w:adjustRightInd/>
              <w:spacing w:before="60" w:after="60" w:line="240" w:lineRule="auto"/>
              <w:ind w:left="1410" w:hanging="432"/>
              <w:textAlignment w:val="auto"/>
              <w:rPr>
                <w:sz w:val="22"/>
              </w:rPr>
            </w:pPr>
            <w:r w:rsidRPr="005B5418">
              <w:rPr>
                <w:rFonts w:cs="Arial"/>
                <w:sz w:val="22"/>
                <w:szCs w:val="22"/>
              </w:rPr>
              <w:t>RSI</w:t>
            </w:r>
            <w:r w:rsidR="00053178" w:rsidRPr="005B5418">
              <w:rPr>
                <w:rFonts w:cs="Arial"/>
                <w:sz w:val="22"/>
                <w:szCs w:val="22"/>
              </w:rPr>
              <w:t>;</w:t>
            </w:r>
            <w:r w:rsidRPr="005B5418">
              <w:rPr>
                <w:rFonts w:cs="Arial"/>
                <w:sz w:val="22"/>
                <w:szCs w:val="22"/>
              </w:rPr>
              <w:t xml:space="preserve"> and</w:t>
            </w:r>
          </w:p>
          <w:p w14:paraId="71CADC8C" w14:textId="6CBC15D4" w:rsidR="00B35B53" w:rsidRPr="005B5418" w:rsidRDefault="00B35B53" w:rsidP="005425ED">
            <w:pPr>
              <w:pStyle w:val="FAM-Table-outline2"/>
              <w:spacing w:line="240" w:lineRule="auto"/>
              <w:ind w:left="1140" w:hanging="443"/>
              <w:rPr>
                <w:rFonts w:cs="Arial"/>
                <w:szCs w:val="22"/>
              </w:rPr>
            </w:pPr>
            <w:r w:rsidRPr="005B5418">
              <w:t>other in</w:t>
            </w:r>
            <w:r w:rsidR="009D3C31" w:rsidRPr="005B5418">
              <w:t xml:space="preserve">formation (AFR </w:t>
            </w:r>
            <w:r w:rsidR="00CE1C05" w:rsidRPr="005B5418">
              <w:t xml:space="preserve">section </w:t>
            </w:r>
            <w:r w:rsidR="009D3C31" w:rsidRPr="005B5418">
              <w:t>3)?</w:t>
            </w:r>
            <w:r w:rsidR="00AE73BF" w:rsidRPr="005B5418">
              <w:br/>
            </w:r>
            <w:r w:rsidRPr="005B5418">
              <w:t>(A-136, secti</w:t>
            </w:r>
            <w:r w:rsidR="00597B33" w:rsidRPr="005B5418">
              <w:t>on II.1.1)</w:t>
            </w:r>
          </w:p>
        </w:tc>
        <w:tc>
          <w:tcPr>
            <w:tcW w:w="965" w:type="dxa"/>
          </w:tcPr>
          <w:p w14:paraId="0E7BE7F7" w14:textId="77777777" w:rsidR="00B35B53" w:rsidRPr="005B5418" w:rsidRDefault="00B35B53" w:rsidP="003B61E9">
            <w:pPr>
              <w:pStyle w:val="Table-Cell-CenterBoldBefore6ptAfter6pt"/>
              <w:rPr>
                <w:rFonts w:cs="Arial"/>
              </w:rPr>
            </w:pPr>
          </w:p>
        </w:tc>
        <w:tc>
          <w:tcPr>
            <w:tcW w:w="3211" w:type="dxa"/>
          </w:tcPr>
          <w:p w14:paraId="427EA102" w14:textId="77777777" w:rsidR="00B35B53" w:rsidRPr="005B5418" w:rsidRDefault="00B35B53" w:rsidP="003B61E9">
            <w:pPr>
              <w:spacing w:line="240" w:lineRule="auto"/>
              <w:rPr>
                <w:rFonts w:cs="Arial"/>
              </w:rPr>
            </w:pPr>
          </w:p>
        </w:tc>
      </w:tr>
      <w:tr w:rsidR="00B35B53" w:rsidRPr="005B5418" w14:paraId="48E707FC" w14:textId="77777777" w:rsidTr="005370A0">
        <w:trPr>
          <w:trHeight w:val="2160"/>
        </w:trPr>
        <w:tc>
          <w:tcPr>
            <w:tcW w:w="5400" w:type="dxa"/>
          </w:tcPr>
          <w:p w14:paraId="33276B3D" w14:textId="77777777" w:rsidR="00B35B53" w:rsidRPr="005B5418" w:rsidRDefault="00B35B53" w:rsidP="005425ED">
            <w:pPr>
              <w:pStyle w:val="FAM-Table-outline"/>
              <w:numPr>
                <w:ilvl w:val="0"/>
                <w:numId w:val="153"/>
              </w:numPr>
              <w:spacing w:line="240" w:lineRule="auto"/>
            </w:pPr>
            <w:r w:rsidRPr="005B5418">
              <w:rPr>
                <w:b/>
                <w:bCs/>
              </w:rPr>
              <w:lastRenderedPageBreak/>
              <w:t>Agency Head Transmittal Letter</w:t>
            </w:r>
            <w:r w:rsidRPr="005425ED">
              <w:t>.</w:t>
            </w:r>
            <w:r w:rsidRPr="005B5418">
              <w:t xml:space="preserve"> In the </w:t>
            </w:r>
            <w:r w:rsidR="003E08F1" w:rsidRPr="005B5418">
              <w:t xml:space="preserve">AFR or </w:t>
            </w:r>
            <w:r w:rsidRPr="005B5418">
              <w:t>PAR, is there a transmittal letter from the agency head</w:t>
            </w:r>
          </w:p>
          <w:p w14:paraId="0A49CB65" w14:textId="5E459B1D" w:rsidR="00B35B53" w:rsidRPr="005B5418" w:rsidRDefault="00B35B53" w:rsidP="005425ED">
            <w:pPr>
              <w:pStyle w:val="FAM-Table-outline2"/>
              <w:spacing w:line="240" w:lineRule="auto"/>
              <w:ind w:left="1140" w:hanging="443"/>
            </w:pPr>
            <w:r w:rsidRPr="005B5418">
              <w:t>containing an assessment of the reliability and completeness of financial and performance data in the report and</w:t>
            </w:r>
          </w:p>
          <w:p w14:paraId="4C0C9910" w14:textId="23EB8F9E" w:rsidR="00B35B53" w:rsidRPr="005B5418" w:rsidRDefault="00B35B53" w:rsidP="005425ED">
            <w:pPr>
              <w:pStyle w:val="FAM-Table-outline2"/>
              <w:spacing w:line="240" w:lineRule="auto"/>
              <w:ind w:left="1140" w:hanging="443"/>
              <w:rPr>
                <w:rFonts w:cs="Arial"/>
              </w:rPr>
            </w:pPr>
            <w:r w:rsidRPr="005B5418">
              <w:t>describing any material</w:t>
            </w:r>
            <w:r w:rsidR="005D3D7F" w:rsidRPr="005B5418">
              <w:t xml:space="preserve"> </w:t>
            </w:r>
            <w:r w:rsidR="00E438DA" w:rsidRPr="005B5418">
              <w:t>inadequacies</w:t>
            </w:r>
            <w:r w:rsidR="000F27CD" w:rsidRPr="005B5418">
              <w:t xml:space="preserve"> </w:t>
            </w:r>
            <w:r w:rsidR="00E438DA" w:rsidRPr="005B5418">
              <w:t xml:space="preserve">in the completeness and reliability of the data, and the </w:t>
            </w:r>
            <w:r w:rsidR="00914D91" w:rsidRPr="005B5418">
              <w:t>actions the agency is taking to resolve the inadequacies</w:t>
            </w:r>
            <w:r w:rsidRPr="005B5418">
              <w:t>?</w:t>
            </w:r>
            <w:r w:rsidRPr="005B5418">
              <w:br/>
              <w:t>(A-136, section II.1.1)</w:t>
            </w:r>
          </w:p>
        </w:tc>
        <w:tc>
          <w:tcPr>
            <w:tcW w:w="965" w:type="dxa"/>
          </w:tcPr>
          <w:p w14:paraId="1A58DD92" w14:textId="77777777" w:rsidR="00B35B53" w:rsidRPr="005B5418" w:rsidRDefault="00B35B53" w:rsidP="003B61E9">
            <w:pPr>
              <w:pStyle w:val="Table-Cell-CenterBoldBefore6ptAfter6pt"/>
              <w:rPr>
                <w:rFonts w:cs="Arial"/>
              </w:rPr>
            </w:pPr>
          </w:p>
        </w:tc>
        <w:tc>
          <w:tcPr>
            <w:tcW w:w="3211" w:type="dxa"/>
          </w:tcPr>
          <w:p w14:paraId="5E38ECF3" w14:textId="77777777" w:rsidR="00B35B53" w:rsidRPr="005B5418" w:rsidRDefault="00B35B53" w:rsidP="003B61E9">
            <w:pPr>
              <w:spacing w:line="240" w:lineRule="auto"/>
              <w:rPr>
                <w:rFonts w:cs="Arial"/>
              </w:rPr>
            </w:pPr>
          </w:p>
        </w:tc>
      </w:tr>
      <w:tr w:rsidR="00914D91" w:rsidRPr="005B5418" w14:paraId="787ECF38" w14:textId="77777777" w:rsidTr="006B6FD4">
        <w:trPr>
          <w:trHeight w:hRule="exact" w:val="1387"/>
        </w:trPr>
        <w:tc>
          <w:tcPr>
            <w:tcW w:w="5400" w:type="dxa"/>
          </w:tcPr>
          <w:p w14:paraId="45DCA480" w14:textId="4B149752" w:rsidR="00914D91" w:rsidRPr="005B5418" w:rsidRDefault="00914D91" w:rsidP="005425ED">
            <w:pPr>
              <w:pStyle w:val="FAM-Table-outline"/>
              <w:numPr>
                <w:ilvl w:val="0"/>
                <w:numId w:val="153"/>
              </w:numPr>
              <w:spacing w:line="240" w:lineRule="auto"/>
              <w:rPr>
                <w:rFonts w:cs="Arial"/>
                <w:b/>
              </w:rPr>
            </w:pPr>
            <w:r w:rsidRPr="005B5418">
              <w:t>Does the agency head transmittal letter describe any material weaknesses in internal control and actions the agency is taking to resolve the weakness? (A-136, section II.1.1)</w:t>
            </w:r>
          </w:p>
        </w:tc>
        <w:tc>
          <w:tcPr>
            <w:tcW w:w="965" w:type="dxa"/>
          </w:tcPr>
          <w:p w14:paraId="3C9F8B2E" w14:textId="77777777" w:rsidR="00914D91" w:rsidRPr="005B5418" w:rsidRDefault="00914D91" w:rsidP="003B61E9">
            <w:pPr>
              <w:pStyle w:val="Table-Cell-CenterBoldBefore6ptAfter6pt"/>
              <w:rPr>
                <w:rFonts w:cs="Arial"/>
              </w:rPr>
            </w:pPr>
          </w:p>
        </w:tc>
        <w:tc>
          <w:tcPr>
            <w:tcW w:w="3211" w:type="dxa"/>
          </w:tcPr>
          <w:p w14:paraId="4FAB44E4" w14:textId="77777777" w:rsidR="00914D91" w:rsidRPr="005B5418" w:rsidRDefault="00914D91" w:rsidP="003B61E9">
            <w:pPr>
              <w:spacing w:line="240" w:lineRule="auto"/>
              <w:rPr>
                <w:rFonts w:cs="Arial"/>
              </w:rPr>
            </w:pPr>
          </w:p>
        </w:tc>
      </w:tr>
      <w:bookmarkEnd w:id="40"/>
    </w:tbl>
    <w:p w14:paraId="622A22FD" w14:textId="77777777" w:rsidR="00BB0148" w:rsidRPr="005B5418" w:rsidRDefault="00BB0148" w:rsidP="003B61E9">
      <w:pPr>
        <w:pStyle w:val="Heading3"/>
        <w:spacing w:line="240" w:lineRule="auto"/>
        <w:sectPr w:rsidR="00BB0148" w:rsidRPr="005B5418">
          <w:pgSz w:w="12240" w:h="15840"/>
          <w:pgMar w:top="1440" w:right="1440" w:bottom="1440" w:left="1440" w:header="720" w:footer="720" w:gutter="0"/>
          <w:cols w:space="720"/>
          <w:docGrid w:linePitch="360"/>
        </w:sectPr>
      </w:pPr>
    </w:p>
    <w:p w14:paraId="058D38F4" w14:textId="77777777" w:rsidR="00193621" w:rsidRPr="005B5418" w:rsidRDefault="00193621" w:rsidP="003B61E9">
      <w:pPr>
        <w:pStyle w:val="Heading3"/>
        <w:spacing w:line="240" w:lineRule="auto"/>
      </w:pPr>
      <w:bookmarkStart w:id="41" w:name="_Section_II.2_–"/>
      <w:bookmarkStart w:id="42" w:name="_Toc18571192"/>
      <w:bookmarkEnd w:id="41"/>
      <w:r w:rsidRPr="005B5418">
        <w:lastRenderedPageBreak/>
        <w:t>Section II</w:t>
      </w:r>
      <w:r w:rsidR="00825817" w:rsidRPr="005B5418">
        <w:t>.2</w:t>
      </w:r>
      <w:r w:rsidRPr="005B5418">
        <w:t xml:space="preserve"> – Management’s Discussion and Analysis</w:t>
      </w:r>
      <w:bookmarkEnd w:id="36"/>
      <w:bookmarkEnd w:id="37"/>
      <w:bookmarkEnd w:id="4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65"/>
        <w:gridCol w:w="3211"/>
      </w:tblGrid>
      <w:tr w:rsidR="00193621" w:rsidRPr="005B5418" w14:paraId="6D933B64" w14:textId="77777777" w:rsidTr="005425ED">
        <w:trPr>
          <w:tblHeader/>
        </w:trPr>
        <w:tc>
          <w:tcPr>
            <w:tcW w:w="5400" w:type="dxa"/>
          </w:tcPr>
          <w:p w14:paraId="15CE917B" w14:textId="77777777" w:rsidR="00193621" w:rsidRPr="005B5418" w:rsidRDefault="00193621" w:rsidP="008848DA">
            <w:pPr>
              <w:pStyle w:val="Heading4"/>
              <w:spacing w:before="60" w:after="60" w:line="240" w:lineRule="auto"/>
              <w:jc w:val="left"/>
              <w:rPr>
                <w:b/>
                <w:u w:val="none"/>
              </w:rPr>
            </w:pPr>
            <w:bookmarkStart w:id="43" w:name="_Toc390870956"/>
            <w:bookmarkStart w:id="44" w:name="_Toc394667860"/>
            <w:bookmarkStart w:id="45" w:name="_Ref421175645"/>
            <w:bookmarkStart w:id="46" w:name="_Hlk193375323"/>
            <w:bookmarkStart w:id="47" w:name="_Hlk193463902"/>
            <w:r w:rsidRPr="005B5418">
              <w:rPr>
                <w:b/>
                <w:u w:val="none"/>
              </w:rPr>
              <w:t>II</w:t>
            </w:r>
            <w:r w:rsidR="00760B4B" w:rsidRPr="005B5418">
              <w:rPr>
                <w:b/>
                <w:u w:val="none"/>
              </w:rPr>
              <w:t>.2</w:t>
            </w:r>
            <w:r w:rsidRPr="005B5418">
              <w:rPr>
                <w:b/>
                <w:u w:val="none"/>
              </w:rPr>
              <w:t xml:space="preserve"> Management’s Discussion and Analysis</w:t>
            </w:r>
            <w:bookmarkEnd w:id="43"/>
            <w:bookmarkEnd w:id="44"/>
            <w:bookmarkEnd w:id="45"/>
          </w:p>
        </w:tc>
        <w:tc>
          <w:tcPr>
            <w:tcW w:w="965" w:type="dxa"/>
          </w:tcPr>
          <w:p w14:paraId="30AFCEF0" w14:textId="77777777" w:rsidR="00193621" w:rsidRPr="005B5418" w:rsidRDefault="00193621" w:rsidP="008848DA">
            <w:pPr>
              <w:pStyle w:val="TableCellCenter"/>
              <w:spacing w:before="60" w:after="60"/>
              <w:jc w:val="left"/>
            </w:pPr>
            <w:r w:rsidRPr="005B5418">
              <w:t>Yes, No, or N/A</w:t>
            </w:r>
          </w:p>
        </w:tc>
        <w:tc>
          <w:tcPr>
            <w:tcW w:w="3211" w:type="dxa"/>
          </w:tcPr>
          <w:p w14:paraId="63A289F4" w14:textId="61431202" w:rsidR="00193621" w:rsidRPr="005B5418" w:rsidRDefault="00193621" w:rsidP="008848DA">
            <w:pPr>
              <w:pStyle w:val="TableCellCenter"/>
              <w:spacing w:before="60" w:after="60"/>
              <w:jc w:val="left"/>
            </w:pPr>
            <w:r w:rsidRPr="005B5418">
              <w:t xml:space="preserve">Explanation </w:t>
            </w:r>
            <w:r w:rsidR="00C004D6" w:rsidRPr="005B5418">
              <w:t xml:space="preserve">and </w:t>
            </w:r>
            <w:r w:rsidRPr="005B5418">
              <w:t>Reference</w:t>
            </w:r>
          </w:p>
        </w:tc>
      </w:tr>
      <w:tr w:rsidR="00193621" w:rsidRPr="005B5418" w14:paraId="59F36823" w14:textId="77777777" w:rsidTr="005425ED">
        <w:tc>
          <w:tcPr>
            <w:tcW w:w="9576" w:type="dxa"/>
            <w:gridSpan w:val="3"/>
          </w:tcPr>
          <w:p w14:paraId="6F43F388" w14:textId="1B02EB41" w:rsidR="00193621" w:rsidRPr="005425ED" w:rsidRDefault="00193621" w:rsidP="008848DA">
            <w:pPr>
              <w:pStyle w:val="Table-Note"/>
              <w:spacing w:before="60" w:after="60" w:line="240" w:lineRule="auto"/>
              <w:ind w:left="-23"/>
              <w:jc w:val="left"/>
              <w:rPr>
                <w:rFonts w:cs="Arial"/>
                <w:i w:val="0"/>
                <w:iCs/>
                <w:sz w:val="22"/>
                <w:szCs w:val="22"/>
              </w:rPr>
            </w:pPr>
            <w:r w:rsidRPr="005425ED">
              <w:rPr>
                <w:rFonts w:cs="Arial"/>
                <w:i w:val="0"/>
                <w:iCs/>
                <w:sz w:val="22"/>
                <w:szCs w:val="22"/>
              </w:rPr>
              <w:t xml:space="preserve">A PAR or an AFR </w:t>
            </w:r>
            <w:r w:rsidR="00C10D35" w:rsidRPr="005425ED">
              <w:rPr>
                <w:rFonts w:cs="Arial"/>
                <w:i w:val="0"/>
                <w:iCs/>
                <w:sz w:val="22"/>
                <w:szCs w:val="22"/>
              </w:rPr>
              <w:t xml:space="preserve">should </w:t>
            </w:r>
            <w:r w:rsidRPr="005425ED">
              <w:rPr>
                <w:rFonts w:cs="Arial"/>
                <w:i w:val="0"/>
                <w:iCs/>
                <w:sz w:val="22"/>
                <w:szCs w:val="22"/>
              </w:rPr>
              <w:t>contain a Management’s Discussion and Analysis (MD&amp;A) section in accordance with SFFAS 15</w:t>
            </w:r>
            <w:r w:rsidR="00285BEC" w:rsidRPr="005425ED">
              <w:rPr>
                <w:rFonts w:cs="Arial"/>
                <w:i w:val="0"/>
                <w:iCs/>
                <w:sz w:val="22"/>
                <w:szCs w:val="22"/>
              </w:rPr>
              <w:t xml:space="preserve"> or SFFAS 64</w:t>
            </w:r>
            <w:r w:rsidRPr="005425ED">
              <w:rPr>
                <w:rFonts w:cs="Arial"/>
                <w:i w:val="0"/>
                <w:iCs/>
                <w:sz w:val="22"/>
                <w:szCs w:val="22"/>
              </w:rPr>
              <w:t xml:space="preserve">. </w:t>
            </w:r>
            <w:r w:rsidR="00500DF2" w:rsidRPr="00F47BCF">
              <w:rPr>
                <w:rFonts w:cs="Arial"/>
                <w:i w:val="0"/>
                <w:iCs/>
                <w:sz w:val="22"/>
                <w:szCs w:val="22"/>
              </w:rPr>
              <w:t xml:space="preserve">SFFAS 64 is effective for </w:t>
            </w:r>
            <w:r w:rsidR="00046BF7" w:rsidRPr="005425ED">
              <w:rPr>
                <w:rFonts w:cs="Arial"/>
                <w:i w:val="0"/>
                <w:iCs/>
                <w:sz w:val="22"/>
                <w:szCs w:val="22"/>
              </w:rPr>
              <w:t>reporting periods beginning after September 30, 2025.</w:t>
            </w:r>
            <w:r w:rsidR="00500DF2" w:rsidRPr="00F47BCF">
              <w:rPr>
                <w:rFonts w:cs="Arial"/>
                <w:i w:val="0"/>
                <w:iCs/>
                <w:sz w:val="22"/>
                <w:szCs w:val="22"/>
              </w:rPr>
              <w:t xml:space="preserve"> </w:t>
            </w:r>
            <w:r w:rsidR="00046BF7" w:rsidRPr="005425ED">
              <w:rPr>
                <w:rFonts w:cs="Arial"/>
                <w:i w:val="0"/>
                <w:iCs/>
                <w:sz w:val="22"/>
                <w:szCs w:val="22"/>
              </w:rPr>
              <w:t>E</w:t>
            </w:r>
            <w:r w:rsidR="00500DF2" w:rsidRPr="00F47BCF">
              <w:rPr>
                <w:rFonts w:cs="Arial"/>
                <w:i w:val="0"/>
                <w:iCs/>
                <w:sz w:val="22"/>
                <w:szCs w:val="22"/>
              </w:rPr>
              <w:t>arly implementation is permitted.</w:t>
            </w:r>
            <w:r w:rsidR="003C3055" w:rsidRPr="005425ED">
              <w:rPr>
                <w:rFonts w:cs="Arial"/>
                <w:i w:val="0"/>
                <w:iCs/>
                <w:sz w:val="22"/>
                <w:szCs w:val="22"/>
              </w:rPr>
              <w:t xml:space="preserve"> Per A-136, entities that are able to adopt SFFAS 64 early are encouraged to do so.</w:t>
            </w:r>
            <w:r w:rsidR="00500DF2" w:rsidRPr="005425ED">
              <w:rPr>
                <w:rFonts w:cs="Arial"/>
                <w:i w:val="0"/>
                <w:iCs/>
                <w:sz w:val="22"/>
                <w:szCs w:val="22"/>
              </w:rPr>
              <w:t xml:space="preserve"> </w:t>
            </w:r>
            <w:r w:rsidRPr="005425ED">
              <w:rPr>
                <w:rFonts w:cs="Arial"/>
                <w:i w:val="0"/>
                <w:iCs/>
                <w:sz w:val="22"/>
                <w:szCs w:val="22"/>
              </w:rPr>
              <w:t>(A-136, section II.2.1)</w:t>
            </w:r>
          </w:p>
          <w:p w14:paraId="6EA0BA49" w14:textId="77777777" w:rsidR="00046BF7" w:rsidRPr="005B5418" w:rsidRDefault="00046BF7" w:rsidP="008848DA">
            <w:pPr>
              <w:pStyle w:val="Table-Note"/>
              <w:spacing w:before="60" w:after="60" w:line="240" w:lineRule="auto"/>
              <w:ind w:left="-23"/>
              <w:jc w:val="left"/>
              <w:rPr>
                <w:rFonts w:cs="Arial"/>
                <w:i w:val="0"/>
                <w:iCs/>
                <w:sz w:val="22"/>
                <w:szCs w:val="22"/>
              </w:rPr>
            </w:pPr>
          </w:p>
          <w:p w14:paraId="7A720CF3" w14:textId="75579694" w:rsidR="00046BF7" w:rsidRPr="005B5418" w:rsidRDefault="00285BEC" w:rsidP="008848DA">
            <w:pPr>
              <w:pStyle w:val="Table-Note"/>
              <w:spacing w:before="60" w:after="60" w:line="240" w:lineRule="auto"/>
              <w:ind w:left="-23"/>
              <w:jc w:val="left"/>
              <w:rPr>
                <w:rFonts w:cs="Arial"/>
                <w:i w:val="0"/>
                <w:iCs/>
                <w:sz w:val="22"/>
                <w:szCs w:val="22"/>
              </w:rPr>
            </w:pPr>
            <w:bookmarkStart w:id="48" w:name="_Hlk197095199"/>
            <w:r w:rsidRPr="005B5418">
              <w:rPr>
                <w:rFonts w:cs="Arial"/>
                <w:i w:val="0"/>
                <w:iCs/>
                <w:sz w:val="22"/>
                <w:szCs w:val="22"/>
              </w:rPr>
              <w:t>For FY 2025, Section II.2 – Management’s Discussion and Analysis presents</w:t>
            </w:r>
            <w:r w:rsidR="00046BF7" w:rsidRPr="005B5418">
              <w:rPr>
                <w:rFonts w:cs="Arial"/>
                <w:i w:val="0"/>
                <w:iCs/>
                <w:sz w:val="22"/>
                <w:szCs w:val="22"/>
              </w:rPr>
              <w:t xml:space="preserve"> two </w:t>
            </w:r>
            <w:r w:rsidR="00801DC1" w:rsidRPr="005B5418">
              <w:rPr>
                <w:rFonts w:cs="Arial"/>
                <w:i w:val="0"/>
                <w:iCs/>
                <w:sz w:val="22"/>
                <w:szCs w:val="22"/>
              </w:rPr>
              <w:t xml:space="preserve">mutually exclusive </w:t>
            </w:r>
            <w:r w:rsidR="00D807FE" w:rsidRPr="005B5418">
              <w:rPr>
                <w:rFonts w:cs="Arial"/>
                <w:i w:val="0"/>
                <w:iCs/>
                <w:sz w:val="22"/>
                <w:szCs w:val="22"/>
              </w:rPr>
              <w:t>sub</w:t>
            </w:r>
            <w:r w:rsidR="00046BF7" w:rsidRPr="005B5418">
              <w:rPr>
                <w:rFonts w:cs="Arial"/>
                <w:i w:val="0"/>
                <w:iCs/>
                <w:sz w:val="22"/>
                <w:szCs w:val="22"/>
              </w:rPr>
              <w:t>s</w:t>
            </w:r>
            <w:r w:rsidR="00522D80" w:rsidRPr="005B5418">
              <w:rPr>
                <w:rFonts w:cs="Arial"/>
                <w:i w:val="0"/>
                <w:iCs/>
                <w:sz w:val="22"/>
                <w:szCs w:val="22"/>
              </w:rPr>
              <w:t>ections</w:t>
            </w:r>
            <w:r w:rsidR="00046BF7" w:rsidRPr="005B5418">
              <w:rPr>
                <w:rFonts w:cs="Arial"/>
                <w:i w:val="0"/>
                <w:iCs/>
                <w:sz w:val="22"/>
                <w:szCs w:val="22"/>
              </w:rPr>
              <w:t>:</w:t>
            </w:r>
          </w:p>
          <w:p w14:paraId="535CBAC1" w14:textId="77777777" w:rsidR="00801DC1" w:rsidRPr="005B5418" w:rsidRDefault="00801DC1" w:rsidP="008848DA">
            <w:pPr>
              <w:pStyle w:val="Table-Note"/>
              <w:spacing w:before="60" w:after="60" w:line="240" w:lineRule="auto"/>
              <w:ind w:left="-23"/>
              <w:jc w:val="left"/>
              <w:rPr>
                <w:rFonts w:cs="Arial"/>
                <w:i w:val="0"/>
                <w:iCs/>
                <w:sz w:val="22"/>
                <w:szCs w:val="22"/>
              </w:rPr>
            </w:pPr>
          </w:p>
          <w:p w14:paraId="499FA052" w14:textId="1ECC7FDC" w:rsidR="00046BF7" w:rsidRPr="005B5418" w:rsidRDefault="00046BF7" w:rsidP="00046BF7">
            <w:pPr>
              <w:pStyle w:val="Table-Note"/>
              <w:numPr>
                <w:ilvl w:val="0"/>
                <w:numId w:val="686"/>
              </w:numPr>
              <w:spacing w:before="60" w:after="60" w:line="240" w:lineRule="auto"/>
              <w:jc w:val="left"/>
              <w:rPr>
                <w:rFonts w:cs="Arial"/>
                <w:i w:val="0"/>
                <w:iCs/>
                <w:sz w:val="22"/>
                <w:szCs w:val="22"/>
              </w:rPr>
            </w:pPr>
            <w:bookmarkStart w:id="49" w:name="_Hlk197498482"/>
            <w:r w:rsidRPr="005B5418">
              <w:rPr>
                <w:rFonts w:cs="Arial"/>
                <w:i w:val="0"/>
                <w:iCs/>
                <w:sz w:val="22"/>
                <w:szCs w:val="22"/>
              </w:rPr>
              <w:t xml:space="preserve">SFFAS 15 - A </w:t>
            </w:r>
            <w:r w:rsidR="00D807FE" w:rsidRPr="005B5418">
              <w:rPr>
                <w:rFonts w:cs="Arial"/>
                <w:i w:val="0"/>
                <w:iCs/>
                <w:sz w:val="22"/>
                <w:szCs w:val="22"/>
              </w:rPr>
              <w:t>sub</w:t>
            </w:r>
            <w:r w:rsidR="00522D80" w:rsidRPr="005B5418">
              <w:rPr>
                <w:rFonts w:cs="Arial"/>
                <w:i w:val="0"/>
                <w:iCs/>
                <w:sz w:val="22"/>
                <w:szCs w:val="22"/>
              </w:rPr>
              <w:t xml:space="preserve">section </w:t>
            </w:r>
            <w:r w:rsidRPr="005B5418">
              <w:rPr>
                <w:rFonts w:cs="Arial"/>
                <w:i w:val="0"/>
                <w:iCs/>
                <w:sz w:val="22"/>
                <w:szCs w:val="22"/>
              </w:rPr>
              <w:t>for entities not early implementing SFFAS 64</w:t>
            </w:r>
            <w:r w:rsidR="009E1F29">
              <w:rPr>
                <w:rStyle w:val="FootnoteReference"/>
                <w:rFonts w:cs="Arial"/>
                <w:i w:val="0"/>
                <w:iCs/>
                <w:sz w:val="22"/>
                <w:szCs w:val="22"/>
              </w:rPr>
              <w:footnoteReference w:id="11"/>
            </w:r>
            <w:r w:rsidRPr="005B5418">
              <w:rPr>
                <w:rFonts w:cs="Arial"/>
                <w:i w:val="0"/>
                <w:iCs/>
                <w:sz w:val="22"/>
                <w:szCs w:val="22"/>
              </w:rPr>
              <w:t xml:space="preserve"> </w:t>
            </w:r>
          </w:p>
          <w:bookmarkEnd w:id="49"/>
          <w:p w14:paraId="0BD643A2" w14:textId="5890419A" w:rsidR="00046BF7" w:rsidRPr="005B5418" w:rsidRDefault="00046BF7" w:rsidP="00046BF7">
            <w:pPr>
              <w:pStyle w:val="Table-Note"/>
              <w:numPr>
                <w:ilvl w:val="0"/>
                <w:numId w:val="686"/>
              </w:numPr>
              <w:spacing w:before="60" w:after="60" w:line="240" w:lineRule="auto"/>
              <w:jc w:val="left"/>
              <w:rPr>
                <w:rFonts w:cs="Arial"/>
                <w:i w:val="0"/>
                <w:iCs/>
                <w:sz w:val="22"/>
                <w:szCs w:val="22"/>
              </w:rPr>
            </w:pPr>
            <w:r w:rsidRPr="005B5418">
              <w:rPr>
                <w:rFonts w:cs="Arial"/>
                <w:i w:val="0"/>
                <w:iCs/>
                <w:sz w:val="22"/>
                <w:szCs w:val="22"/>
              </w:rPr>
              <w:t xml:space="preserve">SFFAS 64 - A </w:t>
            </w:r>
            <w:r w:rsidR="00D807FE" w:rsidRPr="005B5418">
              <w:rPr>
                <w:rFonts w:cs="Arial"/>
                <w:i w:val="0"/>
                <w:iCs/>
                <w:sz w:val="22"/>
                <w:szCs w:val="22"/>
              </w:rPr>
              <w:t>sub</w:t>
            </w:r>
            <w:r w:rsidR="00522D80" w:rsidRPr="005B5418">
              <w:rPr>
                <w:rFonts w:cs="Arial"/>
                <w:i w:val="0"/>
                <w:iCs/>
                <w:sz w:val="22"/>
                <w:szCs w:val="22"/>
              </w:rPr>
              <w:t xml:space="preserve">section </w:t>
            </w:r>
            <w:r w:rsidRPr="005B5418">
              <w:rPr>
                <w:rFonts w:cs="Arial"/>
                <w:i w:val="0"/>
                <w:iCs/>
                <w:sz w:val="22"/>
                <w:szCs w:val="22"/>
              </w:rPr>
              <w:t>for entities early implementing SFFAS 64</w:t>
            </w:r>
          </w:p>
          <w:p w14:paraId="58FBDF21" w14:textId="77777777" w:rsidR="00046BF7" w:rsidRPr="005B5418" w:rsidRDefault="00046BF7" w:rsidP="008848DA">
            <w:pPr>
              <w:pStyle w:val="Table-Note"/>
              <w:spacing w:before="60" w:after="60" w:line="240" w:lineRule="auto"/>
              <w:ind w:left="-23"/>
              <w:jc w:val="left"/>
              <w:rPr>
                <w:rFonts w:cs="Arial"/>
                <w:i w:val="0"/>
                <w:iCs/>
                <w:sz w:val="22"/>
                <w:szCs w:val="22"/>
              </w:rPr>
            </w:pPr>
          </w:p>
          <w:p w14:paraId="51B06A4E" w14:textId="3C38B496" w:rsidR="00285BEC" w:rsidRPr="005B5418" w:rsidRDefault="00285BEC" w:rsidP="008848DA">
            <w:pPr>
              <w:pStyle w:val="Table-Note"/>
              <w:spacing w:before="60" w:after="60" w:line="240" w:lineRule="auto"/>
              <w:ind w:left="-23"/>
              <w:jc w:val="left"/>
              <w:rPr>
                <w:rFonts w:cs="Arial"/>
                <w:i w:val="0"/>
                <w:iCs/>
                <w:sz w:val="22"/>
                <w:szCs w:val="22"/>
              </w:rPr>
            </w:pPr>
            <w:r w:rsidRPr="005B5418">
              <w:rPr>
                <w:rFonts w:cs="Arial"/>
                <w:i w:val="0"/>
                <w:iCs/>
                <w:sz w:val="22"/>
                <w:szCs w:val="22"/>
              </w:rPr>
              <w:t xml:space="preserve">Entities </w:t>
            </w:r>
            <w:r w:rsidR="00500DF2" w:rsidRPr="005B5418">
              <w:rPr>
                <w:rFonts w:cs="Arial"/>
                <w:i w:val="0"/>
                <w:iCs/>
                <w:sz w:val="22"/>
                <w:szCs w:val="22"/>
              </w:rPr>
              <w:t xml:space="preserve">should </w:t>
            </w:r>
            <w:r w:rsidR="00046BF7" w:rsidRPr="005B5418">
              <w:rPr>
                <w:rFonts w:cs="Arial"/>
                <w:i w:val="0"/>
                <w:iCs/>
                <w:sz w:val="22"/>
                <w:szCs w:val="22"/>
              </w:rPr>
              <w:t xml:space="preserve">only </w:t>
            </w:r>
            <w:r w:rsidR="00500DF2" w:rsidRPr="005B5418">
              <w:rPr>
                <w:rFonts w:cs="Arial"/>
                <w:i w:val="0"/>
                <w:iCs/>
                <w:sz w:val="22"/>
                <w:szCs w:val="22"/>
              </w:rPr>
              <w:t xml:space="preserve">complete the </w:t>
            </w:r>
            <w:r w:rsidR="00D807FE" w:rsidRPr="005B5418">
              <w:rPr>
                <w:rFonts w:cs="Arial"/>
                <w:i w:val="0"/>
                <w:iCs/>
                <w:sz w:val="22"/>
                <w:szCs w:val="22"/>
              </w:rPr>
              <w:t>sub</w:t>
            </w:r>
            <w:r w:rsidR="00522D80" w:rsidRPr="005B5418">
              <w:rPr>
                <w:rFonts w:cs="Arial"/>
                <w:i w:val="0"/>
                <w:iCs/>
                <w:sz w:val="22"/>
                <w:szCs w:val="22"/>
              </w:rPr>
              <w:t xml:space="preserve">section </w:t>
            </w:r>
            <w:r w:rsidR="00500DF2" w:rsidRPr="005B5418">
              <w:rPr>
                <w:rFonts w:cs="Arial"/>
                <w:i w:val="0"/>
                <w:iCs/>
                <w:sz w:val="22"/>
                <w:szCs w:val="22"/>
              </w:rPr>
              <w:t xml:space="preserve">corresponding to their implementation </w:t>
            </w:r>
            <w:r w:rsidR="00522D80" w:rsidRPr="005B5418">
              <w:rPr>
                <w:rFonts w:cs="Arial"/>
                <w:i w:val="0"/>
                <w:iCs/>
                <w:sz w:val="22"/>
                <w:szCs w:val="22"/>
              </w:rPr>
              <w:t>election</w:t>
            </w:r>
            <w:r w:rsidR="00500DF2" w:rsidRPr="005B5418">
              <w:rPr>
                <w:rFonts w:cs="Arial"/>
                <w:i w:val="0"/>
                <w:iCs/>
                <w:sz w:val="22"/>
                <w:szCs w:val="22"/>
              </w:rPr>
              <w:t>.</w:t>
            </w:r>
          </w:p>
          <w:bookmarkEnd w:id="48"/>
          <w:p w14:paraId="0BBA26A7" w14:textId="77777777" w:rsidR="00DF0B3C" w:rsidRPr="005B5418" w:rsidRDefault="00DF0B3C" w:rsidP="008848DA">
            <w:pPr>
              <w:pStyle w:val="Table-Note"/>
              <w:spacing w:before="60" w:after="60" w:line="240" w:lineRule="auto"/>
              <w:ind w:left="-23"/>
              <w:jc w:val="left"/>
              <w:rPr>
                <w:rFonts w:cs="Arial"/>
                <w:i w:val="0"/>
                <w:iCs/>
                <w:sz w:val="22"/>
                <w:szCs w:val="22"/>
              </w:rPr>
            </w:pPr>
          </w:p>
          <w:p w14:paraId="5DFC978F" w14:textId="2045332C" w:rsidR="00DF0B3C" w:rsidRPr="005B5418" w:rsidRDefault="00DF0B3C" w:rsidP="008848DA">
            <w:pPr>
              <w:pStyle w:val="Table-Note"/>
              <w:spacing w:before="60" w:after="60" w:line="240" w:lineRule="auto"/>
              <w:ind w:left="-23"/>
              <w:jc w:val="left"/>
              <w:rPr>
                <w:rFonts w:cs="Arial"/>
                <w:i w:val="0"/>
                <w:sz w:val="22"/>
                <w:szCs w:val="22"/>
              </w:rPr>
            </w:pPr>
            <w:r w:rsidRPr="005B5418">
              <w:rPr>
                <w:rFonts w:cs="Arial"/>
                <w:i w:val="0"/>
                <w:sz w:val="22"/>
                <w:szCs w:val="22"/>
              </w:rPr>
              <w:t>Agencies that produce both an AFR and APR should also refer to A-136, sections II.2.1 and II.2.2</w:t>
            </w:r>
            <w:r w:rsidR="00E25AC4">
              <w:rPr>
                <w:rFonts w:cs="Arial"/>
                <w:i w:val="0"/>
                <w:sz w:val="22"/>
                <w:szCs w:val="22"/>
              </w:rPr>
              <w:t>,</w:t>
            </w:r>
            <w:r w:rsidRPr="005B5418">
              <w:rPr>
                <w:rFonts w:cs="Arial"/>
                <w:i w:val="0"/>
                <w:sz w:val="22"/>
                <w:szCs w:val="22"/>
              </w:rPr>
              <w:t xml:space="preserve"> for required performance-related information.</w:t>
            </w:r>
          </w:p>
          <w:p w14:paraId="27EAE82A" w14:textId="77777777" w:rsidR="00BC0F3D" w:rsidRPr="005B5418" w:rsidRDefault="00BC0F3D" w:rsidP="008848DA">
            <w:pPr>
              <w:pStyle w:val="Table-Note"/>
              <w:spacing w:before="60" w:after="60" w:line="240" w:lineRule="auto"/>
              <w:ind w:left="-23"/>
              <w:jc w:val="left"/>
              <w:rPr>
                <w:rFonts w:cs="Arial"/>
                <w:i w:val="0"/>
                <w:iCs/>
                <w:sz w:val="22"/>
                <w:szCs w:val="22"/>
              </w:rPr>
            </w:pPr>
          </w:p>
          <w:p w14:paraId="445A5ECB" w14:textId="71FA15A7" w:rsidR="00BC0F3D" w:rsidRPr="005425ED" w:rsidRDefault="00BC0F3D" w:rsidP="008848DA">
            <w:pPr>
              <w:pStyle w:val="Table-Note"/>
              <w:spacing w:before="60" w:after="60" w:line="240" w:lineRule="auto"/>
              <w:ind w:left="-23"/>
              <w:jc w:val="left"/>
              <w:rPr>
                <w:rFonts w:cs="Arial"/>
                <w:i w:val="0"/>
                <w:iCs/>
                <w:sz w:val="22"/>
                <w:szCs w:val="22"/>
              </w:rPr>
            </w:pPr>
            <w:r w:rsidRPr="005B5418">
              <w:rPr>
                <w:rFonts w:cs="Arial"/>
                <w:i w:val="0"/>
                <w:iCs/>
                <w:sz w:val="22"/>
                <w:szCs w:val="22"/>
              </w:rPr>
              <w:t>Significant entities with programs that are “high priority” for payment integrity purposes are encouraged to specify in the MD&amp;A which programs are high priority (and what that designation means) and to provide a link to the payment integrity information reported in the Other Information section or on PaymentAccuracy.gov.</w:t>
            </w:r>
            <w:r w:rsidR="003A48C0" w:rsidRPr="005B5418">
              <w:rPr>
                <w:rFonts w:cs="Arial"/>
                <w:i w:val="0"/>
                <w:iCs/>
                <w:sz w:val="22"/>
                <w:szCs w:val="22"/>
              </w:rPr>
              <w:t xml:space="preserve"> (A-136, section II.2.1)</w:t>
            </w:r>
          </w:p>
        </w:tc>
      </w:tr>
      <w:tr w:rsidR="0099490B" w:rsidRPr="005B5418" w14:paraId="7FAFB8B8" w14:textId="77777777" w:rsidTr="005425ED">
        <w:trPr>
          <w:trHeight w:val="557"/>
        </w:trPr>
        <w:tc>
          <w:tcPr>
            <w:tcW w:w="9576" w:type="dxa"/>
            <w:gridSpan w:val="3"/>
          </w:tcPr>
          <w:p w14:paraId="162E0CDA" w14:textId="4926907F" w:rsidR="0099490B" w:rsidRPr="005B5418" w:rsidRDefault="0099490B" w:rsidP="008848DA">
            <w:pPr>
              <w:spacing w:before="60" w:after="60" w:line="240" w:lineRule="auto"/>
              <w:rPr>
                <w:rFonts w:cs="Arial"/>
              </w:rPr>
            </w:pPr>
            <w:r w:rsidRPr="005425ED">
              <w:rPr>
                <w:rFonts w:ascii="Arial" w:hAnsi="Arial" w:cs="Arial"/>
                <w:b/>
              </w:rPr>
              <w:t>SFFAS 15</w:t>
            </w:r>
            <w:r w:rsidR="003C3055" w:rsidRPr="005425ED">
              <w:rPr>
                <w:rFonts w:ascii="Arial" w:hAnsi="Arial" w:cs="Arial"/>
                <w:b/>
              </w:rPr>
              <w:t xml:space="preserve"> – </w:t>
            </w:r>
            <w:r w:rsidR="00801DC1" w:rsidRPr="005B5418">
              <w:rPr>
                <w:rFonts w:ascii="Arial" w:hAnsi="Arial" w:cs="Arial"/>
                <w:b/>
              </w:rPr>
              <w:t>E</w:t>
            </w:r>
            <w:r w:rsidR="003C3055" w:rsidRPr="005425ED">
              <w:rPr>
                <w:rFonts w:ascii="Arial" w:hAnsi="Arial" w:cs="Arial"/>
                <w:b/>
              </w:rPr>
              <w:t xml:space="preserve">ntities </w:t>
            </w:r>
            <w:r w:rsidR="00801DC1" w:rsidRPr="005B5418">
              <w:rPr>
                <w:rFonts w:ascii="Arial" w:hAnsi="Arial" w:cs="Arial"/>
                <w:b/>
              </w:rPr>
              <w:t>N</w:t>
            </w:r>
            <w:r w:rsidR="003C3055" w:rsidRPr="005425ED">
              <w:rPr>
                <w:rFonts w:ascii="Arial" w:hAnsi="Arial" w:cs="Arial"/>
                <w:b/>
              </w:rPr>
              <w:t xml:space="preserve">ot </w:t>
            </w:r>
            <w:r w:rsidR="00801DC1" w:rsidRPr="005B5418">
              <w:rPr>
                <w:rFonts w:ascii="Arial" w:hAnsi="Arial" w:cs="Arial"/>
                <w:b/>
              </w:rPr>
              <w:t>E</w:t>
            </w:r>
            <w:r w:rsidR="003C3055" w:rsidRPr="005425ED">
              <w:rPr>
                <w:rFonts w:ascii="Arial" w:hAnsi="Arial" w:cs="Arial"/>
                <w:b/>
              </w:rPr>
              <w:t xml:space="preserve">arly </w:t>
            </w:r>
            <w:r w:rsidR="00801DC1" w:rsidRPr="005B5418">
              <w:rPr>
                <w:rFonts w:ascii="Arial" w:hAnsi="Arial" w:cs="Arial"/>
                <w:b/>
              </w:rPr>
              <w:t>I</w:t>
            </w:r>
            <w:r w:rsidR="003C3055" w:rsidRPr="005425ED">
              <w:rPr>
                <w:rFonts w:ascii="Arial" w:hAnsi="Arial" w:cs="Arial"/>
                <w:b/>
              </w:rPr>
              <w:t>mplementing SFFAS 64</w:t>
            </w:r>
          </w:p>
        </w:tc>
      </w:tr>
      <w:tr w:rsidR="00500DF2" w:rsidRPr="005B5418" w14:paraId="01C44331" w14:textId="77777777" w:rsidTr="005425ED">
        <w:trPr>
          <w:trHeight w:val="1259"/>
        </w:trPr>
        <w:tc>
          <w:tcPr>
            <w:tcW w:w="5400" w:type="dxa"/>
          </w:tcPr>
          <w:p w14:paraId="7970167B" w14:textId="3A183480" w:rsidR="00500DF2" w:rsidRPr="005B5418" w:rsidRDefault="00500DF2" w:rsidP="00931772">
            <w:pPr>
              <w:pStyle w:val="FAM-Table-outline"/>
              <w:widowControl/>
              <w:numPr>
                <w:ilvl w:val="0"/>
                <w:numId w:val="7"/>
              </w:numPr>
              <w:tabs>
                <w:tab w:val="clear" w:pos="666"/>
                <w:tab w:val="num" w:pos="607"/>
                <w:tab w:val="num" w:pos="792"/>
              </w:tabs>
              <w:adjustRightInd/>
              <w:spacing w:line="240" w:lineRule="auto"/>
              <w:ind w:left="607" w:hanging="517"/>
              <w:textAlignment w:val="auto"/>
              <w:rPr>
                <w:rFonts w:cs="Arial"/>
              </w:rPr>
            </w:pPr>
            <w:r w:rsidRPr="005B5418">
              <w:rPr>
                <w:rFonts w:cs="Arial"/>
              </w:rPr>
              <w:t xml:space="preserve">Is </w:t>
            </w:r>
            <w:r w:rsidR="00801DC1" w:rsidRPr="005B5418">
              <w:rPr>
                <w:rFonts w:cs="Arial"/>
              </w:rPr>
              <w:t>the reporting entity</w:t>
            </w:r>
            <w:r w:rsidR="008D0954" w:rsidRPr="005B5418">
              <w:rPr>
                <w:rFonts w:cs="Arial"/>
              </w:rPr>
              <w:t xml:space="preserve"> applying SFFAS 15 (and</w:t>
            </w:r>
            <w:r w:rsidR="00801DC1" w:rsidRPr="005B5418">
              <w:rPr>
                <w:rFonts w:cs="Arial"/>
              </w:rPr>
              <w:t xml:space="preserve"> </w:t>
            </w:r>
            <w:r w:rsidR="008D0954" w:rsidRPr="005B5418">
              <w:rPr>
                <w:rFonts w:cs="Arial"/>
              </w:rPr>
              <w:t xml:space="preserve">thus </w:t>
            </w:r>
            <w:r w:rsidR="009E231A" w:rsidRPr="005425ED">
              <w:rPr>
                <w:rFonts w:cs="Arial"/>
                <w:b/>
                <w:bCs/>
              </w:rPr>
              <w:t>not</w:t>
            </w:r>
            <w:r w:rsidR="009E231A" w:rsidRPr="005B5418">
              <w:rPr>
                <w:rFonts w:cs="Arial"/>
              </w:rPr>
              <w:t xml:space="preserve"> early implementing SFFAS 64</w:t>
            </w:r>
            <w:r w:rsidR="008D0954" w:rsidRPr="005B5418">
              <w:rPr>
                <w:rFonts w:cs="Arial"/>
              </w:rPr>
              <w:t>)</w:t>
            </w:r>
            <w:r w:rsidRPr="005B5418">
              <w:rPr>
                <w:rFonts w:cs="Arial"/>
              </w:rPr>
              <w:t>? (Answer Y if applicable or N/A if not applicable. If N/A, skip to the SFFAS 64</w:t>
            </w:r>
            <w:r w:rsidR="003C3055" w:rsidRPr="005B5418">
              <w:rPr>
                <w:rFonts w:cs="Arial"/>
              </w:rPr>
              <w:t xml:space="preserve"> – Early</w:t>
            </w:r>
            <w:r w:rsidRPr="005B5418">
              <w:rPr>
                <w:rFonts w:cs="Arial"/>
              </w:rPr>
              <w:t xml:space="preserve"> </w:t>
            </w:r>
            <w:r w:rsidR="003C3055" w:rsidRPr="005B5418">
              <w:rPr>
                <w:rFonts w:cs="Arial"/>
              </w:rPr>
              <w:t>I</w:t>
            </w:r>
            <w:r w:rsidRPr="005B5418">
              <w:rPr>
                <w:rFonts w:cs="Arial"/>
              </w:rPr>
              <w:t>mplementation</w:t>
            </w:r>
            <w:r w:rsidR="0099490B" w:rsidRPr="005B5418">
              <w:rPr>
                <w:rFonts w:cs="Arial"/>
              </w:rPr>
              <w:t xml:space="preserve"> </w:t>
            </w:r>
            <w:r w:rsidR="003C3055" w:rsidRPr="005B5418">
              <w:rPr>
                <w:rFonts w:cs="Arial"/>
              </w:rPr>
              <w:t xml:space="preserve">section </w:t>
            </w:r>
            <w:r w:rsidR="0099490B" w:rsidRPr="005B5418">
              <w:rPr>
                <w:rFonts w:cs="Arial"/>
              </w:rPr>
              <w:t>below</w:t>
            </w:r>
            <w:r w:rsidRPr="005B5418">
              <w:rPr>
                <w:rFonts w:cs="Arial"/>
              </w:rPr>
              <w:t>.)</w:t>
            </w:r>
          </w:p>
        </w:tc>
        <w:tc>
          <w:tcPr>
            <w:tcW w:w="965" w:type="dxa"/>
          </w:tcPr>
          <w:p w14:paraId="5C1B5E59" w14:textId="77777777" w:rsidR="00500DF2" w:rsidRPr="005B5418" w:rsidRDefault="00500DF2" w:rsidP="008848DA">
            <w:pPr>
              <w:pStyle w:val="Table-Cell-CenterBoldBefore6ptAfter6pt"/>
              <w:spacing w:before="60" w:after="60"/>
              <w:rPr>
                <w:rFonts w:cs="Arial"/>
              </w:rPr>
            </w:pPr>
          </w:p>
        </w:tc>
        <w:tc>
          <w:tcPr>
            <w:tcW w:w="3211" w:type="dxa"/>
          </w:tcPr>
          <w:p w14:paraId="20FF6B4E" w14:textId="77777777" w:rsidR="00500DF2" w:rsidRPr="005B5418" w:rsidRDefault="00500DF2" w:rsidP="008848DA">
            <w:pPr>
              <w:spacing w:before="60" w:after="60" w:line="240" w:lineRule="auto"/>
              <w:rPr>
                <w:rFonts w:cs="Arial"/>
              </w:rPr>
            </w:pPr>
          </w:p>
        </w:tc>
      </w:tr>
      <w:tr w:rsidR="00193621" w:rsidRPr="005B5418" w14:paraId="2D4A3840" w14:textId="77777777" w:rsidTr="005425ED">
        <w:trPr>
          <w:trHeight w:val="2160"/>
        </w:trPr>
        <w:tc>
          <w:tcPr>
            <w:tcW w:w="5400" w:type="dxa"/>
          </w:tcPr>
          <w:p w14:paraId="69EEF11C" w14:textId="7903A843" w:rsidR="00193621" w:rsidRPr="005B5418" w:rsidRDefault="00193621" w:rsidP="00931772">
            <w:pPr>
              <w:pStyle w:val="FAM-Table-outline"/>
              <w:widowControl/>
              <w:numPr>
                <w:ilvl w:val="0"/>
                <w:numId w:val="7"/>
              </w:numPr>
              <w:tabs>
                <w:tab w:val="clear" w:pos="666"/>
                <w:tab w:val="num" w:pos="607"/>
                <w:tab w:val="num" w:pos="792"/>
              </w:tabs>
              <w:adjustRightInd/>
              <w:spacing w:line="240" w:lineRule="auto"/>
              <w:ind w:left="607" w:hanging="517"/>
              <w:textAlignment w:val="auto"/>
              <w:rPr>
                <w:rFonts w:cs="Arial"/>
              </w:rPr>
            </w:pPr>
            <w:bookmarkStart w:id="50" w:name="_Hlk193464000"/>
            <w:r w:rsidRPr="005B5418">
              <w:rPr>
                <w:rFonts w:cs="Arial"/>
              </w:rPr>
              <w:lastRenderedPageBreak/>
              <w:t>Does the MD&amp;A serve as a brief overview of the PAR or AFR by including the most important matters</w:t>
            </w:r>
            <w:r w:rsidR="00EC4501">
              <w:rPr>
                <w:rStyle w:val="FootnoteReference"/>
                <w:rFonts w:cs="Arial"/>
              </w:rPr>
              <w:footnoteReference w:id="12"/>
            </w:r>
            <w:r w:rsidRPr="005B5418">
              <w:rPr>
                <w:rFonts w:cs="Arial"/>
              </w:rPr>
              <w:t xml:space="preserve"> that could </w:t>
            </w:r>
          </w:p>
          <w:p w14:paraId="0EA4BCAE" w14:textId="02101A0B" w:rsidR="00193621" w:rsidRPr="005B5418" w:rsidRDefault="00193621" w:rsidP="008848DA">
            <w:pPr>
              <w:pStyle w:val="FAM-Table-outline2"/>
              <w:widowControl/>
              <w:adjustRightInd/>
              <w:spacing w:line="240" w:lineRule="auto"/>
              <w:ind w:left="1057" w:hanging="432"/>
              <w:textAlignment w:val="auto"/>
              <w:rPr>
                <w:rFonts w:cs="Arial"/>
              </w:rPr>
            </w:pPr>
            <w:r w:rsidRPr="005B5418">
              <w:rPr>
                <w:rFonts w:cs="Arial"/>
              </w:rPr>
              <w:t>lead to significant actions or proposals by top management of the reporting entity</w:t>
            </w:r>
            <w:r w:rsidR="00E1349B" w:rsidRPr="005B5418">
              <w:rPr>
                <w:rFonts w:cs="Arial"/>
              </w:rPr>
              <w:t>;</w:t>
            </w:r>
          </w:p>
          <w:p w14:paraId="60E71C33" w14:textId="03D01A99" w:rsidR="00193621" w:rsidRPr="005B5418" w:rsidRDefault="00193621" w:rsidP="008848DA">
            <w:pPr>
              <w:pStyle w:val="FAM-Table-outline2"/>
              <w:widowControl/>
              <w:adjustRightInd/>
              <w:spacing w:line="240" w:lineRule="auto"/>
              <w:ind w:left="1057" w:hanging="432"/>
              <w:textAlignment w:val="auto"/>
              <w:rPr>
                <w:rFonts w:cs="Arial"/>
              </w:rPr>
            </w:pPr>
            <w:r w:rsidRPr="005B5418">
              <w:rPr>
                <w:rFonts w:cs="Arial"/>
              </w:rPr>
              <w:t xml:space="preserve">be significant to the managing, budgeting, and oversight functions of Congress and the </w:t>
            </w:r>
            <w:r w:rsidR="00A549F8" w:rsidRPr="005B5418">
              <w:rPr>
                <w:rFonts w:cs="Arial"/>
              </w:rPr>
              <w:t>administration</w:t>
            </w:r>
            <w:r w:rsidR="00E1349B" w:rsidRPr="005B5418">
              <w:rPr>
                <w:rFonts w:cs="Arial"/>
              </w:rPr>
              <w:t xml:space="preserve">; </w:t>
            </w:r>
            <w:r w:rsidRPr="005B5418">
              <w:rPr>
                <w:rFonts w:cs="Arial"/>
              </w:rPr>
              <w:t>and</w:t>
            </w:r>
          </w:p>
          <w:p w14:paraId="1D31CB30" w14:textId="61990DBC" w:rsidR="00193621" w:rsidRPr="005B5418" w:rsidRDefault="00193621" w:rsidP="008848DA">
            <w:pPr>
              <w:pStyle w:val="FAM-Table-outline2"/>
              <w:widowControl/>
              <w:adjustRightInd/>
              <w:spacing w:line="240" w:lineRule="auto"/>
              <w:ind w:left="1057" w:hanging="432"/>
              <w:textAlignment w:val="auto"/>
              <w:rPr>
                <w:rFonts w:cs="Arial"/>
              </w:rPr>
            </w:pPr>
            <w:r w:rsidRPr="005B5418">
              <w:rPr>
                <w:rFonts w:cs="Arial"/>
              </w:rPr>
              <w:t xml:space="preserve">significantly affect the judgment of citizens about the efficiency and effectiveness of the </w:t>
            </w:r>
            <w:r w:rsidR="00A549F8" w:rsidRPr="005B5418">
              <w:rPr>
                <w:rFonts w:cs="Arial"/>
              </w:rPr>
              <w:t>government</w:t>
            </w:r>
            <w:r w:rsidRPr="005B5418">
              <w:rPr>
                <w:rFonts w:cs="Arial"/>
              </w:rPr>
              <w:t xml:space="preserve">? </w:t>
            </w:r>
            <w:r w:rsidRPr="005B5418">
              <w:rPr>
                <w:rFonts w:cs="Arial"/>
              </w:rPr>
              <w:br/>
              <w:t>(SFFAS 15, par</w:t>
            </w:r>
            <w:r w:rsidR="00E1349B" w:rsidRPr="005B5418">
              <w:rPr>
                <w:rFonts w:cs="Arial"/>
              </w:rPr>
              <w:t>as</w:t>
            </w:r>
            <w:r w:rsidRPr="005B5418">
              <w:rPr>
                <w:rFonts w:cs="Arial"/>
              </w:rPr>
              <w:t>.</w:t>
            </w:r>
            <w:r w:rsidR="00290490" w:rsidRPr="005B5418">
              <w:rPr>
                <w:rFonts w:cs="Arial"/>
              </w:rPr>
              <w:t xml:space="preserve"> 1,</w:t>
            </w:r>
            <w:r w:rsidRPr="005B5418">
              <w:rPr>
                <w:rFonts w:cs="Arial"/>
              </w:rPr>
              <w:t xml:space="preserve"> 5</w:t>
            </w:r>
            <w:r w:rsidR="00E1349B" w:rsidRPr="005B5418">
              <w:rPr>
                <w:rFonts w:cs="Arial"/>
              </w:rPr>
              <w:t>, and</w:t>
            </w:r>
            <w:r w:rsidRPr="005B5418">
              <w:rPr>
                <w:rFonts w:cs="Arial"/>
              </w:rPr>
              <w:t xml:space="preserve"> 6)</w:t>
            </w:r>
          </w:p>
        </w:tc>
        <w:tc>
          <w:tcPr>
            <w:tcW w:w="965" w:type="dxa"/>
          </w:tcPr>
          <w:p w14:paraId="1A4CB12E" w14:textId="77777777" w:rsidR="00193621" w:rsidRPr="005B5418" w:rsidRDefault="00193621" w:rsidP="008848DA">
            <w:pPr>
              <w:pStyle w:val="Table-Cell-CenterBoldBefore6ptAfter6pt"/>
              <w:spacing w:before="60" w:after="60"/>
              <w:rPr>
                <w:rFonts w:cs="Arial"/>
              </w:rPr>
            </w:pPr>
          </w:p>
        </w:tc>
        <w:tc>
          <w:tcPr>
            <w:tcW w:w="3211" w:type="dxa"/>
          </w:tcPr>
          <w:p w14:paraId="0B35E2CB" w14:textId="77777777" w:rsidR="00193621" w:rsidRPr="005B5418" w:rsidRDefault="00193621" w:rsidP="008848DA">
            <w:pPr>
              <w:spacing w:before="60" w:after="60" w:line="240" w:lineRule="auto"/>
              <w:rPr>
                <w:rFonts w:cs="Arial"/>
              </w:rPr>
            </w:pPr>
          </w:p>
        </w:tc>
      </w:tr>
      <w:tr w:rsidR="00193621" w:rsidRPr="005B5418" w14:paraId="1FA25923" w14:textId="77777777" w:rsidTr="005425ED">
        <w:trPr>
          <w:cantSplit/>
          <w:trHeight w:val="2160"/>
        </w:trPr>
        <w:tc>
          <w:tcPr>
            <w:tcW w:w="5400" w:type="dxa"/>
          </w:tcPr>
          <w:p w14:paraId="135CB310" w14:textId="013D0E56" w:rsidR="00193621" w:rsidRPr="005B5418" w:rsidRDefault="00193621" w:rsidP="00931772">
            <w:pPr>
              <w:pStyle w:val="FAM-Table-outline"/>
              <w:widowControl/>
              <w:tabs>
                <w:tab w:val="num" w:pos="792"/>
              </w:tabs>
              <w:adjustRightInd/>
              <w:spacing w:line="240" w:lineRule="auto"/>
              <w:ind w:left="607" w:hanging="535"/>
              <w:textAlignment w:val="auto"/>
              <w:rPr>
                <w:rFonts w:cs="Arial"/>
              </w:rPr>
            </w:pPr>
            <w:r w:rsidRPr="005B5418">
              <w:rPr>
                <w:rFonts w:cs="Arial"/>
              </w:rPr>
              <w:t>Does the MD&amp;A summarize information</w:t>
            </w:r>
            <w:r w:rsidR="0099490B" w:rsidRPr="005B5418">
              <w:rPr>
                <w:rStyle w:val="FootnoteReference"/>
                <w:rFonts w:cs="Arial"/>
              </w:rPr>
              <w:footnoteReference w:id="13"/>
            </w:r>
            <w:r w:rsidRPr="005B5418">
              <w:rPr>
                <w:rFonts w:cs="Arial"/>
              </w:rPr>
              <w:t xml:space="preserve"> on the entity’s</w:t>
            </w:r>
          </w:p>
          <w:p w14:paraId="664E2F0C" w14:textId="77777777" w:rsidR="00193621" w:rsidRPr="005B5418" w:rsidRDefault="00193621" w:rsidP="008848DA">
            <w:pPr>
              <w:pStyle w:val="FAM-Table-outline2"/>
              <w:widowControl/>
              <w:tabs>
                <w:tab w:val="num" w:pos="1080"/>
              </w:tabs>
              <w:adjustRightInd/>
              <w:spacing w:line="240" w:lineRule="auto"/>
              <w:ind w:left="1057" w:hanging="432"/>
              <w:textAlignment w:val="auto"/>
              <w:rPr>
                <w:rFonts w:cs="Arial"/>
              </w:rPr>
            </w:pPr>
            <w:r w:rsidRPr="005B5418">
              <w:rPr>
                <w:rFonts w:cs="Arial"/>
              </w:rPr>
              <w:t>mission and organizational structure;</w:t>
            </w:r>
          </w:p>
          <w:p w14:paraId="606FCF13" w14:textId="6674AC0A" w:rsidR="00193621" w:rsidRPr="005B5418" w:rsidRDefault="00193621" w:rsidP="008848DA">
            <w:pPr>
              <w:pStyle w:val="FAM-Table-outline2"/>
              <w:widowControl/>
              <w:tabs>
                <w:tab w:val="num" w:pos="1080"/>
              </w:tabs>
              <w:adjustRightInd/>
              <w:spacing w:line="240" w:lineRule="auto"/>
              <w:ind w:left="1057" w:hanging="432"/>
              <w:textAlignment w:val="auto"/>
              <w:rPr>
                <w:rFonts w:cs="Arial"/>
              </w:rPr>
            </w:pPr>
            <w:r w:rsidRPr="005B5418">
              <w:rPr>
                <w:rFonts w:cs="Arial"/>
              </w:rPr>
              <w:t>performance goals, objectives</w:t>
            </w:r>
            <w:r w:rsidR="00734A66" w:rsidRPr="005B5418">
              <w:rPr>
                <w:rFonts w:cs="Arial"/>
              </w:rPr>
              <w:t>,</w:t>
            </w:r>
            <w:r w:rsidRPr="005B5418">
              <w:rPr>
                <w:rFonts w:cs="Arial"/>
              </w:rPr>
              <w:t xml:space="preserve"> and results</w:t>
            </w:r>
            <w:r w:rsidR="00E25AC4">
              <w:rPr>
                <w:rFonts w:cs="Arial"/>
              </w:rPr>
              <w:t>;</w:t>
            </w:r>
            <w:r w:rsidR="00DE2EEE" w:rsidRPr="005B5418">
              <w:rPr>
                <w:rStyle w:val="FootnoteReference"/>
                <w:rFonts w:cs="Arial"/>
              </w:rPr>
              <w:footnoteReference w:id="14"/>
            </w:r>
          </w:p>
          <w:p w14:paraId="3C680570" w14:textId="77777777" w:rsidR="00193621" w:rsidRPr="005B5418" w:rsidRDefault="00193621" w:rsidP="008848DA">
            <w:pPr>
              <w:pStyle w:val="FAM-Table-outline2"/>
              <w:widowControl/>
              <w:tabs>
                <w:tab w:val="num" w:pos="1080"/>
              </w:tabs>
              <w:adjustRightInd/>
              <w:spacing w:line="240" w:lineRule="auto"/>
              <w:ind w:left="1057" w:hanging="432"/>
              <w:textAlignment w:val="auto"/>
              <w:rPr>
                <w:rFonts w:cs="Arial"/>
              </w:rPr>
            </w:pPr>
            <w:r w:rsidRPr="005B5418">
              <w:rPr>
                <w:rFonts w:cs="Arial"/>
              </w:rPr>
              <w:t>analysis of financial statements and stewardship information;</w:t>
            </w:r>
          </w:p>
          <w:p w14:paraId="7DA564FD" w14:textId="77777777" w:rsidR="00193621" w:rsidRPr="005B5418" w:rsidRDefault="00193621" w:rsidP="008848DA">
            <w:pPr>
              <w:pStyle w:val="FAM-Table-outline2"/>
              <w:widowControl/>
              <w:tabs>
                <w:tab w:val="num" w:pos="1080"/>
              </w:tabs>
              <w:adjustRightInd/>
              <w:spacing w:line="240" w:lineRule="auto"/>
              <w:ind w:left="1057" w:hanging="432"/>
              <w:textAlignment w:val="auto"/>
              <w:rPr>
                <w:rFonts w:cs="Arial"/>
              </w:rPr>
            </w:pPr>
            <w:r w:rsidRPr="005B5418">
              <w:rPr>
                <w:rFonts w:cs="Arial"/>
              </w:rPr>
              <w:t>analysis of systems, controls</w:t>
            </w:r>
            <w:r w:rsidR="00734A66" w:rsidRPr="005B5418">
              <w:rPr>
                <w:rFonts w:cs="Arial"/>
              </w:rPr>
              <w:t>,</w:t>
            </w:r>
            <w:r w:rsidRPr="005B5418">
              <w:rPr>
                <w:rFonts w:cs="Arial"/>
              </w:rPr>
              <w:t xml:space="preserve"> and legal compliance;</w:t>
            </w:r>
            <w:r w:rsidR="00E34C51" w:rsidRPr="005B5418">
              <w:rPr>
                <w:rStyle w:val="FootnoteReference"/>
                <w:rFonts w:cs="Arial"/>
              </w:rPr>
              <w:footnoteReference w:id="15"/>
            </w:r>
          </w:p>
          <w:p w14:paraId="4D202CCE" w14:textId="47B0E14E" w:rsidR="00193621" w:rsidRPr="005B5418" w:rsidRDefault="00193621" w:rsidP="008848DA">
            <w:pPr>
              <w:pStyle w:val="FAM-Table-outline2"/>
              <w:widowControl/>
              <w:tabs>
                <w:tab w:val="num" w:pos="1080"/>
              </w:tabs>
              <w:adjustRightInd/>
              <w:spacing w:line="240" w:lineRule="auto"/>
              <w:ind w:left="1057" w:hanging="432"/>
              <w:textAlignment w:val="auto"/>
              <w:rPr>
                <w:rFonts w:cs="Arial"/>
              </w:rPr>
            </w:pPr>
            <w:r w:rsidRPr="005B5418">
              <w:rPr>
                <w:rFonts w:cs="Arial"/>
              </w:rPr>
              <w:t>forward-looking information by concisely reviewing the possible effects of the important existing, currently</w:t>
            </w:r>
            <w:r w:rsidR="001A6AFE" w:rsidRPr="005B5418">
              <w:rPr>
                <w:rFonts w:cs="Arial"/>
              </w:rPr>
              <w:t xml:space="preserve"> </w:t>
            </w:r>
            <w:r w:rsidRPr="005B5418">
              <w:rPr>
                <w:rFonts w:cs="Arial"/>
              </w:rPr>
              <w:t>known demands, risks, uncertainties, events, conditions</w:t>
            </w:r>
            <w:r w:rsidR="00734A66" w:rsidRPr="005B5418">
              <w:rPr>
                <w:rFonts w:cs="Arial"/>
              </w:rPr>
              <w:t>,</w:t>
            </w:r>
            <w:r w:rsidRPr="005B5418">
              <w:rPr>
                <w:rFonts w:cs="Arial"/>
              </w:rPr>
              <w:t xml:space="preserve"> and trends; and</w:t>
            </w:r>
          </w:p>
          <w:p w14:paraId="6663AE14" w14:textId="25428C8E" w:rsidR="00193621" w:rsidRPr="005B5418" w:rsidRDefault="00193621" w:rsidP="008848DA">
            <w:pPr>
              <w:pStyle w:val="FAM-Table-outline2"/>
              <w:widowControl/>
              <w:tabs>
                <w:tab w:val="num" w:pos="1512"/>
              </w:tabs>
              <w:adjustRightInd/>
              <w:spacing w:line="240" w:lineRule="auto"/>
              <w:ind w:left="1057" w:hanging="432"/>
              <w:textAlignment w:val="auto"/>
              <w:rPr>
                <w:rFonts w:cs="Arial"/>
              </w:rPr>
            </w:pPr>
            <w:r w:rsidRPr="005B5418">
              <w:rPr>
                <w:rFonts w:cs="Arial"/>
              </w:rPr>
              <w:t>important problems that need to be addressed and corrective actions planned to address those problems?</w:t>
            </w:r>
            <w:r w:rsidRPr="005B5418">
              <w:rPr>
                <w:rFonts w:cs="Arial"/>
                <w:lang w:val="pt-BR"/>
              </w:rPr>
              <w:br/>
              <w:t>(SFFAS 15, par</w:t>
            </w:r>
            <w:r w:rsidR="00A91C3D" w:rsidRPr="005B5418">
              <w:rPr>
                <w:rFonts w:cs="Arial"/>
                <w:lang w:val="pt-BR"/>
              </w:rPr>
              <w:t>as</w:t>
            </w:r>
            <w:r w:rsidRPr="005B5418">
              <w:rPr>
                <w:rFonts w:cs="Arial"/>
                <w:lang w:val="pt-BR"/>
              </w:rPr>
              <w:t>. 2</w:t>
            </w:r>
            <w:r w:rsidR="00A91C3D" w:rsidRPr="005B5418">
              <w:rPr>
                <w:rFonts w:cs="Arial"/>
                <w:lang w:val="pt-BR"/>
              </w:rPr>
              <w:t>–</w:t>
            </w:r>
            <w:r w:rsidRPr="005B5418">
              <w:rPr>
                <w:rFonts w:cs="Arial"/>
                <w:lang w:val="pt-BR"/>
              </w:rPr>
              <w:t>4</w:t>
            </w:r>
            <w:r w:rsidRPr="005B5418">
              <w:rPr>
                <w:rFonts w:cs="Arial"/>
              </w:rPr>
              <w:t>)</w:t>
            </w:r>
          </w:p>
        </w:tc>
        <w:tc>
          <w:tcPr>
            <w:tcW w:w="965" w:type="dxa"/>
          </w:tcPr>
          <w:p w14:paraId="191A2DE7" w14:textId="77777777" w:rsidR="00193621" w:rsidRPr="005B5418" w:rsidRDefault="00193621" w:rsidP="008848DA">
            <w:pPr>
              <w:pStyle w:val="Table-Cell-CenterBoldBefore6ptAfter6pt"/>
              <w:spacing w:before="60" w:after="60"/>
              <w:rPr>
                <w:rFonts w:cs="Arial"/>
              </w:rPr>
            </w:pPr>
          </w:p>
        </w:tc>
        <w:tc>
          <w:tcPr>
            <w:tcW w:w="3211" w:type="dxa"/>
          </w:tcPr>
          <w:p w14:paraId="1C5FBB54" w14:textId="77777777" w:rsidR="00193621" w:rsidRPr="005B5418" w:rsidRDefault="00193621" w:rsidP="008848DA">
            <w:pPr>
              <w:spacing w:before="60" w:after="60" w:line="240" w:lineRule="auto"/>
              <w:rPr>
                <w:rFonts w:cs="Arial"/>
              </w:rPr>
            </w:pPr>
          </w:p>
        </w:tc>
      </w:tr>
      <w:tr w:rsidR="00193621" w:rsidRPr="005B5418" w14:paraId="42FBF15D" w14:textId="77777777" w:rsidTr="005425ED">
        <w:trPr>
          <w:cantSplit/>
          <w:trHeight w:val="1367"/>
        </w:trPr>
        <w:tc>
          <w:tcPr>
            <w:tcW w:w="5400" w:type="dxa"/>
          </w:tcPr>
          <w:p w14:paraId="32426277" w14:textId="1E5AEA04" w:rsidR="00193621" w:rsidRPr="005B5418" w:rsidRDefault="00E85307" w:rsidP="00CD6404">
            <w:pPr>
              <w:pStyle w:val="FAM-Table-outline"/>
              <w:spacing w:line="240" w:lineRule="auto"/>
            </w:pPr>
            <w:r w:rsidRPr="005B5418">
              <w:t>If the agency produces an AFR and APR, d</w:t>
            </w:r>
            <w:r w:rsidR="00193621" w:rsidRPr="005B5418">
              <w:t xml:space="preserve">oes the MD&amp;A provide information on when and where the APR will be available to the public? </w:t>
            </w:r>
            <w:r w:rsidR="00193621" w:rsidRPr="005425ED">
              <w:t>(</w:t>
            </w:r>
            <w:r w:rsidR="00193621" w:rsidRPr="005B5418">
              <w:t>A-136, section II.2.</w:t>
            </w:r>
            <w:r w:rsidR="002A5969" w:rsidRPr="005B5418">
              <w:t>2</w:t>
            </w:r>
            <w:r w:rsidR="00193621" w:rsidRPr="005B5418">
              <w:t>)</w:t>
            </w:r>
          </w:p>
        </w:tc>
        <w:tc>
          <w:tcPr>
            <w:tcW w:w="965" w:type="dxa"/>
          </w:tcPr>
          <w:p w14:paraId="37C84566" w14:textId="77777777" w:rsidR="00193621" w:rsidRPr="005B5418" w:rsidRDefault="00193621" w:rsidP="008848DA">
            <w:pPr>
              <w:pStyle w:val="Table-Cell-CenterBoldBefore6ptAfter6pt"/>
              <w:spacing w:before="60" w:after="60"/>
              <w:rPr>
                <w:rFonts w:cs="Arial"/>
              </w:rPr>
            </w:pPr>
          </w:p>
        </w:tc>
        <w:tc>
          <w:tcPr>
            <w:tcW w:w="3211" w:type="dxa"/>
          </w:tcPr>
          <w:p w14:paraId="191B2F8D" w14:textId="77777777" w:rsidR="00193621" w:rsidRPr="005B5418" w:rsidRDefault="00193621" w:rsidP="008848DA">
            <w:pPr>
              <w:spacing w:before="60" w:after="60" w:line="240" w:lineRule="auto"/>
              <w:rPr>
                <w:rFonts w:cs="Arial"/>
              </w:rPr>
            </w:pPr>
          </w:p>
        </w:tc>
      </w:tr>
      <w:tr w:rsidR="009643A1" w:rsidRPr="005B5418" w14:paraId="18FEF463" w14:textId="77777777" w:rsidTr="005425ED">
        <w:trPr>
          <w:cantSplit/>
          <w:trHeight w:val="1061"/>
        </w:trPr>
        <w:tc>
          <w:tcPr>
            <w:tcW w:w="5400" w:type="dxa"/>
          </w:tcPr>
          <w:p w14:paraId="04A333F4" w14:textId="53A2DC01" w:rsidR="009643A1" w:rsidRPr="005B5418" w:rsidRDefault="009643A1" w:rsidP="009643A1">
            <w:pPr>
              <w:pStyle w:val="FAM-Table-outline"/>
            </w:pPr>
            <w:r w:rsidRPr="005B5418">
              <w:lastRenderedPageBreak/>
              <w:t xml:space="preserve">Does the MD&amp;A present information in a balanced (presenting positive and negative results), </w:t>
            </w:r>
            <w:r w:rsidR="00712FCE" w:rsidRPr="005B5418">
              <w:t>clear</w:t>
            </w:r>
            <w:r w:rsidRPr="005B5418">
              <w:t xml:space="preserve">, </w:t>
            </w:r>
            <w:r w:rsidR="00712FCE" w:rsidRPr="005B5418">
              <w:t xml:space="preserve">and </w:t>
            </w:r>
            <w:r w:rsidRPr="005B5418">
              <w:t>concise way? (</w:t>
            </w:r>
            <w:r w:rsidR="00712FCE" w:rsidRPr="005B5418">
              <w:t>SFFAS 15, para. 1</w:t>
            </w:r>
            <w:r w:rsidRPr="005B5418">
              <w:t>)</w:t>
            </w:r>
          </w:p>
        </w:tc>
        <w:tc>
          <w:tcPr>
            <w:tcW w:w="965" w:type="dxa"/>
          </w:tcPr>
          <w:p w14:paraId="040CD2B0" w14:textId="77777777" w:rsidR="009643A1" w:rsidRPr="005B5418" w:rsidRDefault="009643A1" w:rsidP="008848DA">
            <w:pPr>
              <w:pStyle w:val="Table-Cell-CenterBoldBefore6ptAfter6pt"/>
              <w:spacing w:before="60" w:after="60"/>
              <w:rPr>
                <w:rFonts w:cs="Arial"/>
              </w:rPr>
            </w:pPr>
          </w:p>
        </w:tc>
        <w:tc>
          <w:tcPr>
            <w:tcW w:w="3211" w:type="dxa"/>
          </w:tcPr>
          <w:p w14:paraId="7AFB6281" w14:textId="77777777" w:rsidR="009643A1" w:rsidRPr="005B5418" w:rsidRDefault="009643A1" w:rsidP="008848DA">
            <w:pPr>
              <w:spacing w:before="60" w:after="60" w:line="240" w:lineRule="auto"/>
              <w:rPr>
                <w:rFonts w:cs="Arial"/>
              </w:rPr>
            </w:pPr>
          </w:p>
        </w:tc>
      </w:tr>
      <w:tr w:rsidR="00193621" w:rsidRPr="005B5418" w14:paraId="662A69A6" w14:textId="77777777" w:rsidTr="005425ED">
        <w:trPr>
          <w:trHeight w:val="1367"/>
        </w:trPr>
        <w:tc>
          <w:tcPr>
            <w:tcW w:w="5400" w:type="dxa"/>
          </w:tcPr>
          <w:p w14:paraId="07865641" w14:textId="7C3629AC" w:rsidR="00193621" w:rsidRPr="005B5418" w:rsidRDefault="00193621" w:rsidP="008322DC">
            <w:pPr>
              <w:pStyle w:val="FAM-Table-outline"/>
              <w:spacing w:line="240" w:lineRule="auto"/>
            </w:pPr>
            <w:r w:rsidRPr="005B5418">
              <w:t>If the entity issues a PAR, does the MD&amp;A include the annual performance reporting information</w:t>
            </w:r>
            <w:r w:rsidR="00CF20FB" w:rsidRPr="005B5418">
              <w:t>,</w:t>
            </w:r>
            <w:r w:rsidRPr="005B5418">
              <w:t xml:space="preserve"> as required by OMB Circular </w:t>
            </w:r>
            <w:r w:rsidR="00032FCF" w:rsidRPr="005B5418">
              <w:t xml:space="preserve">No. </w:t>
            </w:r>
            <w:r w:rsidRPr="005B5418">
              <w:t>A-11, Part 6? (A-136, section</w:t>
            </w:r>
            <w:r w:rsidR="00AA01A4" w:rsidRPr="005B5418">
              <w:t>s II.1.1 and</w:t>
            </w:r>
            <w:r w:rsidRPr="005B5418">
              <w:t xml:space="preserve"> II.2.</w:t>
            </w:r>
            <w:r w:rsidR="008322DC" w:rsidRPr="005B5418">
              <w:t>2</w:t>
            </w:r>
            <w:r w:rsidRPr="005B5418">
              <w:t>)</w:t>
            </w:r>
          </w:p>
        </w:tc>
        <w:tc>
          <w:tcPr>
            <w:tcW w:w="965" w:type="dxa"/>
          </w:tcPr>
          <w:p w14:paraId="47A7B156" w14:textId="77777777" w:rsidR="00193621" w:rsidRPr="005B5418" w:rsidRDefault="00193621" w:rsidP="008848DA">
            <w:pPr>
              <w:pStyle w:val="Table-Cell-CenterBoldBefore6ptAfter6pt"/>
              <w:spacing w:before="60" w:after="60"/>
              <w:rPr>
                <w:rFonts w:cs="Arial"/>
              </w:rPr>
            </w:pPr>
          </w:p>
        </w:tc>
        <w:tc>
          <w:tcPr>
            <w:tcW w:w="3211" w:type="dxa"/>
          </w:tcPr>
          <w:p w14:paraId="074B1327" w14:textId="77777777" w:rsidR="00193621" w:rsidRPr="005B5418" w:rsidRDefault="00193621" w:rsidP="008848DA">
            <w:pPr>
              <w:spacing w:before="60" w:after="60" w:line="240" w:lineRule="auto"/>
              <w:rPr>
                <w:rFonts w:cs="Arial"/>
              </w:rPr>
            </w:pPr>
          </w:p>
        </w:tc>
      </w:tr>
      <w:tr w:rsidR="00193621" w:rsidRPr="005B5418" w14:paraId="0EACDB70" w14:textId="77777777" w:rsidTr="005425ED">
        <w:trPr>
          <w:cantSplit/>
          <w:trHeight w:val="2160"/>
        </w:trPr>
        <w:tc>
          <w:tcPr>
            <w:tcW w:w="5400" w:type="dxa"/>
          </w:tcPr>
          <w:p w14:paraId="000FE6FD" w14:textId="098430F6" w:rsidR="00193621" w:rsidRPr="005B5418" w:rsidRDefault="00193621" w:rsidP="008848DA">
            <w:pPr>
              <w:pStyle w:val="FAM-Table-outline"/>
              <w:widowControl/>
              <w:tabs>
                <w:tab w:val="num" w:pos="72"/>
              </w:tabs>
              <w:adjustRightInd/>
              <w:spacing w:line="240" w:lineRule="auto"/>
              <w:ind w:left="607" w:hanging="535"/>
              <w:textAlignment w:val="auto"/>
              <w:rPr>
                <w:rFonts w:cs="Arial"/>
              </w:rPr>
            </w:pPr>
            <w:r w:rsidRPr="005B5418">
              <w:rPr>
                <w:rFonts w:cs="Arial"/>
              </w:rPr>
              <w:t>Does the MD&amp;</w:t>
            </w:r>
            <w:r w:rsidR="00470D65" w:rsidRPr="005B5418">
              <w:rPr>
                <w:rFonts w:cs="Arial"/>
              </w:rPr>
              <w:t>A’s</w:t>
            </w:r>
            <w:r w:rsidRPr="005B5418">
              <w:rPr>
                <w:rFonts w:cs="Arial"/>
              </w:rPr>
              <w:t xml:space="preserve"> analysis of the financial statements explain</w:t>
            </w:r>
          </w:p>
          <w:p w14:paraId="64F3712B" w14:textId="093F55B2" w:rsidR="00854A01" w:rsidRPr="005B5418" w:rsidRDefault="00854A01" w:rsidP="008848DA">
            <w:pPr>
              <w:pStyle w:val="FAM-Table-outline2"/>
              <w:widowControl/>
              <w:adjustRightInd/>
              <w:spacing w:line="240" w:lineRule="auto"/>
              <w:ind w:left="967" w:hanging="337"/>
              <w:textAlignment w:val="auto"/>
              <w:rPr>
                <w:rFonts w:cs="Arial"/>
              </w:rPr>
            </w:pPr>
            <w:r w:rsidRPr="005B5418">
              <w:rPr>
                <w:rFonts w:cs="Arial"/>
              </w:rPr>
              <w:t>p</w:t>
            </w:r>
            <w:r w:rsidR="00211910" w:rsidRPr="005B5418">
              <w:rPr>
                <w:rFonts w:cs="Arial"/>
              </w:rPr>
              <w:t xml:space="preserve">urpose, source, and type of </w:t>
            </w:r>
            <w:r w:rsidR="00460343" w:rsidRPr="005B5418">
              <w:rPr>
                <w:rFonts w:cs="Arial"/>
              </w:rPr>
              <w:t xml:space="preserve">significant </w:t>
            </w:r>
            <w:r w:rsidR="00211910" w:rsidRPr="005B5418">
              <w:rPr>
                <w:rFonts w:cs="Arial"/>
              </w:rPr>
              <w:t xml:space="preserve">budgetary resources, including any </w:t>
            </w:r>
            <w:r w:rsidR="00460343" w:rsidRPr="005B5418">
              <w:rPr>
                <w:rFonts w:cs="Arial"/>
              </w:rPr>
              <w:t xml:space="preserve">significant </w:t>
            </w:r>
            <w:r w:rsidR="00211910" w:rsidRPr="005B5418">
              <w:rPr>
                <w:rFonts w:cs="Arial"/>
              </w:rPr>
              <w:t>supplemental appropriations, and the relationship between any fees collected and the cost of goods or services provided</w:t>
            </w:r>
            <w:r w:rsidR="00470D65" w:rsidRPr="005B5418">
              <w:rPr>
                <w:rFonts w:cs="Arial"/>
              </w:rPr>
              <w:t xml:space="preserve">; </w:t>
            </w:r>
            <w:r w:rsidRPr="005B5418">
              <w:rPr>
                <w:rFonts w:cs="Arial"/>
              </w:rPr>
              <w:t>and</w:t>
            </w:r>
          </w:p>
          <w:p w14:paraId="6A496C3D" w14:textId="3FD19740" w:rsidR="00193621" w:rsidRPr="005B5418" w:rsidRDefault="00854A01" w:rsidP="006A3034">
            <w:pPr>
              <w:pStyle w:val="FAM-Table-outline2"/>
              <w:widowControl/>
              <w:adjustRightInd/>
              <w:spacing w:line="240" w:lineRule="auto"/>
              <w:ind w:left="967" w:hanging="337"/>
              <w:textAlignment w:val="auto"/>
            </w:pPr>
            <w:r w:rsidRPr="005B5418">
              <w:rPr>
                <w:rFonts w:cs="Arial"/>
              </w:rPr>
              <w:t xml:space="preserve">financial management issues arising during the reporting period? </w:t>
            </w:r>
            <w:r w:rsidR="00193621" w:rsidRPr="005B5418">
              <w:rPr>
                <w:rFonts w:cs="Arial"/>
              </w:rPr>
              <w:t>(A-136, section II.2.</w:t>
            </w:r>
            <w:r w:rsidR="006A3034" w:rsidRPr="005B5418">
              <w:rPr>
                <w:rFonts w:cs="Arial"/>
              </w:rPr>
              <w:t>3</w:t>
            </w:r>
            <w:r w:rsidR="00193621" w:rsidRPr="005B5418">
              <w:rPr>
                <w:rFonts w:cs="Arial"/>
              </w:rPr>
              <w:t>)</w:t>
            </w:r>
          </w:p>
        </w:tc>
        <w:tc>
          <w:tcPr>
            <w:tcW w:w="965" w:type="dxa"/>
          </w:tcPr>
          <w:p w14:paraId="1DCA5666" w14:textId="77777777" w:rsidR="00193621" w:rsidRPr="005B5418" w:rsidRDefault="00193621" w:rsidP="008848DA">
            <w:pPr>
              <w:pStyle w:val="Table-Cell-CenterBoldBefore6ptAfter6pt"/>
              <w:spacing w:before="60" w:after="60"/>
              <w:rPr>
                <w:rFonts w:cs="Arial"/>
              </w:rPr>
            </w:pPr>
          </w:p>
        </w:tc>
        <w:tc>
          <w:tcPr>
            <w:tcW w:w="3211" w:type="dxa"/>
          </w:tcPr>
          <w:p w14:paraId="766152A8" w14:textId="77777777" w:rsidR="00193621" w:rsidRPr="005B5418" w:rsidRDefault="00193621" w:rsidP="008848DA">
            <w:pPr>
              <w:spacing w:before="60" w:after="60" w:line="240" w:lineRule="auto"/>
              <w:rPr>
                <w:rFonts w:cs="Arial"/>
              </w:rPr>
            </w:pPr>
          </w:p>
        </w:tc>
      </w:tr>
      <w:tr w:rsidR="00193621" w:rsidRPr="005B5418" w14:paraId="3D6B2CC9" w14:textId="77777777" w:rsidTr="005425ED">
        <w:trPr>
          <w:cantSplit/>
          <w:trHeight w:val="989"/>
        </w:trPr>
        <w:tc>
          <w:tcPr>
            <w:tcW w:w="5400" w:type="dxa"/>
          </w:tcPr>
          <w:p w14:paraId="186B1A74" w14:textId="66A44857" w:rsidR="00193621" w:rsidRPr="005B5418" w:rsidRDefault="00193621" w:rsidP="00FD31B5">
            <w:pPr>
              <w:pStyle w:val="FAM-Table-outline"/>
            </w:pPr>
            <w:r w:rsidRPr="005B5418">
              <w:t xml:space="preserve">Does </w:t>
            </w:r>
            <w:r w:rsidR="00C479BD" w:rsidRPr="005B5418">
              <w:t xml:space="preserve">the MD&amp;A include a table or other singular presentation of key measures drawn from the financial statements? [This is a </w:t>
            </w:r>
            <w:r w:rsidR="00D24507">
              <w:t>r</w:t>
            </w:r>
            <w:r w:rsidR="00D24507" w:rsidRPr="00D24507">
              <w:t xml:space="preserve">equirement for </w:t>
            </w:r>
            <w:r w:rsidR="00CD2949" w:rsidRPr="00CD2949">
              <w:t xml:space="preserve">entities that report a </w:t>
            </w:r>
            <w:r w:rsidR="00D24507" w:rsidRPr="00D24507">
              <w:t>SOSI and may be presented by other entities</w:t>
            </w:r>
            <w:r w:rsidR="00C479BD" w:rsidRPr="005B5418">
              <w:t>.</w:t>
            </w:r>
            <w:r w:rsidR="00B97853" w:rsidRPr="005B5418">
              <w:t xml:space="preserve"> Also, the SOSI closed group measure is not required to be presented in the table or other singular presentation.</w:t>
            </w:r>
            <w:r w:rsidR="00C479BD" w:rsidRPr="005B5418">
              <w:t xml:space="preserve">] </w:t>
            </w:r>
            <w:r w:rsidRPr="005B5418">
              <w:t>See A-136 for an illustrative example. (</w:t>
            </w:r>
            <w:r w:rsidR="00B97853" w:rsidRPr="005B5418">
              <w:t xml:space="preserve">SFFAS 37, paras. 2 and 25 and app. B; </w:t>
            </w:r>
            <w:r w:rsidRPr="005B5418">
              <w:t>A-136, section II.2.</w:t>
            </w:r>
            <w:r w:rsidR="006A3034" w:rsidRPr="005B5418">
              <w:t>3</w:t>
            </w:r>
            <w:r w:rsidRPr="005B5418">
              <w:t>)</w:t>
            </w:r>
          </w:p>
        </w:tc>
        <w:tc>
          <w:tcPr>
            <w:tcW w:w="965" w:type="dxa"/>
          </w:tcPr>
          <w:p w14:paraId="5FE2818C" w14:textId="77777777" w:rsidR="00193621" w:rsidRPr="005B5418" w:rsidRDefault="00193621" w:rsidP="008848DA">
            <w:pPr>
              <w:pStyle w:val="Table-Cell-CenterBoldBefore6ptAfter6pt"/>
              <w:spacing w:before="60" w:after="60"/>
              <w:rPr>
                <w:rFonts w:cs="Arial"/>
              </w:rPr>
            </w:pPr>
          </w:p>
        </w:tc>
        <w:tc>
          <w:tcPr>
            <w:tcW w:w="3211" w:type="dxa"/>
          </w:tcPr>
          <w:p w14:paraId="0F90B48D" w14:textId="77777777" w:rsidR="00193621" w:rsidRPr="005B5418" w:rsidRDefault="00193621" w:rsidP="008848DA">
            <w:pPr>
              <w:spacing w:before="60" w:after="60" w:line="240" w:lineRule="auto"/>
              <w:rPr>
                <w:rFonts w:cs="Arial"/>
              </w:rPr>
            </w:pPr>
          </w:p>
        </w:tc>
      </w:tr>
      <w:tr w:rsidR="00193621" w:rsidRPr="005B5418" w14:paraId="7562E9F6" w14:textId="77777777" w:rsidTr="005425ED">
        <w:trPr>
          <w:cantSplit/>
          <w:trHeight w:val="2160"/>
        </w:trPr>
        <w:tc>
          <w:tcPr>
            <w:tcW w:w="5400" w:type="dxa"/>
          </w:tcPr>
          <w:p w14:paraId="21181516" w14:textId="77777777" w:rsidR="00193621" w:rsidRPr="005B5418" w:rsidRDefault="00193621" w:rsidP="005425ED">
            <w:pPr>
              <w:pStyle w:val="FAM-Table-outline"/>
              <w:widowControl/>
              <w:tabs>
                <w:tab w:val="num" w:pos="72"/>
              </w:tabs>
              <w:adjustRightInd/>
              <w:spacing w:line="240" w:lineRule="auto"/>
              <w:ind w:left="607" w:hanging="535"/>
              <w:textAlignment w:val="auto"/>
              <w:rPr>
                <w:rFonts w:cs="Arial"/>
              </w:rPr>
            </w:pPr>
            <w:r w:rsidRPr="005B5418">
              <w:rPr>
                <w:rFonts w:cs="Arial"/>
              </w:rPr>
              <w:lastRenderedPageBreak/>
              <w:t>If the entity presents a Statement of Social Insurance (SOSI), does the MD&amp;A</w:t>
            </w:r>
          </w:p>
          <w:p w14:paraId="33EDB603" w14:textId="77777777" w:rsidR="00193621" w:rsidRPr="005B5418" w:rsidRDefault="00193621" w:rsidP="008848DA">
            <w:pPr>
              <w:pStyle w:val="FAM-Table-outline2"/>
              <w:widowControl/>
              <w:adjustRightInd/>
              <w:spacing w:line="240" w:lineRule="auto"/>
              <w:ind w:left="1057" w:hanging="432"/>
              <w:textAlignment w:val="auto"/>
              <w:rPr>
                <w:rFonts w:cs="Arial"/>
              </w:rPr>
            </w:pPr>
            <w:r w:rsidRPr="005B5418">
              <w:rPr>
                <w:rFonts w:cs="Arial"/>
              </w:rPr>
              <w:t xml:space="preserve">include a section on information about net costs, total financing sources and net change of cumulative results of operations, total assets, total liabilities, net position, social insurance commitments, </w:t>
            </w:r>
            <w:r w:rsidR="00EE3709" w:rsidRPr="005B5418">
              <w:rPr>
                <w:rFonts w:cs="Arial"/>
              </w:rPr>
              <w:t xml:space="preserve">and </w:t>
            </w:r>
            <w:r w:rsidRPr="005B5418">
              <w:rPr>
                <w:rFonts w:cs="Arial"/>
              </w:rPr>
              <w:t>budget flows;</w:t>
            </w:r>
          </w:p>
          <w:p w14:paraId="416C5816" w14:textId="77777777" w:rsidR="00193621" w:rsidRPr="005B5418" w:rsidRDefault="00193621" w:rsidP="008848DA">
            <w:pPr>
              <w:pStyle w:val="FAM-Table-outline2"/>
              <w:widowControl/>
              <w:adjustRightInd/>
              <w:spacing w:line="240" w:lineRule="auto"/>
              <w:ind w:left="1057" w:hanging="432"/>
              <w:textAlignment w:val="auto"/>
              <w:rPr>
                <w:rFonts w:cs="Arial"/>
              </w:rPr>
            </w:pPr>
            <w:r w:rsidRPr="005B5418">
              <w:rPr>
                <w:rFonts w:cs="Arial"/>
              </w:rPr>
              <w:t>explain the significance of key amounts, the major changes in those amounts during the reporting period, and the causes thereof;</w:t>
            </w:r>
          </w:p>
          <w:p w14:paraId="747C0EA8" w14:textId="77777777" w:rsidR="00193621" w:rsidRPr="005B5418" w:rsidRDefault="00193621" w:rsidP="008848DA">
            <w:pPr>
              <w:pStyle w:val="FAM-Table-outline2"/>
              <w:widowControl/>
              <w:adjustRightInd/>
              <w:spacing w:line="240" w:lineRule="auto"/>
              <w:ind w:left="1057" w:hanging="432"/>
              <w:textAlignment w:val="auto"/>
              <w:rPr>
                <w:rFonts w:cs="Arial"/>
              </w:rPr>
            </w:pPr>
            <w:r w:rsidRPr="005B5418">
              <w:rPr>
                <w:rFonts w:cs="Arial"/>
              </w:rPr>
              <w:t>explain how costs and commitments incurred during the period were or will be financed;</w:t>
            </w:r>
          </w:p>
          <w:p w14:paraId="564B3047" w14:textId="7C96F3E9" w:rsidR="00193621" w:rsidRPr="005B5418" w:rsidRDefault="00193621" w:rsidP="008848DA">
            <w:pPr>
              <w:pStyle w:val="FAM-Table-outline2"/>
              <w:widowControl/>
              <w:adjustRightInd/>
              <w:spacing w:line="240" w:lineRule="auto"/>
              <w:ind w:left="1057" w:hanging="432"/>
              <w:textAlignment w:val="auto"/>
              <w:rPr>
                <w:rFonts w:cs="Arial"/>
              </w:rPr>
            </w:pPr>
            <w:r w:rsidRPr="005B5418">
              <w:rPr>
                <w:rFonts w:cs="Arial"/>
              </w:rPr>
              <w:t>describe important existing and currently</w:t>
            </w:r>
            <w:r w:rsidR="00C07B56" w:rsidRPr="005B5418">
              <w:rPr>
                <w:rFonts w:cs="Arial"/>
              </w:rPr>
              <w:t xml:space="preserve"> </w:t>
            </w:r>
            <w:r w:rsidRPr="005B5418">
              <w:rPr>
                <w:rFonts w:cs="Arial"/>
              </w:rPr>
              <w:t>known demands, risks, uncertainties, events, and conditions—both favorable and unfavorable—that affect the amounts reported in the basic financial statements;</w:t>
            </w:r>
          </w:p>
          <w:p w14:paraId="1D87E757" w14:textId="77777777" w:rsidR="00193621" w:rsidRPr="005B5418" w:rsidRDefault="00193621" w:rsidP="008848DA">
            <w:pPr>
              <w:pStyle w:val="FAM-Table-outline2"/>
              <w:widowControl/>
              <w:adjustRightInd/>
              <w:spacing w:line="240" w:lineRule="auto"/>
              <w:ind w:left="1057" w:hanging="432"/>
              <w:textAlignment w:val="auto"/>
              <w:rPr>
                <w:rFonts w:cs="Arial"/>
              </w:rPr>
            </w:pPr>
            <w:r w:rsidRPr="005B5418">
              <w:rPr>
                <w:rFonts w:cs="Arial"/>
              </w:rPr>
              <w:t>describe possible future effects of both existing and anticipated factors, including quantitative forecasts or projections; and</w:t>
            </w:r>
          </w:p>
          <w:p w14:paraId="01C2BC64" w14:textId="093E8C04" w:rsidR="00193621" w:rsidRPr="005B5418" w:rsidRDefault="00193621" w:rsidP="008848DA">
            <w:pPr>
              <w:pStyle w:val="FAM-Table-outline2"/>
              <w:widowControl/>
              <w:adjustRightInd/>
              <w:spacing w:line="240" w:lineRule="auto"/>
              <w:ind w:left="1057" w:hanging="432"/>
              <w:textAlignment w:val="auto"/>
            </w:pPr>
            <w:r w:rsidRPr="005B5418">
              <w:rPr>
                <w:rFonts w:cs="Arial"/>
              </w:rPr>
              <w:t>explain the open and closed</w:t>
            </w:r>
            <w:r w:rsidR="000D24A8" w:rsidRPr="005B5418">
              <w:rPr>
                <w:rFonts w:cs="Arial"/>
              </w:rPr>
              <w:t xml:space="preserve"> group measures,</w:t>
            </w:r>
            <w:r w:rsidRPr="005B5418">
              <w:rPr>
                <w:rStyle w:val="FootnoteReference"/>
                <w:rFonts w:cs="Arial"/>
              </w:rPr>
              <w:footnoteReference w:id="16"/>
            </w:r>
            <w:r w:rsidRPr="005B5418">
              <w:rPr>
                <w:rFonts w:cs="Arial"/>
              </w:rPr>
              <w:t xml:space="preserve"> how they differ, and the significance of the difference?</w:t>
            </w:r>
            <w:r w:rsidRPr="005B5418">
              <w:rPr>
                <w:rFonts w:cs="Arial"/>
              </w:rPr>
              <w:br/>
              <w:t>(SFFAS 37, par</w:t>
            </w:r>
            <w:r w:rsidR="000D24A8" w:rsidRPr="005B5418">
              <w:rPr>
                <w:rFonts w:cs="Arial"/>
              </w:rPr>
              <w:t>as</w:t>
            </w:r>
            <w:r w:rsidRPr="005B5418">
              <w:rPr>
                <w:rFonts w:cs="Arial"/>
              </w:rPr>
              <w:t>. 2</w:t>
            </w:r>
            <w:r w:rsidR="006D5211" w:rsidRPr="005B5418">
              <w:rPr>
                <w:rFonts w:cs="Arial"/>
              </w:rPr>
              <w:t xml:space="preserve"> and</w:t>
            </w:r>
            <w:r w:rsidRPr="005B5418">
              <w:rPr>
                <w:rFonts w:cs="Arial"/>
              </w:rPr>
              <w:t xml:space="preserve"> 23</w:t>
            </w:r>
            <w:r w:rsidR="006D5211" w:rsidRPr="005B5418">
              <w:rPr>
                <w:rFonts w:cs="Arial"/>
              </w:rPr>
              <w:t>–</w:t>
            </w:r>
            <w:r w:rsidRPr="005B5418">
              <w:rPr>
                <w:rFonts w:cs="Arial"/>
              </w:rPr>
              <w:t>24)</w:t>
            </w:r>
          </w:p>
        </w:tc>
        <w:tc>
          <w:tcPr>
            <w:tcW w:w="965" w:type="dxa"/>
          </w:tcPr>
          <w:p w14:paraId="26C1FC41" w14:textId="77777777" w:rsidR="00193621" w:rsidRPr="005B5418" w:rsidRDefault="00193621" w:rsidP="008848DA">
            <w:pPr>
              <w:pStyle w:val="Table-Cell-CenterBoldBefore6ptAfter6pt"/>
              <w:spacing w:before="60" w:after="60"/>
              <w:rPr>
                <w:rFonts w:cs="Arial"/>
              </w:rPr>
            </w:pPr>
          </w:p>
        </w:tc>
        <w:tc>
          <w:tcPr>
            <w:tcW w:w="3211" w:type="dxa"/>
          </w:tcPr>
          <w:p w14:paraId="7AF71EBB" w14:textId="77777777" w:rsidR="00193621" w:rsidRPr="005B5418" w:rsidRDefault="00193621" w:rsidP="008848DA">
            <w:pPr>
              <w:spacing w:before="60" w:after="60" w:line="240" w:lineRule="auto"/>
              <w:rPr>
                <w:rFonts w:cs="Arial"/>
              </w:rPr>
            </w:pPr>
          </w:p>
        </w:tc>
      </w:tr>
      <w:tr w:rsidR="00193621" w:rsidRPr="005B5418" w14:paraId="24BE2335" w14:textId="77777777" w:rsidTr="005425ED">
        <w:trPr>
          <w:cantSplit/>
          <w:trHeight w:val="1511"/>
        </w:trPr>
        <w:tc>
          <w:tcPr>
            <w:tcW w:w="5400" w:type="dxa"/>
          </w:tcPr>
          <w:p w14:paraId="5D6319F3" w14:textId="6C8403F1" w:rsidR="00193621" w:rsidRPr="005B5418" w:rsidRDefault="00193621" w:rsidP="008848DA">
            <w:pPr>
              <w:pStyle w:val="FAM-Table-outline"/>
              <w:spacing w:line="240" w:lineRule="auto"/>
            </w:pPr>
            <w:r w:rsidRPr="005B5418">
              <w:t>If the entity presents a SOSI, are the amounts discussed in the MD&amp;A for the open group measure the same as the amount</w:t>
            </w:r>
            <w:r w:rsidR="00E06B1F" w:rsidRPr="005B5418">
              <w:t>s</w:t>
            </w:r>
            <w:r w:rsidRPr="005B5418">
              <w:t xml:space="preserve"> in the summary section of the SOSI and the SCSIA? (SFFAS 37, par</w:t>
            </w:r>
            <w:r w:rsidR="001E483D" w:rsidRPr="005B5418">
              <w:t>a</w:t>
            </w:r>
            <w:r w:rsidRPr="005B5418">
              <w:t xml:space="preserve">. 27 </w:t>
            </w:r>
            <w:r w:rsidR="00677E02" w:rsidRPr="005B5418">
              <w:t xml:space="preserve">and apps. </w:t>
            </w:r>
            <w:r w:rsidRPr="005B5418">
              <w:t>C</w:t>
            </w:r>
            <w:r w:rsidR="00677E02" w:rsidRPr="005B5418">
              <w:t>–</w:t>
            </w:r>
            <w:r w:rsidRPr="005B5418">
              <w:t>D)</w:t>
            </w:r>
          </w:p>
        </w:tc>
        <w:tc>
          <w:tcPr>
            <w:tcW w:w="965" w:type="dxa"/>
          </w:tcPr>
          <w:p w14:paraId="3DE77092" w14:textId="77777777" w:rsidR="00193621" w:rsidRPr="005B5418" w:rsidRDefault="00193621" w:rsidP="008848DA">
            <w:pPr>
              <w:pStyle w:val="Table-Cell-CenterBoldBefore6ptAfter6pt"/>
              <w:spacing w:before="60" w:after="60"/>
              <w:rPr>
                <w:rFonts w:cs="Arial"/>
              </w:rPr>
            </w:pPr>
          </w:p>
        </w:tc>
        <w:tc>
          <w:tcPr>
            <w:tcW w:w="3211" w:type="dxa"/>
          </w:tcPr>
          <w:p w14:paraId="72D65D17" w14:textId="77777777" w:rsidR="00193621" w:rsidRPr="005B5418" w:rsidRDefault="00193621" w:rsidP="008848DA">
            <w:pPr>
              <w:spacing w:before="60" w:after="60" w:line="240" w:lineRule="auto"/>
              <w:rPr>
                <w:rFonts w:cs="Arial"/>
              </w:rPr>
            </w:pPr>
          </w:p>
        </w:tc>
      </w:tr>
      <w:tr w:rsidR="00193621" w:rsidRPr="005B5418" w14:paraId="6760ACEC" w14:textId="77777777" w:rsidTr="005425ED">
        <w:trPr>
          <w:cantSplit/>
          <w:trHeight w:val="1151"/>
        </w:trPr>
        <w:tc>
          <w:tcPr>
            <w:tcW w:w="5400" w:type="dxa"/>
          </w:tcPr>
          <w:p w14:paraId="2D5978CE" w14:textId="4813DD04" w:rsidR="00193621" w:rsidRPr="005B5418" w:rsidRDefault="00193621" w:rsidP="008848DA">
            <w:pPr>
              <w:pStyle w:val="FAM-Table-outline"/>
              <w:widowControl/>
              <w:tabs>
                <w:tab w:val="num" w:pos="72"/>
              </w:tabs>
              <w:adjustRightInd/>
              <w:spacing w:line="240" w:lineRule="auto"/>
              <w:ind w:left="607" w:hanging="535"/>
              <w:textAlignment w:val="auto"/>
              <w:rPr>
                <w:rFonts w:cs="Arial"/>
              </w:rPr>
            </w:pPr>
            <w:r w:rsidRPr="005B5418">
              <w:rPr>
                <w:rFonts w:cs="Arial"/>
              </w:rPr>
              <w:t xml:space="preserve">If the entity presents a SOSI, does the MD&amp;A explain the change in the open group measure </w:t>
            </w:r>
            <w:r w:rsidR="00EF2016" w:rsidRPr="005B5418">
              <w:rPr>
                <w:rFonts w:cs="Arial"/>
              </w:rPr>
              <w:t xml:space="preserve">during the reporting period? </w:t>
            </w:r>
            <w:r w:rsidR="00AF1A28" w:rsidRPr="005B5418">
              <w:rPr>
                <w:rFonts w:cs="Arial"/>
              </w:rPr>
              <w:t>(</w:t>
            </w:r>
            <w:r w:rsidR="008624A3" w:rsidRPr="005B5418">
              <w:rPr>
                <w:rFonts w:cs="Arial"/>
              </w:rPr>
              <w:t>SFFAS 37, par</w:t>
            </w:r>
            <w:r w:rsidR="0037197A" w:rsidRPr="005B5418">
              <w:rPr>
                <w:rFonts w:cs="Arial"/>
              </w:rPr>
              <w:t>a</w:t>
            </w:r>
            <w:r w:rsidR="008624A3" w:rsidRPr="005B5418">
              <w:rPr>
                <w:rFonts w:cs="Arial"/>
              </w:rPr>
              <w:t>. 24, c.ii)</w:t>
            </w:r>
          </w:p>
        </w:tc>
        <w:tc>
          <w:tcPr>
            <w:tcW w:w="965" w:type="dxa"/>
          </w:tcPr>
          <w:p w14:paraId="5C7C346D" w14:textId="77777777" w:rsidR="00193621" w:rsidRPr="005B5418" w:rsidRDefault="00193621" w:rsidP="008848DA">
            <w:pPr>
              <w:pStyle w:val="Table-Cell-CenterBoldBefore6ptAfter6pt"/>
              <w:spacing w:before="60" w:after="60"/>
              <w:rPr>
                <w:rFonts w:cs="Arial"/>
              </w:rPr>
            </w:pPr>
          </w:p>
        </w:tc>
        <w:tc>
          <w:tcPr>
            <w:tcW w:w="3211" w:type="dxa"/>
          </w:tcPr>
          <w:p w14:paraId="23F41F47" w14:textId="77777777" w:rsidR="00193621" w:rsidRPr="005B5418" w:rsidRDefault="00193621" w:rsidP="008848DA">
            <w:pPr>
              <w:spacing w:before="60" w:after="60" w:line="240" w:lineRule="auto"/>
              <w:rPr>
                <w:rFonts w:cs="Arial"/>
              </w:rPr>
            </w:pPr>
          </w:p>
        </w:tc>
      </w:tr>
      <w:tr w:rsidR="00193621" w:rsidRPr="005B5418" w14:paraId="4B4C0A8F" w14:textId="77777777" w:rsidTr="005425ED">
        <w:trPr>
          <w:trHeight w:val="1097"/>
        </w:trPr>
        <w:tc>
          <w:tcPr>
            <w:tcW w:w="5400" w:type="dxa"/>
          </w:tcPr>
          <w:p w14:paraId="02D6DA8A" w14:textId="1E100831" w:rsidR="00193621" w:rsidRPr="005B5418" w:rsidRDefault="00193621" w:rsidP="008848DA">
            <w:pPr>
              <w:pStyle w:val="FAM-Table-outline"/>
              <w:widowControl/>
              <w:tabs>
                <w:tab w:val="num" w:pos="72"/>
              </w:tabs>
              <w:adjustRightInd/>
              <w:spacing w:line="240" w:lineRule="auto"/>
              <w:ind w:left="607" w:hanging="535"/>
              <w:textAlignment w:val="auto"/>
              <w:rPr>
                <w:rFonts w:cs="Arial"/>
              </w:rPr>
            </w:pPr>
            <w:r w:rsidRPr="005B5418">
              <w:rPr>
                <w:rFonts w:cs="Arial"/>
              </w:rPr>
              <w:lastRenderedPageBreak/>
              <w:t xml:space="preserve">Does the MD&amp;A </w:t>
            </w:r>
            <w:r w:rsidR="00E83A1B" w:rsidRPr="005B5418">
              <w:rPr>
                <w:rFonts w:cs="Arial"/>
              </w:rPr>
              <w:t>contain</w:t>
            </w:r>
            <w:r w:rsidRPr="005B5418">
              <w:rPr>
                <w:rFonts w:cs="Arial"/>
              </w:rPr>
              <w:t xml:space="preserve"> “Management Assurances”</w:t>
            </w:r>
            <w:r w:rsidR="008E14ED" w:rsidRPr="005B5418">
              <w:rPr>
                <w:rStyle w:val="FootnoteReference"/>
              </w:rPr>
              <w:footnoteReference w:id="17"/>
            </w:r>
            <w:r w:rsidRPr="005B5418">
              <w:rPr>
                <w:rFonts w:cs="Arial"/>
              </w:rPr>
              <w:t xml:space="preserve"> </w:t>
            </w:r>
            <w:r w:rsidR="00E83A1B" w:rsidRPr="005B5418">
              <w:rPr>
                <w:rFonts w:cs="Arial"/>
              </w:rPr>
              <w:t xml:space="preserve">(in either a single statement or two separate statements </w:t>
            </w:r>
            <w:r w:rsidR="00AB1949" w:rsidRPr="005B5418">
              <w:rPr>
                <w:rFonts w:cs="Arial"/>
              </w:rPr>
              <w:t>that</w:t>
            </w:r>
            <w:r w:rsidR="00E83A1B" w:rsidRPr="005B5418">
              <w:rPr>
                <w:rFonts w:cs="Arial"/>
              </w:rPr>
              <w:t xml:space="preserve"> the agency head</w:t>
            </w:r>
            <w:r w:rsidR="00AB1949" w:rsidRPr="005B5418">
              <w:rPr>
                <w:rFonts w:cs="Arial"/>
              </w:rPr>
              <w:t xml:space="preserve"> signed</w:t>
            </w:r>
            <w:r w:rsidR="00E83A1B" w:rsidRPr="005B5418">
              <w:rPr>
                <w:rFonts w:cs="Arial"/>
              </w:rPr>
              <w:t xml:space="preserve">) related </w:t>
            </w:r>
            <w:r w:rsidRPr="005B5418">
              <w:rPr>
                <w:rFonts w:cs="Arial"/>
              </w:rPr>
              <w:t>to</w:t>
            </w:r>
            <w:r w:rsidR="006C659C" w:rsidRPr="005B5418">
              <w:rPr>
                <w:rFonts w:cs="Arial"/>
              </w:rPr>
              <w:t xml:space="preserve"> the</w:t>
            </w:r>
            <w:r w:rsidRPr="005B5418">
              <w:rPr>
                <w:rFonts w:cs="Arial"/>
              </w:rPr>
              <w:t xml:space="preserve"> </w:t>
            </w:r>
          </w:p>
          <w:p w14:paraId="078A9CD4" w14:textId="7FE61542" w:rsidR="00193621" w:rsidRPr="005B5418" w:rsidRDefault="00193621" w:rsidP="008848DA">
            <w:pPr>
              <w:pStyle w:val="FAM-Table-outline2"/>
              <w:widowControl/>
              <w:tabs>
                <w:tab w:val="num" w:pos="1080"/>
              </w:tabs>
              <w:adjustRightInd/>
              <w:spacing w:line="240" w:lineRule="auto"/>
              <w:ind w:left="1057" w:hanging="432"/>
              <w:textAlignment w:val="auto"/>
            </w:pPr>
            <w:r w:rsidRPr="005B5418">
              <w:t xml:space="preserve">Federal Managers’ Financial Integrity Act </w:t>
            </w:r>
            <w:r w:rsidR="008E14ED">
              <w:t xml:space="preserve">of 1982 </w:t>
            </w:r>
            <w:r w:rsidRPr="005B5418">
              <w:t>(FMFIA)</w:t>
            </w:r>
            <w:r w:rsidR="00D657C8" w:rsidRPr="005B5418">
              <w:t>, as prescribed by OMB Circular</w:t>
            </w:r>
            <w:r w:rsidR="00032FCF" w:rsidRPr="005B5418">
              <w:t xml:space="preserve"> No.</w:t>
            </w:r>
            <w:r w:rsidR="00D657C8" w:rsidRPr="005B5418">
              <w:t xml:space="preserve"> A-123, section VI, paragraph A</w:t>
            </w:r>
            <w:r w:rsidR="00411F69" w:rsidRPr="005B5418">
              <w:rPr>
                <w:rStyle w:val="FootnoteReference"/>
              </w:rPr>
              <w:footnoteReference w:id="18"/>
            </w:r>
            <w:r w:rsidRPr="005B5418">
              <w:t xml:space="preserve"> and</w:t>
            </w:r>
          </w:p>
          <w:p w14:paraId="6BAF2970" w14:textId="58C5E581" w:rsidR="00193621" w:rsidRPr="005B5418" w:rsidRDefault="00AF2131" w:rsidP="005835B1">
            <w:pPr>
              <w:pStyle w:val="FAM-Table-outline2"/>
              <w:widowControl/>
              <w:tabs>
                <w:tab w:val="num" w:pos="1080"/>
              </w:tabs>
              <w:adjustRightInd/>
              <w:spacing w:line="240" w:lineRule="auto"/>
              <w:ind w:left="1057" w:hanging="432"/>
              <w:textAlignment w:val="auto"/>
            </w:pPr>
            <w:r w:rsidRPr="00AF2131">
              <w:t xml:space="preserve">For applicable federal executive agencies, </w:t>
            </w:r>
            <w:r w:rsidR="00193621" w:rsidRPr="005B5418">
              <w:t>Federal Financial Management Improvement Act</w:t>
            </w:r>
            <w:r w:rsidR="000B26DB" w:rsidRPr="005B5418">
              <w:t xml:space="preserve"> of 1996</w:t>
            </w:r>
            <w:r w:rsidR="00193621" w:rsidRPr="005B5418">
              <w:t xml:space="preserve"> (FFMIA)? (A-136, section II.2.</w:t>
            </w:r>
            <w:r w:rsidR="005835B1" w:rsidRPr="005B5418">
              <w:t>4</w:t>
            </w:r>
            <w:r w:rsidR="00193621" w:rsidRPr="005B5418">
              <w:t>)</w:t>
            </w:r>
          </w:p>
        </w:tc>
        <w:tc>
          <w:tcPr>
            <w:tcW w:w="965" w:type="dxa"/>
          </w:tcPr>
          <w:p w14:paraId="39D595E7" w14:textId="77777777" w:rsidR="00193621" w:rsidRPr="005B5418" w:rsidRDefault="00193621" w:rsidP="008848DA">
            <w:pPr>
              <w:pStyle w:val="Table-Cell-CenterBoldBefore6ptAfter6pt"/>
              <w:spacing w:before="60" w:after="60"/>
              <w:rPr>
                <w:rFonts w:cs="Arial"/>
              </w:rPr>
            </w:pPr>
          </w:p>
        </w:tc>
        <w:tc>
          <w:tcPr>
            <w:tcW w:w="3211" w:type="dxa"/>
          </w:tcPr>
          <w:p w14:paraId="51E4A2F2" w14:textId="77777777" w:rsidR="00193621" w:rsidRPr="005B5418" w:rsidRDefault="00193621" w:rsidP="008848DA">
            <w:pPr>
              <w:spacing w:before="60" w:after="60" w:line="240" w:lineRule="auto"/>
              <w:rPr>
                <w:rFonts w:cs="Arial"/>
              </w:rPr>
            </w:pPr>
          </w:p>
        </w:tc>
      </w:tr>
      <w:tr w:rsidR="00EC3676" w:rsidRPr="005B5418" w14:paraId="4D973EDD" w14:textId="77777777" w:rsidTr="00500DF2">
        <w:trPr>
          <w:trHeight w:val="1097"/>
        </w:trPr>
        <w:tc>
          <w:tcPr>
            <w:tcW w:w="5400" w:type="dxa"/>
          </w:tcPr>
          <w:p w14:paraId="2FACF733" w14:textId="228BC109" w:rsidR="00EC3676" w:rsidRPr="005B5418" w:rsidRDefault="00EC3676" w:rsidP="008848DA">
            <w:pPr>
              <w:pStyle w:val="FAM-Table-outline"/>
              <w:widowControl/>
              <w:tabs>
                <w:tab w:val="num" w:pos="72"/>
              </w:tabs>
              <w:adjustRightInd/>
              <w:spacing w:line="240" w:lineRule="auto"/>
              <w:ind w:left="607" w:hanging="535"/>
              <w:textAlignment w:val="auto"/>
              <w:rPr>
                <w:rFonts w:cs="Arial"/>
              </w:rPr>
            </w:pPr>
            <w:r w:rsidRPr="005B5418">
              <w:rPr>
                <w:rFonts w:cs="Arial"/>
              </w:rPr>
              <w:t xml:space="preserve">For financial management systems that are not in substantial compliance with </w:t>
            </w:r>
            <w:r w:rsidR="00C6618E">
              <w:rPr>
                <w:rFonts w:cs="Arial"/>
              </w:rPr>
              <w:t xml:space="preserve">one or more of </w:t>
            </w:r>
            <w:r w:rsidR="005E08A5" w:rsidRPr="00C63F2D">
              <w:rPr>
                <w:rFonts w:cs="Arial"/>
              </w:rPr>
              <w:t>FFMIA</w:t>
            </w:r>
            <w:r w:rsidR="005E08A5">
              <w:rPr>
                <w:rFonts w:cs="Arial"/>
              </w:rPr>
              <w:t>’s three requirements for financial management systems</w:t>
            </w:r>
            <w:r w:rsidRPr="005B5418">
              <w:rPr>
                <w:rFonts w:cs="Arial"/>
              </w:rPr>
              <w:t xml:space="preserve">, does the agency identify remediation activities that are planned or underway, describing target dates and offices responsible for bringing systems into compliance? </w:t>
            </w:r>
            <w:r w:rsidRPr="005B5418">
              <w:t>(A-136, section II.2.4)</w:t>
            </w:r>
          </w:p>
        </w:tc>
        <w:tc>
          <w:tcPr>
            <w:tcW w:w="965" w:type="dxa"/>
          </w:tcPr>
          <w:p w14:paraId="19943313" w14:textId="77777777" w:rsidR="00EC3676" w:rsidRPr="005B5418" w:rsidRDefault="00EC3676" w:rsidP="008848DA">
            <w:pPr>
              <w:pStyle w:val="Table-Cell-CenterBoldBefore6ptAfter6pt"/>
              <w:spacing w:before="60" w:after="60"/>
              <w:rPr>
                <w:rFonts w:cs="Arial"/>
              </w:rPr>
            </w:pPr>
          </w:p>
        </w:tc>
        <w:tc>
          <w:tcPr>
            <w:tcW w:w="3211" w:type="dxa"/>
          </w:tcPr>
          <w:p w14:paraId="657827AF" w14:textId="102CC61D" w:rsidR="00EC3676" w:rsidRPr="005B5418" w:rsidRDefault="00EC3676" w:rsidP="008848DA">
            <w:pPr>
              <w:spacing w:before="60" w:after="60" w:line="240" w:lineRule="auto"/>
              <w:rPr>
                <w:rFonts w:cs="Arial"/>
              </w:rPr>
            </w:pPr>
          </w:p>
        </w:tc>
      </w:tr>
      <w:tr w:rsidR="00C56D2F" w:rsidRPr="005B5418" w14:paraId="6F0A3830" w14:textId="77777777" w:rsidTr="005425ED">
        <w:trPr>
          <w:trHeight w:val="1097"/>
        </w:trPr>
        <w:tc>
          <w:tcPr>
            <w:tcW w:w="5400" w:type="dxa"/>
          </w:tcPr>
          <w:p w14:paraId="3E2D7DFF" w14:textId="77777777" w:rsidR="00C56D2F" w:rsidRPr="005B5418" w:rsidRDefault="00C56D2F" w:rsidP="008848DA">
            <w:pPr>
              <w:pStyle w:val="FAM-Table-outline"/>
              <w:widowControl/>
              <w:tabs>
                <w:tab w:val="num" w:pos="72"/>
              </w:tabs>
              <w:adjustRightInd/>
              <w:spacing w:line="240" w:lineRule="auto"/>
              <w:ind w:left="607" w:hanging="535"/>
              <w:textAlignment w:val="auto"/>
              <w:rPr>
                <w:rFonts w:cs="Arial"/>
              </w:rPr>
            </w:pPr>
            <w:r w:rsidRPr="005B5418">
              <w:rPr>
                <w:rFonts w:cs="Arial"/>
              </w:rPr>
              <w:t>Does the MD&amp;A summarize</w:t>
            </w:r>
          </w:p>
          <w:p w14:paraId="44DB666A" w14:textId="77777777" w:rsidR="00C56D2F" w:rsidRPr="005B5418" w:rsidRDefault="00C56D2F" w:rsidP="004C4D23">
            <w:pPr>
              <w:pStyle w:val="FAM-Table-outline2"/>
              <w:widowControl/>
              <w:tabs>
                <w:tab w:val="num" w:pos="1080"/>
              </w:tabs>
              <w:adjustRightInd/>
              <w:spacing w:line="240" w:lineRule="auto"/>
              <w:ind w:left="1057" w:hanging="432"/>
              <w:textAlignment w:val="auto"/>
            </w:pPr>
            <w:r w:rsidRPr="005B5418">
              <w:t>the agency’s financial management systems, including systems critical to financial reporting and financial control and</w:t>
            </w:r>
          </w:p>
          <w:p w14:paraId="608F0A92" w14:textId="29F7BA37" w:rsidR="00C56D2F" w:rsidRPr="005B5418" w:rsidRDefault="00C56D2F" w:rsidP="004C4D23">
            <w:pPr>
              <w:pStyle w:val="FAM-Table-outline2"/>
              <w:widowControl/>
              <w:tabs>
                <w:tab w:val="num" w:pos="1080"/>
              </w:tabs>
              <w:adjustRightInd/>
              <w:spacing w:line="240" w:lineRule="auto"/>
              <w:ind w:left="1057" w:hanging="432"/>
              <w:textAlignment w:val="auto"/>
              <w:rPr>
                <w:rFonts w:cs="Arial"/>
              </w:rPr>
            </w:pPr>
            <w:r w:rsidRPr="005B5418">
              <w:t>the agency’s financial management systems improvement strategy? (A-136, section II.2.</w:t>
            </w:r>
            <w:r w:rsidR="005835B1" w:rsidRPr="005B5418">
              <w:t>4</w:t>
            </w:r>
            <w:r w:rsidRPr="005B5418">
              <w:t>)</w:t>
            </w:r>
          </w:p>
        </w:tc>
        <w:tc>
          <w:tcPr>
            <w:tcW w:w="965" w:type="dxa"/>
          </w:tcPr>
          <w:p w14:paraId="6A957886" w14:textId="77777777" w:rsidR="00C56D2F" w:rsidRPr="005B5418" w:rsidRDefault="00C56D2F" w:rsidP="008848DA">
            <w:pPr>
              <w:pStyle w:val="Table-Cell-CenterBoldBefore6ptAfter6pt"/>
              <w:spacing w:before="60" w:after="60"/>
              <w:rPr>
                <w:rFonts w:cs="Arial"/>
              </w:rPr>
            </w:pPr>
          </w:p>
        </w:tc>
        <w:tc>
          <w:tcPr>
            <w:tcW w:w="3211" w:type="dxa"/>
          </w:tcPr>
          <w:p w14:paraId="033DA5B1" w14:textId="77777777" w:rsidR="00C56D2F" w:rsidRPr="005B5418" w:rsidRDefault="00C56D2F" w:rsidP="008848DA">
            <w:pPr>
              <w:spacing w:before="60" w:after="60" w:line="240" w:lineRule="auto"/>
              <w:rPr>
                <w:rFonts w:cs="Arial"/>
              </w:rPr>
            </w:pPr>
          </w:p>
        </w:tc>
      </w:tr>
      <w:tr w:rsidR="00193621" w:rsidRPr="005B5418" w14:paraId="1A5B63E2" w14:textId="6A65718F" w:rsidTr="005425ED">
        <w:trPr>
          <w:cantSplit/>
          <w:trHeight w:val="863"/>
        </w:trPr>
        <w:tc>
          <w:tcPr>
            <w:tcW w:w="5400" w:type="dxa"/>
          </w:tcPr>
          <w:p w14:paraId="3F3DF853" w14:textId="73DF6540" w:rsidR="00193621" w:rsidRPr="005B5418" w:rsidRDefault="00193621" w:rsidP="005835B1">
            <w:pPr>
              <w:pStyle w:val="FAM-Table-outline"/>
              <w:spacing w:line="240" w:lineRule="auto"/>
            </w:pPr>
            <w:r w:rsidRPr="005B5418">
              <w:t xml:space="preserve">Does </w:t>
            </w:r>
            <w:r w:rsidR="006C659C" w:rsidRPr="005B5418">
              <w:t>the</w:t>
            </w:r>
            <w:r w:rsidR="001C3904" w:rsidRPr="005B5418">
              <w:t xml:space="preserve"> MD&amp;A summarize</w:t>
            </w:r>
            <w:r w:rsidRPr="005B5418">
              <w:t xml:space="preserve"> efforts to maintain compliance </w:t>
            </w:r>
            <w:r w:rsidR="00F13EC5" w:rsidRPr="005B5418">
              <w:t>with applicable</w:t>
            </w:r>
            <w:r w:rsidRPr="005B5418">
              <w:t xml:space="preserve"> laws</w:t>
            </w:r>
            <w:r w:rsidR="00F13EC5" w:rsidRPr="005B5418">
              <w:t>?</w:t>
            </w:r>
            <w:r w:rsidR="00AE73BF" w:rsidRPr="005B5418">
              <w:br/>
            </w:r>
            <w:r w:rsidRPr="005B5418">
              <w:t>(A-136, section II.2.</w:t>
            </w:r>
            <w:r w:rsidR="005835B1" w:rsidRPr="005B5418">
              <w:t>4</w:t>
            </w:r>
            <w:r w:rsidRPr="005B5418">
              <w:t>)</w:t>
            </w:r>
          </w:p>
        </w:tc>
        <w:tc>
          <w:tcPr>
            <w:tcW w:w="965" w:type="dxa"/>
          </w:tcPr>
          <w:p w14:paraId="476C62F7" w14:textId="5C3C3412" w:rsidR="00193621" w:rsidRPr="005B5418" w:rsidRDefault="00193621" w:rsidP="008848DA">
            <w:pPr>
              <w:pStyle w:val="Table-Cell-CenterBoldBefore6ptAfter6pt"/>
              <w:spacing w:before="60" w:after="60"/>
              <w:rPr>
                <w:rFonts w:cs="Arial"/>
              </w:rPr>
            </w:pPr>
          </w:p>
        </w:tc>
        <w:tc>
          <w:tcPr>
            <w:tcW w:w="3211" w:type="dxa"/>
          </w:tcPr>
          <w:p w14:paraId="241D7D44" w14:textId="0CA67F11" w:rsidR="00193621" w:rsidRPr="005B5418" w:rsidRDefault="00193621" w:rsidP="008848DA">
            <w:pPr>
              <w:spacing w:before="60" w:after="60" w:line="240" w:lineRule="auto"/>
              <w:rPr>
                <w:rFonts w:cs="Arial"/>
              </w:rPr>
            </w:pPr>
          </w:p>
        </w:tc>
      </w:tr>
      <w:tr w:rsidR="00193621" w:rsidRPr="005B5418" w14:paraId="460ABC22" w14:textId="77777777" w:rsidTr="005425ED">
        <w:trPr>
          <w:cantSplit/>
          <w:trHeight w:val="1547"/>
        </w:trPr>
        <w:tc>
          <w:tcPr>
            <w:tcW w:w="5400" w:type="dxa"/>
          </w:tcPr>
          <w:p w14:paraId="3F13A833" w14:textId="66CCAC43" w:rsidR="00193621" w:rsidRPr="005B5418" w:rsidRDefault="00193621" w:rsidP="005835B1">
            <w:pPr>
              <w:pStyle w:val="FAM-Table-outline"/>
              <w:spacing w:line="240" w:lineRule="auto"/>
            </w:pPr>
            <w:r w:rsidRPr="005B5418">
              <w:t>Did management review its FMFIA</w:t>
            </w:r>
            <w:r w:rsidR="002D70C3" w:rsidRPr="005B5418">
              <w:t xml:space="preserve"> and FFMIA assurance statements for consistency with the findings specified in the annual financial statement audit report?</w:t>
            </w:r>
            <w:r w:rsidRPr="005B5418">
              <w:t xml:space="preserve"> (A-136, section II.2.</w:t>
            </w:r>
            <w:r w:rsidR="004A2603" w:rsidRPr="005B5418">
              <w:t>4</w:t>
            </w:r>
            <w:r w:rsidRPr="005B5418">
              <w:t>)</w:t>
            </w:r>
          </w:p>
        </w:tc>
        <w:tc>
          <w:tcPr>
            <w:tcW w:w="965" w:type="dxa"/>
          </w:tcPr>
          <w:p w14:paraId="702870DC" w14:textId="77777777" w:rsidR="00193621" w:rsidRPr="005B5418" w:rsidRDefault="00193621" w:rsidP="008848DA">
            <w:pPr>
              <w:pStyle w:val="Table-Cell-CenterBoldBefore6ptAfter6pt"/>
              <w:spacing w:before="60" w:after="60"/>
              <w:rPr>
                <w:rFonts w:cs="Arial"/>
              </w:rPr>
            </w:pPr>
          </w:p>
        </w:tc>
        <w:tc>
          <w:tcPr>
            <w:tcW w:w="3211" w:type="dxa"/>
          </w:tcPr>
          <w:p w14:paraId="5A7E9AEF" w14:textId="77777777" w:rsidR="00193621" w:rsidRPr="005B5418" w:rsidRDefault="00193621" w:rsidP="008848DA">
            <w:pPr>
              <w:spacing w:before="60" w:after="60" w:line="240" w:lineRule="auto"/>
              <w:rPr>
                <w:rFonts w:cs="Arial"/>
              </w:rPr>
            </w:pPr>
          </w:p>
        </w:tc>
      </w:tr>
      <w:tr w:rsidR="00193621" w:rsidRPr="005B5418" w14:paraId="4E27F277" w14:textId="77777777" w:rsidTr="005425ED">
        <w:trPr>
          <w:cantSplit/>
          <w:trHeight w:val="1529"/>
        </w:trPr>
        <w:tc>
          <w:tcPr>
            <w:tcW w:w="5400" w:type="dxa"/>
          </w:tcPr>
          <w:p w14:paraId="24E0411D" w14:textId="4778267E" w:rsidR="00193621" w:rsidRPr="005B5418" w:rsidRDefault="00193621" w:rsidP="005835B1">
            <w:pPr>
              <w:pStyle w:val="FAM-Table-outline"/>
              <w:spacing w:line="240" w:lineRule="auto"/>
            </w:pPr>
            <w:r w:rsidRPr="005B5418">
              <w:lastRenderedPageBreak/>
              <w:t xml:space="preserve">If management did not agree with </w:t>
            </w:r>
            <w:r w:rsidR="00F4344A" w:rsidRPr="00F4344A">
              <w:t>the findings specified in the annual financial statement audit report</w:t>
            </w:r>
            <w:r w:rsidRPr="005B5418">
              <w:t>, did management then explain why it does not agree and describe how the disagreement will be addressed?</w:t>
            </w:r>
            <w:r w:rsidR="00C860A6" w:rsidRPr="005B5418">
              <w:t xml:space="preserve"> </w:t>
            </w:r>
            <w:r w:rsidRPr="005B5418">
              <w:t>(A-136, section II.2.</w:t>
            </w:r>
            <w:r w:rsidR="005835B1" w:rsidRPr="005B5418">
              <w:t>4</w:t>
            </w:r>
            <w:r w:rsidRPr="005B5418">
              <w:t>)</w:t>
            </w:r>
          </w:p>
        </w:tc>
        <w:tc>
          <w:tcPr>
            <w:tcW w:w="965" w:type="dxa"/>
          </w:tcPr>
          <w:p w14:paraId="4A2ECA6E" w14:textId="77777777" w:rsidR="00193621" w:rsidRPr="005B5418" w:rsidRDefault="00193621" w:rsidP="008848DA">
            <w:pPr>
              <w:pStyle w:val="Table-Cell-CenterBoldBefore6ptAfter6pt"/>
              <w:spacing w:before="60" w:after="60"/>
              <w:rPr>
                <w:rFonts w:cs="Arial"/>
              </w:rPr>
            </w:pPr>
          </w:p>
        </w:tc>
        <w:tc>
          <w:tcPr>
            <w:tcW w:w="3211" w:type="dxa"/>
          </w:tcPr>
          <w:p w14:paraId="0018B016" w14:textId="77777777" w:rsidR="00193621" w:rsidRPr="005B5418" w:rsidRDefault="00193621" w:rsidP="008848DA">
            <w:pPr>
              <w:spacing w:before="60" w:after="60" w:line="240" w:lineRule="auto"/>
              <w:rPr>
                <w:rFonts w:cs="Arial"/>
              </w:rPr>
            </w:pPr>
          </w:p>
        </w:tc>
      </w:tr>
      <w:tr w:rsidR="00193621" w:rsidRPr="005B5418" w14:paraId="1FAD9B16" w14:textId="77777777" w:rsidTr="005425ED">
        <w:trPr>
          <w:cantSplit/>
          <w:trHeight w:val="2160"/>
        </w:trPr>
        <w:tc>
          <w:tcPr>
            <w:tcW w:w="5400" w:type="dxa"/>
          </w:tcPr>
          <w:p w14:paraId="78CD7DA1" w14:textId="54F974B5" w:rsidR="00193621" w:rsidRPr="005B5418" w:rsidRDefault="00193621" w:rsidP="005835B1">
            <w:pPr>
              <w:pStyle w:val="FAM-Table-outline"/>
              <w:spacing w:line="240" w:lineRule="auto"/>
            </w:pPr>
            <w:bookmarkStart w:id="51" w:name="_Hlk193463868"/>
            <w:r w:rsidRPr="005B5418">
              <w:t xml:space="preserve">Does the MD&amp;A state the limitations of the financial statements </w:t>
            </w:r>
            <w:r w:rsidR="00241E8D" w:rsidRPr="005B5418">
              <w:t xml:space="preserve">using the following or similar </w:t>
            </w:r>
            <w:r w:rsidR="0002055A" w:rsidRPr="005B5418">
              <w:t>language</w:t>
            </w:r>
            <w:r w:rsidRPr="005B5418">
              <w:t>?</w:t>
            </w:r>
            <w:r w:rsidRPr="005B5418">
              <w:rPr>
                <w:rFonts w:cs="Arial"/>
              </w:rPr>
              <w:br/>
            </w:r>
            <w:r w:rsidRPr="005B5418">
              <w:rPr>
                <w:rFonts w:cs="Arial"/>
              </w:rPr>
              <w:br/>
            </w:r>
            <w:r w:rsidRPr="005B5418">
              <w:t>The financial statements are prepared to report the financial position</w:t>
            </w:r>
            <w:r w:rsidR="008B7195" w:rsidRPr="005B5418">
              <w:t>, financial condition,</w:t>
            </w:r>
            <w:r w:rsidRPr="005B5418">
              <w:t xml:space="preserve"> and results of operations of the reporting entity, </w:t>
            </w:r>
            <w:r w:rsidR="0002055A" w:rsidRPr="005B5418">
              <w:t>consistent with</w:t>
            </w:r>
            <w:r w:rsidRPr="005B5418">
              <w:t xml:space="preserve"> the requirements of 31 U.S.C. </w:t>
            </w:r>
            <w:r w:rsidR="00F658A4" w:rsidRPr="005B5418">
              <w:t xml:space="preserve">§ </w:t>
            </w:r>
            <w:r w:rsidRPr="005B5418">
              <w:t>3515(b). The statements are prepared from records of the reporting enti</w:t>
            </w:r>
            <w:r w:rsidR="00F658A4" w:rsidRPr="005B5418">
              <w:t>t</w:t>
            </w:r>
            <w:r w:rsidRPr="005B5418">
              <w:t xml:space="preserve">y in accordance with federal GAAP and the formats prescribed by OMB. Reports used to monitor and control budgetary resources are prepared from the same records. </w:t>
            </w:r>
            <w:r w:rsidR="008B7195" w:rsidRPr="005B5418">
              <w:t>Users of t</w:t>
            </w:r>
            <w:r w:rsidRPr="005B5418">
              <w:t xml:space="preserve">he statements </w:t>
            </w:r>
            <w:r w:rsidR="008B7195" w:rsidRPr="005B5418">
              <w:t>are advised that the statement</w:t>
            </w:r>
            <w:r w:rsidR="002F7238" w:rsidRPr="005B5418">
              <w:t>s</w:t>
            </w:r>
            <w:r w:rsidRPr="005B5418">
              <w:t xml:space="preserve"> are for a component of the U.S. </w:t>
            </w:r>
            <w:r w:rsidR="00643402" w:rsidRPr="005B5418">
              <w:t>government</w:t>
            </w:r>
            <w:r w:rsidRPr="005B5418">
              <w:t>.</w:t>
            </w:r>
            <w:r w:rsidRPr="005B5418">
              <w:br/>
              <w:t>(A-136, section II.2.</w:t>
            </w:r>
            <w:r w:rsidR="005835B1" w:rsidRPr="005B5418">
              <w:t>3</w:t>
            </w:r>
            <w:r w:rsidRPr="005B5418">
              <w:t>)</w:t>
            </w:r>
          </w:p>
        </w:tc>
        <w:tc>
          <w:tcPr>
            <w:tcW w:w="965" w:type="dxa"/>
          </w:tcPr>
          <w:p w14:paraId="7E5975E9" w14:textId="77777777" w:rsidR="00193621" w:rsidRPr="005B5418" w:rsidRDefault="00193621" w:rsidP="008848DA">
            <w:pPr>
              <w:pStyle w:val="Table-Cell-CenterBoldBefore6ptAfter6pt"/>
              <w:spacing w:before="60" w:after="60"/>
              <w:rPr>
                <w:rFonts w:cs="Arial"/>
              </w:rPr>
            </w:pPr>
          </w:p>
        </w:tc>
        <w:tc>
          <w:tcPr>
            <w:tcW w:w="3211" w:type="dxa"/>
          </w:tcPr>
          <w:p w14:paraId="490D561E" w14:textId="77777777" w:rsidR="00193621" w:rsidRPr="005B5418" w:rsidRDefault="00193621" w:rsidP="008848DA">
            <w:pPr>
              <w:spacing w:before="60" w:after="60" w:line="240" w:lineRule="auto"/>
              <w:rPr>
                <w:rFonts w:cs="Arial"/>
              </w:rPr>
            </w:pPr>
          </w:p>
        </w:tc>
      </w:tr>
      <w:tr w:rsidR="00500DF2" w:rsidRPr="005B5418" w14:paraId="239253A9" w14:textId="77777777" w:rsidTr="005425ED">
        <w:trPr>
          <w:trHeight w:val="602"/>
        </w:trPr>
        <w:tc>
          <w:tcPr>
            <w:tcW w:w="9576" w:type="dxa"/>
            <w:gridSpan w:val="3"/>
          </w:tcPr>
          <w:p w14:paraId="7794D3E8" w14:textId="5F06C5C4" w:rsidR="00500DF2" w:rsidRPr="005B5418" w:rsidRDefault="00500DF2" w:rsidP="00C74742">
            <w:pPr>
              <w:spacing w:before="60" w:after="60" w:line="240" w:lineRule="auto"/>
              <w:rPr>
                <w:rFonts w:cs="Arial"/>
              </w:rPr>
            </w:pPr>
            <w:bookmarkStart w:id="52" w:name="_Section_III_–"/>
            <w:bookmarkStart w:id="53" w:name="_Ref384814294"/>
            <w:bookmarkStart w:id="54" w:name="_Ref384814546"/>
            <w:bookmarkStart w:id="55" w:name="_Toc394667869"/>
            <w:bookmarkEnd w:id="46"/>
            <w:bookmarkEnd w:id="50"/>
            <w:bookmarkEnd w:id="51"/>
            <w:bookmarkEnd w:id="52"/>
            <w:r w:rsidRPr="005425ED">
              <w:rPr>
                <w:rFonts w:ascii="Arial" w:hAnsi="Arial" w:cs="Arial"/>
                <w:b/>
              </w:rPr>
              <w:t xml:space="preserve">SFFAS 64 – </w:t>
            </w:r>
            <w:r w:rsidR="008024F8" w:rsidRPr="005B5418">
              <w:rPr>
                <w:rFonts w:ascii="Arial" w:hAnsi="Arial" w:cs="Arial"/>
                <w:b/>
              </w:rPr>
              <w:t xml:space="preserve">Entities </w:t>
            </w:r>
            <w:r w:rsidRPr="005425ED">
              <w:rPr>
                <w:rFonts w:ascii="Arial" w:hAnsi="Arial" w:cs="Arial"/>
                <w:b/>
              </w:rPr>
              <w:t xml:space="preserve">Early </w:t>
            </w:r>
            <w:r w:rsidR="00474246" w:rsidRPr="005B5418">
              <w:rPr>
                <w:rFonts w:ascii="Arial" w:hAnsi="Arial" w:cs="Arial"/>
                <w:b/>
              </w:rPr>
              <w:t>Implementing</w:t>
            </w:r>
            <w:r w:rsidR="008024F8" w:rsidRPr="005B5418">
              <w:rPr>
                <w:rFonts w:ascii="Arial" w:hAnsi="Arial" w:cs="Arial"/>
                <w:b/>
              </w:rPr>
              <w:t xml:space="preserve"> SFFAS 64</w:t>
            </w:r>
          </w:p>
        </w:tc>
      </w:tr>
      <w:tr w:rsidR="00500DF2" w:rsidRPr="005B5418" w14:paraId="67C605D6" w14:textId="77777777" w:rsidTr="005425ED">
        <w:trPr>
          <w:trHeight w:val="1070"/>
        </w:trPr>
        <w:tc>
          <w:tcPr>
            <w:tcW w:w="5400" w:type="dxa"/>
          </w:tcPr>
          <w:p w14:paraId="7507A3B2" w14:textId="67699766" w:rsidR="00500DF2" w:rsidRPr="005B5418" w:rsidRDefault="00500DF2" w:rsidP="00C74742">
            <w:pPr>
              <w:pStyle w:val="FAM-Table-outline"/>
              <w:widowControl/>
              <w:numPr>
                <w:ilvl w:val="0"/>
                <w:numId w:val="7"/>
              </w:numPr>
              <w:tabs>
                <w:tab w:val="clear" w:pos="666"/>
                <w:tab w:val="num" w:pos="607"/>
                <w:tab w:val="num" w:pos="792"/>
              </w:tabs>
              <w:adjustRightInd/>
              <w:spacing w:line="240" w:lineRule="auto"/>
              <w:ind w:left="607" w:hanging="517"/>
              <w:textAlignment w:val="auto"/>
              <w:rPr>
                <w:rFonts w:cs="Arial"/>
              </w:rPr>
            </w:pPr>
            <w:r w:rsidRPr="005B5418">
              <w:rPr>
                <w:rFonts w:cs="Arial"/>
              </w:rPr>
              <w:t xml:space="preserve">Is </w:t>
            </w:r>
            <w:r w:rsidR="008024F8" w:rsidRPr="005B5418">
              <w:rPr>
                <w:rFonts w:cs="Arial"/>
              </w:rPr>
              <w:t>the reporting entity early implementing SFFAS 64</w:t>
            </w:r>
            <w:r w:rsidRPr="005B5418">
              <w:rPr>
                <w:rFonts w:cs="Arial"/>
              </w:rPr>
              <w:t xml:space="preserve">? (Answer Y if applicable </w:t>
            </w:r>
            <w:r w:rsidR="003967E0" w:rsidRPr="005B5418">
              <w:rPr>
                <w:rFonts w:cs="Arial"/>
              </w:rPr>
              <w:t xml:space="preserve">or </w:t>
            </w:r>
            <w:r w:rsidRPr="005B5418">
              <w:rPr>
                <w:rFonts w:cs="Arial"/>
              </w:rPr>
              <w:t>N/A if not applicable. If N/A, skip to the next section.)</w:t>
            </w:r>
          </w:p>
        </w:tc>
        <w:tc>
          <w:tcPr>
            <w:tcW w:w="965" w:type="dxa"/>
          </w:tcPr>
          <w:p w14:paraId="411FDBB3" w14:textId="77777777" w:rsidR="00500DF2" w:rsidRPr="005B5418" w:rsidRDefault="00500DF2" w:rsidP="00C74742">
            <w:pPr>
              <w:pStyle w:val="Table-Cell-CenterBoldBefore6ptAfter6pt"/>
              <w:spacing w:before="60" w:after="60"/>
              <w:rPr>
                <w:rFonts w:cs="Arial"/>
              </w:rPr>
            </w:pPr>
          </w:p>
        </w:tc>
        <w:tc>
          <w:tcPr>
            <w:tcW w:w="3211" w:type="dxa"/>
          </w:tcPr>
          <w:p w14:paraId="7E3C3B90" w14:textId="77777777" w:rsidR="00500DF2" w:rsidRPr="005B5418" w:rsidRDefault="00500DF2" w:rsidP="00C74742">
            <w:pPr>
              <w:spacing w:before="60" w:after="60" w:line="240" w:lineRule="auto"/>
              <w:rPr>
                <w:rFonts w:cs="Arial"/>
              </w:rPr>
            </w:pPr>
          </w:p>
        </w:tc>
      </w:tr>
      <w:tr w:rsidR="00FD4E53" w:rsidRPr="005B5418" w14:paraId="05A354E4" w14:textId="77777777" w:rsidTr="00500DF2">
        <w:trPr>
          <w:trHeight w:val="2160"/>
        </w:trPr>
        <w:tc>
          <w:tcPr>
            <w:tcW w:w="5400" w:type="dxa"/>
          </w:tcPr>
          <w:p w14:paraId="1CBE9FEC" w14:textId="0EA4D476" w:rsidR="00FD4E53" w:rsidRPr="005B5418" w:rsidRDefault="00BC2588">
            <w:pPr>
              <w:pStyle w:val="FAM-Table-outline"/>
              <w:numPr>
                <w:ilvl w:val="0"/>
                <w:numId w:val="7"/>
              </w:numPr>
              <w:tabs>
                <w:tab w:val="clear" w:pos="666"/>
                <w:tab w:val="num" w:pos="792"/>
              </w:tabs>
              <w:spacing w:line="240" w:lineRule="auto"/>
              <w:rPr>
                <w:rFonts w:cs="Arial"/>
              </w:rPr>
            </w:pPr>
            <w:r w:rsidRPr="00BC2588">
              <w:t>To achieve a balanced MD&amp;A,</w:t>
            </w:r>
            <w:r>
              <w:t xml:space="preserve"> d</w:t>
            </w:r>
            <w:r w:rsidR="00FD4E53" w:rsidRPr="005B5418">
              <w:t>oes the MD&amp;A include information about events, conditions, trends, or a combination of the three that had or might have a significant positive or negative effect on the reporting entity’s financial position, financial condition, or operating performance? (SFFAS 64, para. 8)</w:t>
            </w:r>
          </w:p>
        </w:tc>
        <w:tc>
          <w:tcPr>
            <w:tcW w:w="965" w:type="dxa"/>
          </w:tcPr>
          <w:p w14:paraId="5809DB54" w14:textId="77777777" w:rsidR="00FD4E53" w:rsidRPr="005B5418" w:rsidRDefault="00FD4E53" w:rsidP="00C74742">
            <w:pPr>
              <w:pStyle w:val="Table-Cell-CenterBoldBefore6ptAfter6pt"/>
              <w:spacing w:before="60" w:after="60"/>
              <w:rPr>
                <w:rFonts w:cs="Arial"/>
              </w:rPr>
            </w:pPr>
          </w:p>
        </w:tc>
        <w:tc>
          <w:tcPr>
            <w:tcW w:w="3211" w:type="dxa"/>
          </w:tcPr>
          <w:p w14:paraId="0D300102" w14:textId="77777777" w:rsidR="00FD4E53" w:rsidRPr="005B5418" w:rsidRDefault="00FD4E53" w:rsidP="00C74742">
            <w:pPr>
              <w:spacing w:before="60" w:after="60" w:line="240" w:lineRule="auto"/>
              <w:rPr>
                <w:rFonts w:cs="Arial"/>
              </w:rPr>
            </w:pPr>
          </w:p>
        </w:tc>
      </w:tr>
      <w:tr w:rsidR="00FD4E53" w:rsidRPr="005B5418" w14:paraId="0C1DDCCC" w14:textId="77777777" w:rsidTr="00500DF2">
        <w:trPr>
          <w:trHeight w:val="2160"/>
        </w:trPr>
        <w:tc>
          <w:tcPr>
            <w:tcW w:w="5400" w:type="dxa"/>
          </w:tcPr>
          <w:p w14:paraId="666A5095" w14:textId="12C8D6E4" w:rsidR="00FD4E53" w:rsidRPr="005B5418" w:rsidRDefault="00BC2588">
            <w:pPr>
              <w:pStyle w:val="FAM-Table-outline"/>
              <w:numPr>
                <w:ilvl w:val="0"/>
                <w:numId w:val="7"/>
              </w:numPr>
              <w:tabs>
                <w:tab w:val="clear" w:pos="666"/>
                <w:tab w:val="num" w:pos="792"/>
              </w:tabs>
              <w:spacing w:line="240" w:lineRule="auto"/>
              <w:rPr>
                <w:rFonts w:cs="Arial"/>
              </w:rPr>
            </w:pPr>
            <w:r w:rsidRPr="00BC2588">
              <w:lastRenderedPageBreak/>
              <w:t>To achieve a concise MD&amp;A,</w:t>
            </w:r>
            <w:r>
              <w:t xml:space="preserve"> d</w:t>
            </w:r>
            <w:r w:rsidR="00FD4E53" w:rsidRPr="005B5418">
              <w:t>oes the MD&amp;A summarize information that is sufficient to meet the needs of its users</w:t>
            </w:r>
            <w:r w:rsidR="000F4F1E">
              <w:t>?</w:t>
            </w:r>
            <w:r w:rsidR="005C0C87" w:rsidRPr="005B5418">
              <w:rPr>
                <w:rStyle w:val="FootnoteReference"/>
              </w:rPr>
              <w:footnoteReference w:id="19"/>
            </w:r>
            <w:r w:rsidR="00FD4E53" w:rsidRPr="005B5418">
              <w:t xml:space="preserve"> (SFFAS 64, para. 9)</w:t>
            </w:r>
          </w:p>
        </w:tc>
        <w:tc>
          <w:tcPr>
            <w:tcW w:w="965" w:type="dxa"/>
          </w:tcPr>
          <w:p w14:paraId="17A2593F" w14:textId="77777777" w:rsidR="00FD4E53" w:rsidRPr="005B5418" w:rsidRDefault="00FD4E53" w:rsidP="00C74742">
            <w:pPr>
              <w:pStyle w:val="Table-Cell-CenterBoldBefore6ptAfter6pt"/>
              <w:spacing w:before="60" w:after="60"/>
              <w:rPr>
                <w:rFonts w:cs="Arial"/>
              </w:rPr>
            </w:pPr>
          </w:p>
        </w:tc>
        <w:tc>
          <w:tcPr>
            <w:tcW w:w="3211" w:type="dxa"/>
          </w:tcPr>
          <w:p w14:paraId="4A4675B1" w14:textId="77777777" w:rsidR="00FD4E53" w:rsidRPr="005B5418" w:rsidRDefault="00FD4E53" w:rsidP="00C74742">
            <w:pPr>
              <w:spacing w:before="60" w:after="60" w:line="240" w:lineRule="auto"/>
              <w:rPr>
                <w:rFonts w:cs="Arial"/>
              </w:rPr>
            </w:pPr>
          </w:p>
        </w:tc>
      </w:tr>
      <w:tr w:rsidR="00FD4E53" w:rsidRPr="005B5418" w14:paraId="65AA5C96" w14:textId="77777777" w:rsidTr="00500DF2">
        <w:trPr>
          <w:trHeight w:val="2160"/>
        </w:trPr>
        <w:tc>
          <w:tcPr>
            <w:tcW w:w="5400" w:type="dxa"/>
          </w:tcPr>
          <w:p w14:paraId="0BB38C84" w14:textId="390BD4BE" w:rsidR="00FD4E53" w:rsidRPr="005B5418" w:rsidRDefault="00BC2588" w:rsidP="005425ED">
            <w:pPr>
              <w:pStyle w:val="FAM-Table-outline"/>
              <w:numPr>
                <w:ilvl w:val="0"/>
                <w:numId w:val="7"/>
              </w:numPr>
            </w:pPr>
            <w:r w:rsidRPr="00BC2588">
              <w:t>To achieve an integrated MD&amp;A,</w:t>
            </w:r>
            <w:r>
              <w:t xml:space="preserve"> d</w:t>
            </w:r>
            <w:r w:rsidR="00FD4E53" w:rsidRPr="005B5418">
              <w:t>oes the MD&amp;A combine financial and nonfinancial information and qualitative and quantitative information to present a comprehensive and unified discussion and analysis? (SFFAS 64, para. 10)</w:t>
            </w:r>
          </w:p>
        </w:tc>
        <w:tc>
          <w:tcPr>
            <w:tcW w:w="965" w:type="dxa"/>
          </w:tcPr>
          <w:p w14:paraId="02225CAE" w14:textId="77777777" w:rsidR="00FD4E53" w:rsidRPr="005B5418" w:rsidRDefault="00FD4E53" w:rsidP="00C74742">
            <w:pPr>
              <w:pStyle w:val="Table-Cell-CenterBoldBefore6ptAfter6pt"/>
              <w:spacing w:before="60" w:after="60"/>
              <w:rPr>
                <w:rFonts w:cs="Arial"/>
              </w:rPr>
            </w:pPr>
          </w:p>
        </w:tc>
        <w:tc>
          <w:tcPr>
            <w:tcW w:w="3211" w:type="dxa"/>
          </w:tcPr>
          <w:p w14:paraId="7B4A1F94" w14:textId="77777777" w:rsidR="00FD4E53" w:rsidRPr="005B5418" w:rsidRDefault="00FD4E53" w:rsidP="00C74742">
            <w:pPr>
              <w:spacing w:before="60" w:after="60" w:line="240" w:lineRule="auto"/>
              <w:rPr>
                <w:rFonts w:cs="Arial"/>
              </w:rPr>
            </w:pPr>
          </w:p>
        </w:tc>
      </w:tr>
      <w:tr w:rsidR="00FD4E53" w:rsidRPr="005B5418" w14:paraId="731F4D97" w14:textId="77777777" w:rsidTr="00500DF2">
        <w:trPr>
          <w:trHeight w:val="2160"/>
        </w:trPr>
        <w:tc>
          <w:tcPr>
            <w:tcW w:w="5400" w:type="dxa"/>
          </w:tcPr>
          <w:p w14:paraId="1669354D" w14:textId="1277F651" w:rsidR="00FD4E53" w:rsidRPr="005B5418" w:rsidRDefault="00D15FF7" w:rsidP="00FD4E53">
            <w:pPr>
              <w:pStyle w:val="FAM-Table-outline"/>
              <w:numPr>
                <w:ilvl w:val="0"/>
                <w:numId w:val="7"/>
              </w:numPr>
            </w:pPr>
            <w:r w:rsidRPr="005B5418">
              <w:t>To achieve an understandable MD&amp;A, d</w:t>
            </w:r>
            <w:r w:rsidR="00FD4E53" w:rsidRPr="005B5418">
              <w:t xml:space="preserve">oes </w:t>
            </w:r>
            <w:r w:rsidRPr="005B5418">
              <w:t xml:space="preserve">it </w:t>
            </w:r>
            <w:r w:rsidR="00FD4E53" w:rsidRPr="005B5418">
              <w:t>present content in plain language, organize information by related content, and, as appropriate, include charts, tables, graphs, or any combination thereof to enhance the understanding of the MD&amp;A for all users, including those who are not experts in federal government financial matters? (SFFAS 64, para. 11)</w:t>
            </w:r>
          </w:p>
        </w:tc>
        <w:tc>
          <w:tcPr>
            <w:tcW w:w="965" w:type="dxa"/>
          </w:tcPr>
          <w:p w14:paraId="5D2E8710" w14:textId="77777777" w:rsidR="00FD4E53" w:rsidRPr="005B5418" w:rsidRDefault="00FD4E53" w:rsidP="00C74742">
            <w:pPr>
              <w:pStyle w:val="Table-Cell-CenterBoldBefore6ptAfter6pt"/>
              <w:spacing w:before="60" w:after="60"/>
              <w:rPr>
                <w:rFonts w:cs="Arial"/>
              </w:rPr>
            </w:pPr>
          </w:p>
        </w:tc>
        <w:tc>
          <w:tcPr>
            <w:tcW w:w="3211" w:type="dxa"/>
          </w:tcPr>
          <w:p w14:paraId="5D006493" w14:textId="77777777" w:rsidR="00FD4E53" w:rsidRPr="005B5418" w:rsidRDefault="00FD4E53" w:rsidP="00C74742">
            <w:pPr>
              <w:spacing w:before="60" w:after="60" w:line="240" w:lineRule="auto"/>
              <w:rPr>
                <w:rFonts w:cs="Arial"/>
              </w:rPr>
            </w:pPr>
          </w:p>
        </w:tc>
      </w:tr>
      <w:tr w:rsidR="00500DF2" w:rsidRPr="005B5418" w14:paraId="036A9201" w14:textId="77777777" w:rsidTr="005425ED">
        <w:trPr>
          <w:trHeight w:val="2160"/>
        </w:trPr>
        <w:tc>
          <w:tcPr>
            <w:tcW w:w="5400" w:type="dxa"/>
          </w:tcPr>
          <w:p w14:paraId="0ACD5DC1" w14:textId="4D6D81D4" w:rsidR="00500DF2" w:rsidRPr="005B5418" w:rsidRDefault="00500DF2" w:rsidP="005425ED">
            <w:pPr>
              <w:pStyle w:val="FAM-Table-outline"/>
              <w:numPr>
                <w:ilvl w:val="0"/>
                <w:numId w:val="7"/>
              </w:numPr>
              <w:tabs>
                <w:tab w:val="clear" w:pos="666"/>
                <w:tab w:val="num" w:pos="792"/>
              </w:tabs>
              <w:spacing w:line="240" w:lineRule="auto"/>
              <w:rPr>
                <w:rFonts w:cs="Arial"/>
              </w:rPr>
            </w:pPr>
            <w:r w:rsidRPr="005B5418">
              <w:rPr>
                <w:rFonts w:cs="Arial"/>
              </w:rPr>
              <w:t xml:space="preserve">Does the MD&amp;A </w:t>
            </w:r>
            <w:r w:rsidR="003371D5" w:rsidRPr="005B5418">
              <w:rPr>
                <w:rFonts w:cs="Arial"/>
              </w:rPr>
              <w:t>discuss and analyze the following information about the reporting entity’s:</w:t>
            </w:r>
          </w:p>
          <w:p w14:paraId="03927A0D" w14:textId="5FB1E9F8" w:rsidR="00500DF2" w:rsidRPr="005B5418" w:rsidRDefault="003371D5" w:rsidP="005425ED">
            <w:pPr>
              <w:pStyle w:val="FAM-Table-outline2"/>
              <w:widowControl/>
              <w:adjustRightInd/>
              <w:spacing w:line="240" w:lineRule="auto"/>
              <w:ind w:left="1145" w:hanging="432"/>
              <w:textAlignment w:val="auto"/>
            </w:pPr>
            <w:r w:rsidRPr="005B5418">
              <w:t>Organization and mission</w:t>
            </w:r>
            <w:r w:rsidR="00500DF2" w:rsidRPr="005B5418">
              <w:t>;</w:t>
            </w:r>
          </w:p>
          <w:p w14:paraId="399A169A" w14:textId="365BF38C" w:rsidR="003371D5" w:rsidRPr="005B5418" w:rsidRDefault="003371D5" w:rsidP="005425ED">
            <w:pPr>
              <w:pStyle w:val="FAM-Table-outline2"/>
              <w:widowControl/>
              <w:numPr>
                <w:ilvl w:val="1"/>
                <w:numId w:val="65"/>
              </w:numPr>
              <w:adjustRightInd/>
              <w:spacing w:line="240" w:lineRule="auto"/>
              <w:ind w:left="1145" w:hanging="432"/>
              <w:textAlignment w:val="auto"/>
            </w:pPr>
            <w:r w:rsidRPr="005B5418">
              <w:t>Causes of significant changes</w:t>
            </w:r>
            <w:r w:rsidR="0018236D" w:rsidRPr="005B5418">
              <w:rPr>
                <w:rFonts w:cs="Arial"/>
              </w:rPr>
              <w:t xml:space="preserve"> </w:t>
            </w:r>
            <w:r w:rsidRPr="005B5418">
              <w:t>and trends in financial position as explained by the composition or balances of assets, liabilities, net position, costs</w:t>
            </w:r>
            <w:r w:rsidR="0093446C">
              <w:t>,</w:t>
            </w:r>
            <w:r w:rsidRPr="005B5418">
              <w:t xml:space="preserve"> revenues, budgetary resources, and financing sources;</w:t>
            </w:r>
          </w:p>
          <w:p w14:paraId="71ED9385" w14:textId="16C05D34" w:rsidR="003371D5" w:rsidRPr="005B5418" w:rsidRDefault="003371D5" w:rsidP="005425ED">
            <w:pPr>
              <w:pStyle w:val="FAM-Table-outline2"/>
              <w:widowControl/>
              <w:adjustRightInd/>
              <w:spacing w:line="240" w:lineRule="auto"/>
              <w:ind w:left="1145" w:hanging="432"/>
              <w:textAlignment w:val="auto"/>
            </w:pPr>
            <w:r w:rsidRPr="005B5418">
              <w:t>Causes of significant changes and trends in financial condition related to business-</w:t>
            </w:r>
            <w:r w:rsidRPr="005B5418">
              <w:lastRenderedPageBreak/>
              <w:t>type activity, social insurance, long-term fiscal projections, and RSI</w:t>
            </w:r>
            <w:r w:rsidR="005970FB" w:rsidRPr="005B5418">
              <w:t>;</w:t>
            </w:r>
          </w:p>
          <w:p w14:paraId="5D41DCD8" w14:textId="6C1311E2" w:rsidR="003371D5" w:rsidRPr="005B5418" w:rsidRDefault="003371D5" w:rsidP="005425ED">
            <w:pPr>
              <w:pStyle w:val="FAM-Table-outline2"/>
              <w:widowControl/>
              <w:adjustRightInd/>
              <w:spacing w:line="240" w:lineRule="auto"/>
              <w:ind w:left="1145" w:hanging="432"/>
              <w:textAlignment w:val="auto"/>
              <w:rPr>
                <w:rFonts w:cs="Arial"/>
              </w:rPr>
            </w:pPr>
            <w:r w:rsidRPr="005B5418">
              <w:t>Key performance</w:t>
            </w:r>
            <w:r w:rsidR="00CA0917" w:rsidRPr="005B5418">
              <w:rPr>
                <w:rStyle w:val="FootnoteReference"/>
              </w:rPr>
              <w:footnoteReference w:id="20"/>
            </w:r>
            <w:r w:rsidRPr="005B5418">
              <w:t xml:space="preserve"> results</w:t>
            </w:r>
            <w:r w:rsidR="00DF0B3C" w:rsidRPr="005B5418">
              <w:rPr>
                <w:rStyle w:val="FootnoteReference"/>
              </w:rPr>
              <w:footnoteReference w:id="21"/>
            </w:r>
            <w:r w:rsidRPr="005B5418">
              <w:t xml:space="preserve"> and their associated costs, such as: </w:t>
            </w:r>
          </w:p>
          <w:p w14:paraId="42B502C3" w14:textId="1F4FD0E3" w:rsidR="003371D5" w:rsidRPr="005B5418" w:rsidRDefault="003371D5" w:rsidP="005425ED">
            <w:pPr>
              <w:pStyle w:val="FAM-Table-outline3"/>
              <w:widowControl/>
              <w:adjustRightInd/>
              <w:spacing w:before="60" w:after="60" w:line="240" w:lineRule="auto"/>
              <w:ind w:left="1410" w:hanging="432"/>
              <w:textAlignment w:val="auto"/>
              <w:rPr>
                <w:rFonts w:cs="Arial"/>
                <w:szCs w:val="22"/>
              </w:rPr>
            </w:pPr>
            <w:r w:rsidRPr="005425ED">
              <w:rPr>
                <w:rFonts w:cs="Arial"/>
                <w:sz w:val="22"/>
                <w:szCs w:val="22"/>
              </w:rPr>
              <w:t xml:space="preserve">Performance results that are key to the reporting entity. For example, key performance results could be organized based on responsibility segments as reported on the reporting entity’s statement of net cost. </w:t>
            </w:r>
          </w:p>
          <w:p w14:paraId="40A05F6C" w14:textId="6487A83E" w:rsidR="003371D5" w:rsidRPr="005B5418" w:rsidRDefault="003371D5" w:rsidP="005425ED">
            <w:pPr>
              <w:pStyle w:val="FAM-Table-outline3"/>
              <w:widowControl/>
              <w:adjustRightInd/>
              <w:spacing w:before="60" w:after="60" w:line="240" w:lineRule="auto"/>
              <w:ind w:left="1410" w:hanging="432"/>
              <w:textAlignment w:val="auto"/>
              <w:rPr>
                <w:rFonts w:cs="Arial"/>
                <w:szCs w:val="22"/>
              </w:rPr>
            </w:pPr>
            <w:r w:rsidRPr="005425ED">
              <w:rPr>
                <w:rFonts w:cs="Arial"/>
                <w:sz w:val="22"/>
                <w:szCs w:val="22"/>
              </w:rPr>
              <w:t>Actual costs</w:t>
            </w:r>
            <w:r w:rsidR="002163A2" w:rsidRPr="005B5418">
              <w:rPr>
                <w:rStyle w:val="FootnoteReference"/>
                <w:rFonts w:cs="Arial"/>
                <w:sz w:val="22"/>
                <w:szCs w:val="22"/>
              </w:rPr>
              <w:footnoteReference w:id="22"/>
            </w:r>
            <w:r w:rsidRPr="005425ED">
              <w:rPr>
                <w:rFonts w:cs="Arial"/>
                <w:sz w:val="22"/>
                <w:szCs w:val="22"/>
              </w:rPr>
              <w:t xml:space="preserve"> incurred by the reporting entity to accomplish key performance results.</w:t>
            </w:r>
          </w:p>
          <w:p w14:paraId="48AF305C" w14:textId="35A8FF36" w:rsidR="003371D5" w:rsidRPr="005B5418" w:rsidRDefault="003371D5" w:rsidP="005425ED">
            <w:pPr>
              <w:pStyle w:val="FAM-Table-outline3"/>
              <w:widowControl/>
              <w:adjustRightInd/>
              <w:spacing w:before="60" w:after="60" w:line="240" w:lineRule="auto"/>
              <w:ind w:left="1410" w:hanging="432"/>
              <w:textAlignment w:val="auto"/>
              <w:rPr>
                <w:rFonts w:cs="Arial"/>
                <w:szCs w:val="22"/>
              </w:rPr>
            </w:pPr>
            <w:r w:rsidRPr="005425ED">
              <w:rPr>
                <w:rFonts w:cs="Arial"/>
                <w:sz w:val="22"/>
                <w:szCs w:val="22"/>
              </w:rPr>
              <w:t>Cost savings, if any, that the reporting entity might experience with the accomplishment of key performance results.</w:t>
            </w:r>
          </w:p>
          <w:p w14:paraId="6CB30C89" w14:textId="50BE59F8" w:rsidR="00642354" w:rsidRPr="005B5418" w:rsidRDefault="00642354" w:rsidP="005425ED">
            <w:pPr>
              <w:pStyle w:val="FAM-Table-outline2"/>
              <w:widowControl/>
              <w:numPr>
                <w:ilvl w:val="1"/>
                <w:numId w:val="65"/>
              </w:numPr>
              <w:adjustRightInd/>
              <w:spacing w:line="240" w:lineRule="auto"/>
              <w:ind w:left="1145" w:hanging="432"/>
              <w:textAlignment w:val="auto"/>
            </w:pPr>
            <w:r w:rsidRPr="005B5418">
              <w:t>Significant opportunities</w:t>
            </w:r>
            <w:r w:rsidR="002163A2" w:rsidRPr="005B5418">
              <w:rPr>
                <w:rStyle w:val="FootnoteReference"/>
              </w:rPr>
              <w:footnoteReference w:id="23"/>
            </w:r>
            <w:r w:rsidRPr="005B5418">
              <w:t xml:space="preserve"> identified by management to enhance key performance results, plans to leverage such opportunities, and the potential effect on financial and budgetary results of carrying out those plans</w:t>
            </w:r>
            <w:r w:rsidR="00072C8B" w:rsidRPr="005B5418">
              <w:t xml:space="preserve"> and</w:t>
            </w:r>
          </w:p>
          <w:p w14:paraId="4BD210A1" w14:textId="2BF80DB2" w:rsidR="003371D5" w:rsidRPr="005B5418" w:rsidRDefault="00642354" w:rsidP="005425ED">
            <w:pPr>
              <w:pStyle w:val="FAM-Table-outline2"/>
              <w:widowControl/>
              <w:adjustRightInd/>
              <w:spacing w:line="240" w:lineRule="auto"/>
              <w:ind w:left="1145" w:hanging="432"/>
              <w:textAlignment w:val="auto"/>
            </w:pPr>
            <w:r w:rsidRPr="005B5418">
              <w:t>Significant risks</w:t>
            </w:r>
            <w:r w:rsidR="002163A2" w:rsidRPr="005B5418">
              <w:rPr>
                <w:rStyle w:val="FootnoteReference"/>
              </w:rPr>
              <w:footnoteReference w:id="24"/>
            </w:r>
            <w:r w:rsidRPr="005B5418">
              <w:t xml:space="preserve"> identified by management that have a potentially negative</w:t>
            </w:r>
            <w:r w:rsidR="00072C8B" w:rsidRPr="005B5418">
              <w:t xml:space="preserve"> effect on key performance results, plans to mitigate such risks, and the potential effect on financial and budgetary results of carrying out those plans.</w:t>
            </w:r>
          </w:p>
          <w:p w14:paraId="14BF86F6" w14:textId="7BD9A69A" w:rsidR="00500DF2" w:rsidRPr="005B5418" w:rsidRDefault="00500DF2" w:rsidP="005425ED">
            <w:pPr>
              <w:pStyle w:val="FAM-Table-outline2"/>
              <w:widowControl/>
              <w:numPr>
                <w:ilvl w:val="0"/>
                <w:numId w:val="0"/>
              </w:numPr>
              <w:adjustRightInd/>
              <w:spacing w:line="240" w:lineRule="auto"/>
              <w:ind w:left="1145"/>
              <w:textAlignment w:val="auto"/>
              <w:rPr>
                <w:rFonts w:cs="Arial"/>
              </w:rPr>
            </w:pPr>
            <w:r w:rsidRPr="005B5418">
              <w:rPr>
                <w:rFonts w:cs="Arial"/>
              </w:rPr>
              <w:br/>
              <w:t xml:space="preserve">(SFFAS </w:t>
            </w:r>
            <w:r w:rsidR="00072C8B" w:rsidRPr="005B5418">
              <w:rPr>
                <w:rFonts w:cs="Arial"/>
              </w:rPr>
              <w:t>64</w:t>
            </w:r>
            <w:r w:rsidRPr="005B5418">
              <w:rPr>
                <w:rFonts w:cs="Arial"/>
              </w:rPr>
              <w:t>, para. 1</w:t>
            </w:r>
            <w:r w:rsidR="00072C8B" w:rsidRPr="005B5418">
              <w:rPr>
                <w:rFonts w:cs="Arial"/>
              </w:rPr>
              <w:t>2</w:t>
            </w:r>
            <w:r w:rsidRPr="005B5418">
              <w:rPr>
                <w:rFonts w:cs="Arial"/>
              </w:rPr>
              <w:t>)</w:t>
            </w:r>
          </w:p>
        </w:tc>
        <w:tc>
          <w:tcPr>
            <w:tcW w:w="965" w:type="dxa"/>
          </w:tcPr>
          <w:p w14:paraId="12A93DCC" w14:textId="77777777" w:rsidR="00500DF2" w:rsidRPr="005B5418" w:rsidRDefault="00500DF2" w:rsidP="00C74742">
            <w:pPr>
              <w:pStyle w:val="Table-Cell-CenterBoldBefore6ptAfter6pt"/>
              <w:spacing w:before="60" w:after="60"/>
              <w:rPr>
                <w:rFonts w:cs="Arial"/>
              </w:rPr>
            </w:pPr>
          </w:p>
        </w:tc>
        <w:tc>
          <w:tcPr>
            <w:tcW w:w="3211" w:type="dxa"/>
          </w:tcPr>
          <w:p w14:paraId="01B477F5" w14:textId="77777777" w:rsidR="00500DF2" w:rsidRPr="005B5418" w:rsidRDefault="00500DF2" w:rsidP="00C74742">
            <w:pPr>
              <w:spacing w:before="60" w:after="60" w:line="240" w:lineRule="auto"/>
              <w:rPr>
                <w:rFonts w:cs="Arial"/>
              </w:rPr>
            </w:pPr>
          </w:p>
        </w:tc>
      </w:tr>
      <w:tr w:rsidR="00500DF2" w:rsidRPr="005B5418" w14:paraId="66C406E7" w14:textId="77777777" w:rsidTr="005425ED">
        <w:trPr>
          <w:cantSplit/>
          <w:trHeight w:val="2160"/>
        </w:trPr>
        <w:tc>
          <w:tcPr>
            <w:tcW w:w="5400" w:type="dxa"/>
          </w:tcPr>
          <w:p w14:paraId="49BD3463" w14:textId="051E6E70" w:rsidR="00500DF2" w:rsidRPr="005B5418" w:rsidRDefault="00500DF2" w:rsidP="005425ED">
            <w:pPr>
              <w:pStyle w:val="FAM-Table-outline"/>
              <w:widowControl/>
              <w:numPr>
                <w:ilvl w:val="0"/>
                <w:numId w:val="7"/>
              </w:numPr>
              <w:tabs>
                <w:tab w:val="clear" w:pos="666"/>
                <w:tab w:val="num" w:pos="792"/>
              </w:tabs>
              <w:adjustRightInd/>
              <w:spacing w:line="240" w:lineRule="auto"/>
              <w:ind w:left="695" w:hanging="540"/>
              <w:textAlignment w:val="auto"/>
              <w:rPr>
                <w:rFonts w:cs="Arial"/>
              </w:rPr>
            </w:pPr>
            <w:r w:rsidRPr="005B5418">
              <w:rPr>
                <w:rFonts w:cs="Arial"/>
              </w:rPr>
              <w:lastRenderedPageBreak/>
              <w:t xml:space="preserve">Does the MD&amp;A </w:t>
            </w:r>
            <w:r w:rsidR="00C345CF" w:rsidRPr="005B5418">
              <w:rPr>
                <w:rFonts w:cs="Arial"/>
              </w:rPr>
              <w:t>provide management</w:t>
            </w:r>
            <w:r w:rsidR="0075162C">
              <w:rPr>
                <w:rFonts w:cs="Arial"/>
              </w:rPr>
              <w:t>’</w:t>
            </w:r>
            <w:r w:rsidR="00C345CF" w:rsidRPr="005B5418">
              <w:rPr>
                <w:rFonts w:cs="Arial"/>
              </w:rPr>
              <w:t>s summary assessment of the effectiveness of the reporting entity</w:t>
            </w:r>
            <w:r w:rsidR="00A230E7">
              <w:rPr>
                <w:rFonts w:cs="Arial"/>
              </w:rPr>
              <w:t>’</w:t>
            </w:r>
            <w:r w:rsidR="00C345CF" w:rsidRPr="005B5418">
              <w:rPr>
                <w:rFonts w:cs="Arial"/>
              </w:rPr>
              <w:t>s internal controls and financial management systems</w:t>
            </w:r>
            <w:r w:rsidR="00C61775" w:rsidRPr="005B5418">
              <w:rPr>
                <w:rStyle w:val="FootnoteReference"/>
                <w:rFonts w:cs="Arial"/>
              </w:rPr>
              <w:footnoteReference w:id="25"/>
            </w:r>
            <w:r w:rsidR="00C345CF" w:rsidRPr="005B5418">
              <w:rPr>
                <w:rFonts w:cs="Arial"/>
              </w:rPr>
              <w:t xml:space="preserve"> and the reporting entity</w:t>
            </w:r>
            <w:r w:rsidR="00A230E7">
              <w:rPr>
                <w:rFonts w:cs="Arial"/>
              </w:rPr>
              <w:t>’</w:t>
            </w:r>
            <w:r w:rsidR="00C345CF" w:rsidRPr="005B5418">
              <w:rPr>
                <w:rFonts w:cs="Arial"/>
              </w:rPr>
              <w:t>s compliance</w:t>
            </w:r>
            <w:r w:rsidR="006E667B" w:rsidRPr="005B5418">
              <w:rPr>
                <w:rStyle w:val="FootnoteReference"/>
                <w:rFonts w:cs="Arial"/>
              </w:rPr>
              <w:footnoteReference w:id="26"/>
            </w:r>
            <w:r w:rsidR="00C345CF" w:rsidRPr="005B5418">
              <w:rPr>
                <w:rFonts w:cs="Arial"/>
              </w:rPr>
              <w:t xml:space="preserve"> with applicable laws, regulations, contracts, and grant agreements that are relevant to financial reporting? </w:t>
            </w:r>
            <w:r w:rsidRPr="005425ED">
              <w:rPr>
                <w:rFonts w:cs="Arial"/>
              </w:rPr>
              <w:t xml:space="preserve">(SFFAS </w:t>
            </w:r>
            <w:r w:rsidR="00C345CF" w:rsidRPr="005B5418">
              <w:rPr>
                <w:rFonts w:cs="Arial"/>
              </w:rPr>
              <w:t>64</w:t>
            </w:r>
            <w:r w:rsidRPr="005425ED">
              <w:rPr>
                <w:rFonts w:cs="Arial"/>
              </w:rPr>
              <w:t xml:space="preserve">, para. </w:t>
            </w:r>
            <w:r w:rsidR="00C345CF" w:rsidRPr="005B5418">
              <w:rPr>
                <w:rFonts w:cs="Arial"/>
              </w:rPr>
              <w:t>13</w:t>
            </w:r>
            <w:r w:rsidRPr="005B5418">
              <w:rPr>
                <w:rFonts w:cs="Arial"/>
              </w:rPr>
              <w:t>)</w:t>
            </w:r>
          </w:p>
        </w:tc>
        <w:tc>
          <w:tcPr>
            <w:tcW w:w="965" w:type="dxa"/>
          </w:tcPr>
          <w:p w14:paraId="7A8FA628" w14:textId="77777777" w:rsidR="00500DF2" w:rsidRPr="005B5418" w:rsidRDefault="00500DF2" w:rsidP="00C74742">
            <w:pPr>
              <w:pStyle w:val="Table-Cell-CenterBoldBefore6ptAfter6pt"/>
              <w:spacing w:before="60" w:after="60"/>
              <w:rPr>
                <w:rFonts w:cs="Arial"/>
              </w:rPr>
            </w:pPr>
          </w:p>
        </w:tc>
        <w:tc>
          <w:tcPr>
            <w:tcW w:w="3211" w:type="dxa"/>
          </w:tcPr>
          <w:p w14:paraId="73E657D2" w14:textId="77777777" w:rsidR="00500DF2" w:rsidRPr="005B5418" w:rsidRDefault="00500DF2" w:rsidP="00C74742">
            <w:pPr>
              <w:spacing w:before="60" w:after="60" w:line="240" w:lineRule="auto"/>
              <w:rPr>
                <w:rFonts w:cs="Arial"/>
              </w:rPr>
            </w:pPr>
          </w:p>
        </w:tc>
      </w:tr>
      <w:tr w:rsidR="001225B1" w:rsidRPr="005B5418" w14:paraId="16CAA06A" w14:textId="77777777" w:rsidTr="00500DF2">
        <w:trPr>
          <w:cantSplit/>
          <w:trHeight w:val="2160"/>
        </w:trPr>
        <w:tc>
          <w:tcPr>
            <w:tcW w:w="5400" w:type="dxa"/>
          </w:tcPr>
          <w:p w14:paraId="36EA90DB" w14:textId="1F94BAD1" w:rsidR="001225B1" w:rsidRPr="005B5418" w:rsidRDefault="001225B1" w:rsidP="001225B1">
            <w:pPr>
              <w:pStyle w:val="FAM-Table-outline"/>
              <w:numPr>
                <w:ilvl w:val="0"/>
                <w:numId w:val="7"/>
              </w:numPr>
              <w:rPr>
                <w:rFonts w:cs="Arial"/>
              </w:rPr>
            </w:pPr>
            <w:r w:rsidRPr="005B5418">
              <w:rPr>
                <w:rFonts w:cs="Arial"/>
              </w:rPr>
              <w:t xml:space="preserve">Does the summary assessment </w:t>
            </w:r>
            <w:r w:rsidR="00D15FF7" w:rsidRPr="005B5418">
              <w:rPr>
                <w:rFonts w:cs="Arial"/>
              </w:rPr>
              <w:t>of the effectiveness of the reporting entity</w:t>
            </w:r>
            <w:r w:rsidR="00A230E7">
              <w:rPr>
                <w:rFonts w:cs="Arial"/>
              </w:rPr>
              <w:t>’</w:t>
            </w:r>
            <w:r w:rsidR="00D15FF7" w:rsidRPr="005B5418">
              <w:rPr>
                <w:rFonts w:cs="Arial"/>
              </w:rPr>
              <w:t xml:space="preserve">s internal controls and financial management systems </w:t>
            </w:r>
            <w:r w:rsidRPr="005B5418">
              <w:rPr>
                <w:rFonts w:cs="Arial"/>
              </w:rPr>
              <w:t>address internal control weaknesses, systems deficiencies, and instances of noncompliance that have a significant effect on the reporting entity’s financial and performance reporting and its plans to address them</w:t>
            </w:r>
            <w:r w:rsidR="00A230E7">
              <w:rPr>
                <w:rFonts w:cs="Arial"/>
              </w:rPr>
              <w:t>?</w:t>
            </w:r>
            <w:r w:rsidRPr="005B5418">
              <w:rPr>
                <w:rFonts w:cs="Arial"/>
              </w:rPr>
              <w:t xml:space="preserve"> (SFFAS 64, para. 13)</w:t>
            </w:r>
          </w:p>
          <w:p w14:paraId="272E26B6" w14:textId="77777777" w:rsidR="001225B1" w:rsidRPr="005B5418" w:rsidRDefault="001225B1" w:rsidP="005425ED">
            <w:pPr>
              <w:pStyle w:val="FAM-Table-outline"/>
              <w:widowControl/>
              <w:numPr>
                <w:ilvl w:val="0"/>
                <w:numId w:val="0"/>
              </w:numPr>
              <w:adjustRightInd/>
              <w:spacing w:line="240" w:lineRule="auto"/>
              <w:ind w:left="695"/>
              <w:textAlignment w:val="auto"/>
              <w:rPr>
                <w:rFonts w:cs="Arial"/>
              </w:rPr>
            </w:pPr>
          </w:p>
        </w:tc>
        <w:tc>
          <w:tcPr>
            <w:tcW w:w="965" w:type="dxa"/>
          </w:tcPr>
          <w:p w14:paraId="308FD47B" w14:textId="77777777" w:rsidR="001225B1" w:rsidRPr="005B5418" w:rsidRDefault="001225B1" w:rsidP="00C74742">
            <w:pPr>
              <w:pStyle w:val="Table-Cell-CenterBoldBefore6ptAfter6pt"/>
              <w:spacing w:before="60" w:after="60"/>
              <w:rPr>
                <w:rFonts w:cs="Arial"/>
              </w:rPr>
            </w:pPr>
          </w:p>
        </w:tc>
        <w:tc>
          <w:tcPr>
            <w:tcW w:w="3211" w:type="dxa"/>
          </w:tcPr>
          <w:p w14:paraId="18D74DA6" w14:textId="77777777" w:rsidR="001225B1" w:rsidRPr="005B5418" w:rsidRDefault="001225B1" w:rsidP="00C74742">
            <w:pPr>
              <w:spacing w:before="60" w:after="60" w:line="240" w:lineRule="auto"/>
              <w:rPr>
                <w:rFonts w:cs="Arial"/>
              </w:rPr>
            </w:pPr>
          </w:p>
        </w:tc>
      </w:tr>
      <w:tr w:rsidR="00F5688D" w:rsidRPr="005B5418" w14:paraId="5C8DD4AE" w14:textId="77777777" w:rsidTr="00500DF2">
        <w:trPr>
          <w:cantSplit/>
          <w:trHeight w:val="2160"/>
        </w:trPr>
        <w:tc>
          <w:tcPr>
            <w:tcW w:w="5400" w:type="dxa"/>
          </w:tcPr>
          <w:p w14:paraId="60250B68" w14:textId="7BB55C4D" w:rsidR="00F5688D" w:rsidRPr="00F5688D" w:rsidRDefault="00F5688D" w:rsidP="00F5688D">
            <w:pPr>
              <w:pStyle w:val="FAM-Table-outline"/>
              <w:rPr>
                <w:rFonts w:cs="Arial"/>
              </w:rPr>
            </w:pPr>
            <w:r w:rsidRPr="00F5688D">
              <w:rPr>
                <w:rFonts w:cs="Arial"/>
              </w:rPr>
              <w:t>Does the MD&amp;A contain “Management Assurances”</w:t>
            </w:r>
            <w:r w:rsidR="001153DE" w:rsidRPr="005B5418">
              <w:rPr>
                <w:rStyle w:val="FootnoteReference"/>
              </w:rPr>
              <w:footnoteReference w:id="27"/>
            </w:r>
            <w:r w:rsidRPr="00F5688D">
              <w:rPr>
                <w:rFonts w:cs="Arial"/>
              </w:rPr>
              <w:t xml:space="preserve"> (in either a single statement or two separate statements that the agency head signed) related to the </w:t>
            </w:r>
          </w:p>
          <w:p w14:paraId="2230F1B2" w14:textId="09165975" w:rsidR="00F5688D" w:rsidRPr="00F5688D" w:rsidRDefault="00F5688D" w:rsidP="005425ED">
            <w:pPr>
              <w:pStyle w:val="FAM-Table-outline2"/>
              <w:tabs>
                <w:tab w:val="clear" w:pos="2196"/>
              </w:tabs>
              <w:ind w:left="1055" w:hanging="425"/>
            </w:pPr>
            <w:r w:rsidRPr="00F5688D">
              <w:t xml:space="preserve">Federal Managers’ Financial Integrity Act </w:t>
            </w:r>
            <w:r w:rsidR="001153DE">
              <w:t xml:space="preserve">of 1982 </w:t>
            </w:r>
            <w:r w:rsidRPr="00F5688D">
              <w:t>(FMFIA), as prescribed by OMB Circular No. A-123, section VI, paragraph A</w:t>
            </w:r>
            <w:r w:rsidR="00820447">
              <w:rPr>
                <w:rStyle w:val="FootnoteReference"/>
              </w:rPr>
              <w:footnoteReference w:id="28"/>
            </w:r>
            <w:r w:rsidRPr="00F5688D">
              <w:t xml:space="preserve"> and</w:t>
            </w:r>
          </w:p>
          <w:p w14:paraId="17F75E1D" w14:textId="4E1DCEF9" w:rsidR="00F5688D" w:rsidRPr="00E97D5E" w:rsidRDefault="00AF2131" w:rsidP="00F5688D">
            <w:pPr>
              <w:pStyle w:val="FAM-Table-outline2"/>
              <w:widowControl/>
              <w:tabs>
                <w:tab w:val="num" w:pos="1080"/>
              </w:tabs>
              <w:adjustRightInd/>
              <w:spacing w:line="240" w:lineRule="auto"/>
              <w:ind w:left="1057" w:hanging="432"/>
              <w:textAlignment w:val="auto"/>
              <w:rPr>
                <w:rFonts w:cs="Arial"/>
              </w:rPr>
            </w:pPr>
            <w:r w:rsidRPr="00AF2131">
              <w:t xml:space="preserve">For applicable federal executive agencies, </w:t>
            </w:r>
            <w:r w:rsidR="00F5688D" w:rsidRPr="00F5688D">
              <w:rPr>
                <w:rFonts w:cs="Arial"/>
              </w:rPr>
              <w:t>Federal Financial Management Improvement Act of 1996 (FFMIA)? (A-136, section II.2.4)</w:t>
            </w:r>
          </w:p>
          <w:p w14:paraId="59C5B7F7" w14:textId="7729FC93" w:rsidR="00F5688D" w:rsidRPr="005B5418" w:rsidRDefault="00F5688D" w:rsidP="005425ED">
            <w:pPr>
              <w:pStyle w:val="FAM-Table-outline"/>
              <w:widowControl/>
              <w:numPr>
                <w:ilvl w:val="0"/>
                <w:numId w:val="0"/>
              </w:numPr>
              <w:adjustRightInd/>
              <w:spacing w:line="240" w:lineRule="auto"/>
              <w:ind w:left="607"/>
              <w:textAlignment w:val="auto"/>
            </w:pPr>
          </w:p>
        </w:tc>
        <w:tc>
          <w:tcPr>
            <w:tcW w:w="965" w:type="dxa"/>
          </w:tcPr>
          <w:p w14:paraId="112F5FFE" w14:textId="77777777" w:rsidR="00F5688D" w:rsidRPr="005B5418" w:rsidRDefault="00F5688D" w:rsidP="00C74742">
            <w:pPr>
              <w:pStyle w:val="Table-Cell-CenterBoldBefore6ptAfter6pt"/>
              <w:spacing w:before="60" w:after="60"/>
              <w:rPr>
                <w:rFonts w:cs="Arial"/>
              </w:rPr>
            </w:pPr>
          </w:p>
        </w:tc>
        <w:tc>
          <w:tcPr>
            <w:tcW w:w="3211" w:type="dxa"/>
          </w:tcPr>
          <w:p w14:paraId="61823DE8" w14:textId="77777777" w:rsidR="00F5688D" w:rsidRPr="005B5418" w:rsidRDefault="00F5688D" w:rsidP="00C74742">
            <w:pPr>
              <w:spacing w:before="60" w:after="60" w:line="240" w:lineRule="auto"/>
              <w:rPr>
                <w:rFonts w:cs="Arial"/>
              </w:rPr>
            </w:pPr>
          </w:p>
        </w:tc>
      </w:tr>
      <w:tr w:rsidR="00E97D5E" w:rsidRPr="005B5418" w14:paraId="13A928EA" w14:textId="77777777" w:rsidTr="00500DF2">
        <w:trPr>
          <w:cantSplit/>
          <w:trHeight w:val="2160"/>
        </w:trPr>
        <w:tc>
          <w:tcPr>
            <w:tcW w:w="5400" w:type="dxa"/>
          </w:tcPr>
          <w:p w14:paraId="4B9A3D65" w14:textId="77777777" w:rsidR="00E97D5E" w:rsidRPr="005B5418" w:rsidRDefault="00E97D5E" w:rsidP="00E97D5E">
            <w:pPr>
              <w:pStyle w:val="FAM-Table-outline"/>
              <w:widowControl/>
              <w:tabs>
                <w:tab w:val="num" w:pos="72"/>
              </w:tabs>
              <w:adjustRightInd/>
              <w:spacing w:line="240" w:lineRule="auto"/>
              <w:ind w:left="607" w:hanging="535"/>
              <w:textAlignment w:val="auto"/>
              <w:rPr>
                <w:rFonts w:cs="Arial"/>
              </w:rPr>
            </w:pPr>
            <w:r w:rsidRPr="005B5418">
              <w:rPr>
                <w:rFonts w:cs="Arial"/>
              </w:rPr>
              <w:lastRenderedPageBreak/>
              <w:t>Does the MD&amp;A summarize</w:t>
            </w:r>
          </w:p>
          <w:p w14:paraId="14570E6F" w14:textId="77777777" w:rsidR="00E97D5E" w:rsidRPr="00E97D5E" w:rsidRDefault="00E97D5E" w:rsidP="00E97D5E">
            <w:pPr>
              <w:pStyle w:val="FAM-Table-outline2"/>
              <w:widowControl/>
              <w:tabs>
                <w:tab w:val="num" w:pos="1080"/>
              </w:tabs>
              <w:adjustRightInd/>
              <w:spacing w:line="240" w:lineRule="auto"/>
              <w:ind w:left="1057" w:hanging="432"/>
              <w:textAlignment w:val="auto"/>
              <w:rPr>
                <w:rFonts w:cs="Arial"/>
              </w:rPr>
            </w:pPr>
            <w:r w:rsidRPr="005B5418">
              <w:t>the agency’s financial management systems, including systems critical to financial reporting and financial control and</w:t>
            </w:r>
          </w:p>
          <w:p w14:paraId="37530402" w14:textId="6602CBF3" w:rsidR="00E97D5E" w:rsidRPr="00E97D5E" w:rsidRDefault="00E97D5E" w:rsidP="005425ED">
            <w:pPr>
              <w:pStyle w:val="FAM-Table-outline2"/>
              <w:widowControl/>
              <w:tabs>
                <w:tab w:val="num" w:pos="1080"/>
              </w:tabs>
              <w:adjustRightInd/>
              <w:spacing w:line="240" w:lineRule="auto"/>
              <w:ind w:left="1057" w:hanging="432"/>
              <w:textAlignment w:val="auto"/>
              <w:rPr>
                <w:rFonts w:cs="Arial"/>
              </w:rPr>
            </w:pPr>
            <w:r>
              <w:t xml:space="preserve">the </w:t>
            </w:r>
            <w:r w:rsidRPr="005B5418">
              <w:t>agency’s financial management systems improvement strategy? (A-136, section II.2.4</w:t>
            </w:r>
            <w:r>
              <w:t>)</w:t>
            </w:r>
          </w:p>
        </w:tc>
        <w:tc>
          <w:tcPr>
            <w:tcW w:w="965" w:type="dxa"/>
          </w:tcPr>
          <w:p w14:paraId="06CD9DDE" w14:textId="77777777" w:rsidR="00E97D5E" w:rsidRPr="005B5418" w:rsidRDefault="00E97D5E" w:rsidP="00C74742">
            <w:pPr>
              <w:pStyle w:val="Table-Cell-CenterBoldBefore6ptAfter6pt"/>
              <w:spacing w:before="60" w:after="60"/>
              <w:rPr>
                <w:rFonts w:cs="Arial"/>
              </w:rPr>
            </w:pPr>
          </w:p>
        </w:tc>
        <w:tc>
          <w:tcPr>
            <w:tcW w:w="3211" w:type="dxa"/>
          </w:tcPr>
          <w:p w14:paraId="192DF8A9" w14:textId="77777777" w:rsidR="00E97D5E" w:rsidRPr="005B5418" w:rsidRDefault="00E97D5E" w:rsidP="00C74742">
            <w:pPr>
              <w:spacing w:before="60" w:after="60" w:line="240" w:lineRule="auto"/>
              <w:rPr>
                <w:rFonts w:cs="Arial"/>
              </w:rPr>
            </w:pPr>
          </w:p>
        </w:tc>
      </w:tr>
      <w:tr w:rsidR="00E97D5E" w:rsidRPr="005B5418" w14:paraId="6B6A4400" w14:textId="77777777" w:rsidTr="00500DF2">
        <w:trPr>
          <w:cantSplit/>
          <w:trHeight w:val="2160"/>
        </w:trPr>
        <w:tc>
          <w:tcPr>
            <w:tcW w:w="5400" w:type="dxa"/>
          </w:tcPr>
          <w:p w14:paraId="3D57FBCF" w14:textId="7A2950DB" w:rsidR="00E97D5E" w:rsidRPr="00E97D5E" w:rsidRDefault="00E97D5E" w:rsidP="00E97D5E">
            <w:pPr>
              <w:pStyle w:val="FAM-Table-outline"/>
              <w:widowControl/>
              <w:numPr>
                <w:ilvl w:val="0"/>
                <w:numId w:val="7"/>
              </w:numPr>
              <w:tabs>
                <w:tab w:val="num" w:pos="72"/>
              </w:tabs>
              <w:adjustRightInd/>
              <w:spacing w:line="240" w:lineRule="auto"/>
              <w:textAlignment w:val="auto"/>
              <w:rPr>
                <w:rFonts w:cs="Arial"/>
              </w:rPr>
            </w:pPr>
            <w:r w:rsidRPr="005425ED">
              <w:rPr>
                <w:rFonts w:cs="Arial"/>
              </w:rPr>
              <w:t xml:space="preserve">For financial management systems that are not in substantial compliance with one or more of FFMIA’s three requirements for financial management systems, does the agency identify remediation activities that are planned or underway, describing target dates and offices responsible for bringing systems into compliance? </w:t>
            </w:r>
            <w:r w:rsidRPr="005425ED">
              <w:t>(A-136, section II.2.</w:t>
            </w:r>
            <w:r w:rsidRPr="00E97D5E">
              <w:t>4)</w:t>
            </w:r>
          </w:p>
        </w:tc>
        <w:tc>
          <w:tcPr>
            <w:tcW w:w="965" w:type="dxa"/>
          </w:tcPr>
          <w:p w14:paraId="73640EA3" w14:textId="77777777" w:rsidR="00E97D5E" w:rsidRPr="005B5418" w:rsidRDefault="00E97D5E" w:rsidP="00C74742">
            <w:pPr>
              <w:pStyle w:val="Table-Cell-CenterBoldBefore6ptAfter6pt"/>
              <w:spacing w:before="60" w:after="60"/>
              <w:rPr>
                <w:rFonts w:cs="Arial"/>
              </w:rPr>
            </w:pPr>
          </w:p>
        </w:tc>
        <w:tc>
          <w:tcPr>
            <w:tcW w:w="3211" w:type="dxa"/>
          </w:tcPr>
          <w:p w14:paraId="60926645" w14:textId="77777777" w:rsidR="00E97D5E" w:rsidRPr="005B5418" w:rsidRDefault="00E97D5E" w:rsidP="00C74742">
            <w:pPr>
              <w:spacing w:before="60" w:after="60" w:line="240" w:lineRule="auto"/>
              <w:rPr>
                <w:rFonts w:cs="Arial"/>
              </w:rPr>
            </w:pPr>
          </w:p>
        </w:tc>
      </w:tr>
      <w:tr w:rsidR="00E97D5E" w:rsidRPr="005B5418" w14:paraId="7442AE89" w14:textId="77777777" w:rsidTr="005425ED">
        <w:trPr>
          <w:cantSplit/>
          <w:trHeight w:val="1583"/>
        </w:trPr>
        <w:tc>
          <w:tcPr>
            <w:tcW w:w="5400" w:type="dxa"/>
          </w:tcPr>
          <w:p w14:paraId="160E5599" w14:textId="621497A7" w:rsidR="00E97D5E" w:rsidRPr="00E97D5E" w:rsidRDefault="00E97D5E" w:rsidP="00E97D5E">
            <w:pPr>
              <w:pStyle w:val="FAM-Table-outline"/>
              <w:widowControl/>
              <w:numPr>
                <w:ilvl w:val="0"/>
                <w:numId w:val="7"/>
              </w:numPr>
              <w:tabs>
                <w:tab w:val="num" w:pos="72"/>
              </w:tabs>
              <w:adjustRightInd/>
              <w:spacing w:line="240" w:lineRule="auto"/>
              <w:textAlignment w:val="auto"/>
              <w:rPr>
                <w:rFonts w:cs="Arial"/>
              </w:rPr>
            </w:pPr>
            <w:r w:rsidRPr="00E97D5E">
              <w:t xml:space="preserve">Did </w:t>
            </w:r>
            <w:r w:rsidRPr="005425ED">
              <w:t>management review its FMFIA and FFMIA assurance statements for consistency with the findings specified in the annual financial statement audit report? (A-136, section II.2.4</w:t>
            </w:r>
            <w:r w:rsidR="00C56A6B">
              <w:t>)</w:t>
            </w:r>
          </w:p>
        </w:tc>
        <w:tc>
          <w:tcPr>
            <w:tcW w:w="965" w:type="dxa"/>
          </w:tcPr>
          <w:p w14:paraId="3EF67D56" w14:textId="77777777" w:rsidR="00E97D5E" w:rsidRPr="005B5418" w:rsidRDefault="00E97D5E" w:rsidP="00C74742">
            <w:pPr>
              <w:pStyle w:val="Table-Cell-CenterBoldBefore6ptAfter6pt"/>
              <w:spacing w:before="60" w:after="60"/>
              <w:rPr>
                <w:rFonts w:cs="Arial"/>
              </w:rPr>
            </w:pPr>
          </w:p>
        </w:tc>
        <w:tc>
          <w:tcPr>
            <w:tcW w:w="3211" w:type="dxa"/>
          </w:tcPr>
          <w:p w14:paraId="11333346" w14:textId="77777777" w:rsidR="00E97D5E" w:rsidRPr="005B5418" w:rsidRDefault="00E97D5E" w:rsidP="00C74742">
            <w:pPr>
              <w:spacing w:before="60" w:after="60" w:line="240" w:lineRule="auto"/>
              <w:rPr>
                <w:rFonts w:cs="Arial"/>
              </w:rPr>
            </w:pPr>
          </w:p>
        </w:tc>
      </w:tr>
      <w:tr w:rsidR="00E97D5E" w:rsidRPr="005B5418" w14:paraId="328B0700" w14:textId="77777777" w:rsidTr="00E97D5E">
        <w:trPr>
          <w:cantSplit/>
          <w:trHeight w:val="1583"/>
        </w:trPr>
        <w:tc>
          <w:tcPr>
            <w:tcW w:w="5400" w:type="dxa"/>
          </w:tcPr>
          <w:p w14:paraId="3C0BA362" w14:textId="2C68E12D" w:rsidR="00E97D5E" w:rsidRPr="00E97D5E" w:rsidRDefault="00E97D5E" w:rsidP="00E97D5E">
            <w:pPr>
              <w:pStyle w:val="FAM-Table-outline"/>
              <w:widowControl/>
              <w:numPr>
                <w:ilvl w:val="0"/>
                <w:numId w:val="7"/>
              </w:numPr>
              <w:tabs>
                <w:tab w:val="num" w:pos="72"/>
              </w:tabs>
              <w:adjustRightInd/>
              <w:spacing w:line="240" w:lineRule="auto"/>
              <w:textAlignment w:val="auto"/>
            </w:pPr>
            <w:r w:rsidRPr="00E97D5E">
              <w:t xml:space="preserve">If </w:t>
            </w:r>
            <w:r w:rsidRPr="005425ED">
              <w:t>management did not agree with</w:t>
            </w:r>
            <w:r w:rsidR="00F4344A">
              <w:t xml:space="preserve"> </w:t>
            </w:r>
            <w:r w:rsidR="00F4344A" w:rsidRPr="00F4344A">
              <w:t>the findings specified in the annual financial statement audit report</w:t>
            </w:r>
            <w:r w:rsidRPr="005425ED">
              <w:t>, did management then explain why it does not agree and describe how the disagreement will be addressed? (A-136, section II.2.4</w:t>
            </w:r>
            <w:r w:rsidRPr="00E97D5E">
              <w:t>)</w:t>
            </w:r>
          </w:p>
        </w:tc>
        <w:tc>
          <w:tcPr>
            <w:tcW w:w="965" w:type="dxa"/>
          </w:tcPr>
          <w:p w14:paraId="2587B534" w14:textId="77777777" w:rsidR="00E97D5E" w:rsidRPr="005B5418" w:rsidRDefault="00E97D5E" w:rsidP="00C74742">
            <w:pPr>
              <w:pStyle w:val="Table-Cell-CenterBoldBefore6ptAfter6pt"/>
              <w:spacing w:before="60" w:after="60"/>
              <w:rPr>
                <w:rFonts w:cs="Arial"/>
              </w:rPr>
            </w:pPr>
          </w:p>
        </w:tc>
        <w:tc>
          <w:tcPr>
            <w:tcW w:w="3211" w:type="dxa"/>
          </w:tcPr>
          <w:p w14:paraId="623F541F" w14:textId="77777777" w:rsidR="00E97D5E" w:rsidRPr="005B5418" w:rsidRDefault="00E97D5E" w:rsidP="00C74742">
            <w:pPr>
              <w:spacing w:before="60" w:after="60" w:line="240" w:lineRule="auto"/>
              <w:rPr>
                <w:rFonts w:cs="Arial"/>
              </w:rPr>
            </w:pPr>
          </w:p>
        </w:tc>
      </w:tr>
      <w:tr w:rsidR="00500DF2" w:rsidRPr="005B5418" w14:paraId="12BEE4DB" w14:textId="77777777" w:rsidTr="005425ED">
        <w:trPr>
          <w:cantSplit/>
          <w:trHeight w:val="1367"/>
        </w:trPr>
        <w:tc>
          <w:tcPr>
            <w:tcW w:w="5400" w:type="dxa"/>
          </w:tcPr>
          <w:p w14:paraId="0949B040" w14:textId="77777777" w:rsidR="00500DF2" w:rsidRPr="005B5418" w:rsidRDefault="00500DF2" w:rsidP="00C74742">
            <w:pPr>
              <w:pStyle w:val="FAM-Table-outline"/>
              <w:spacing w:line="240" w:lineRule="auto"/>
            </w:pPr>
            <w:r w:rsidRPr="005B5418">
              <w:t>If the agency produces an AFR and APR, does the MD&amp;A provide information on when and where the APR will be available to the public? (A-136, section II.2.2)</w:t>
            </w:r>
          </w:p>
        </w:tc>
        <w:tc>
          <w:tcPr>
            <w:tcW w:w="965" w:type="dxa"/>
          </w:tcPr>
          <w:p w14:paraId="6AFB430A" w14:textId="77777777" w:rsidR="00500DF2" w:rsidRPr="005B5418" w:rsidRDefault="00500DF2" w:rsidP="00C74742">
            <w:pPr>
              <w:pStyle w:val="Table-Cell-CenterBoldBefore6ptAfter6pt"/>
              <w:spacing w:before="60" w:after="60"/>
              <w:rPr>
                <w:rFonts w:cs="Arial"/>
              </w:rPr>
            </w:pPr>
          </w:p>
        </w:tc>
        <w:tc>
          <w:tcPr>
            <w:tcW w:w="3211" w:type="dxa"/>
          </w:tcPr>
          <w:p w14:paraId="4447D4E3" w14:textId="77777777" w:rsidR="00500DF2" w:rsidRPr="005B5418" w:rsidRDefault="00500DF2" w:rsidP="00C74742">
            <w:pPr>
              <w:spacing w:before="60" w:after="60" w:line="240" w:lineRule="auto"/>
              <w:rPr>
                <w:rFonts w:cs="Arial"/>
              </w:rPr>
            </w:pPr>
          </w:p>
        </w:tc>
      </w:tr>
      <w:tr w:rsidR="00500DF2" w:rsidRPr="005B5418" w14:paraId="7981CBA3" w14:textId="77777777" w:rsidTr="005425ED">
        <w:trPr>
          <w:trHeight w:val="1367"/>
        </w:trPr>
        <w:tc>
          <w:tcPr>
            <w:tcW w:w="5400" w:type="dxa"/>
          </w:tcPr>
          <w:p w14:paraId="18A0AB82" w14:textId="77777777" w:rsidR="00500DF2" w:rsidRPr="005B5418" w:rsidRDefault="00500DF2" w:rsidP="00C74742">
            <w:pPr>
              <w:pStyle w:val="FAM-Table-outline"/>
              <w:spacing w:line="240" w:lineRule="auto"/>
            </w:pPr>
            <w:r w:rsidRPr="005B5418">
              <w:t>If the entity issues a PAR, does the MD&amp;A include the annual performance reporting information, as required by OMB Circular No. A-11, Part 6? (A-136, sections II.1.1 and II.2.2)</w:t>
            </w:r>
          </w:p>
        </w:tc>
        <w:tc>
          <w:tcPr>
            <w:tcW w:w="965" w:type="dxa"/>
          </w:tcPr>
          <w:p w14:paraId="66E04D67" w14:textId="77777777" w:rsidR="00500DF2" w:rsidRPr="005B5418" w:rsidRDefault="00500DF2" w:rsidP="00C74742">
            <w:pPr>
              <w:pStyle w:val="Table-Cell-CenterBoldBefore6ptAfter6pt"/>
              <w:spacing w:before="60" w:after="60"/>
              <w:rPr>
                <w:rFonts w:cs="Arial"/>
              </w:rPr>
            </w:pPr>
          </w:p>
        </w:tc>
        <w:tc>
          <w:tcPr>
            <w:tcW w:w="3211" w:type="dxa"/>
          </w:tcPr>
          <w:p w14:paraId="46064494" w14:textId="77777777" w:rsidR="00500DF2" w:rsidRPr="005B5418" w:rsidRDefault="00500DF2" w:rsidP="00C74742">
            <w:pPr>
              <w:spacing w:before="60" w:after="60" w:line="240" w:lineRule="auto"/>
              <w:rPr>
                <w:rFonts w:cs="Arial"/>
              </w:rPr>
            </w:pPr>
          </w:p>
        </w:tc>
      </w:tr>
      <w:tr w:rsidR="00500DF2" w:rsidRPr="005B5418" w14:paraId="696B3BA5" w14:textId="77777777" w:rsidTr="005425ED">
        <w:trPr>
          <w:cantSplit/>
          <w:trHeight w:val="2160"/>
        </w:trPr>
        <w:tc>
          <w:tcPr>
            <w:tcW w:w="5400" w:type="dxa"/>
          </w:tcPr>
          <w:p w14:paraId="0131C002" w14:textId="4F284FA2" w:rsidR="00D87950" w:rsidRPr="005B5418" w:rsidRDefault="00500DF2" w:rsidP="005425ED">
            <w:pPr>
              <w:pStyle w:val="FAM-Table-outline"/>
              <w:widowControl/>
              <w:tabs>
                <w:tab w:val="num" w:pos="72"/>
              </w:tabs>
              <w:adjustRightInd/>
              <w:spacing w:line="240" w:lineRule="auto"/>
              <w:ind w:left="607" w:hanging="535"/>
              <w:textAlignment w:val="auto"/>
              <w:rPr>
                <w:rFonts w:cs="Arial"/>
              </w:rPr>
            </w:pPr>
            <w:r w:rsidRPr="005B5418">
              <w:rPr>
                <w:rFonts w:cs="Arial"/>
              </w:rPr>
              <w:lastRenderedPageBreak/>
              <w:t xml:space="preserve">Does the MD&amp;A’s </w:t>
            </w:r>
            <w:r w:rsidR="00D87950" w:rsidRPr="005B5418">
              <w:rPr>
                <w:rFonts w:cs="Arial"/>
              </w:rPr>
              <w:t>summary</w:t>
            </w:r>
            <w:r w:rsidRPr="005B5418">
              <w:rPr>
                <w:rFonts w:cs="Arial"/>
              </w:rPr>
              <w:t xml:space="preserve"> of the financial statements explain</w:t>
            </w:r>
          </w:p>
          <w:p w14:paraId="6C9FC239" w14:textId="58E205E9" w:rsidR="00D87950" w:rsidRPr="005B5418" w:rsidRDefault="00D87950" w:rsidP="00D87950">
            <w:pPr>
              <w:pStyle w:val="FAM-Table-outline2"/>
              <w:widowControl/>
              <w:adjustRightInd/>
              <w:spacing w:line="240" w:lineRule="auto"/>
              <w:ind w:left="967" w:hanging="337"/>
              <w:textAlignment w:val="auto"/>
              <w:rPr>
                <w:rFonts w:cs="Arial"/>
              </w:rPr>
            </w:pPr>
            <w:r w:rsidRPr="005B5418">
              <w:rPr>
                <w:rFonts w:cs="Arial"/>
              </w:rPr>
              <w:t>purpose, source, and type of significant budgetary resources, including any significant supplemental appropriations, and the relationship between any fees collected and the cost of goods or services provided and</w:t>
            </w:r>
          </w:p>
          <w:p w14:paraId="2A77A1A4" w14:textId="47EAF912" w:rsidR="00500DF2" w:rsidRPr="005B5418" w:rsidRDefault="00D87950" w:rsidP="00D87950">
            <w:pPr>
              <w:pStyle w:val="FAM-Table-outline2"/>
              <w:widowControl/>
              <w:adjustRightInd/>
              <w:spacing w:line="240" w:lineRule="auto"/>
              <w:ind w:left="967" w:hanging="337"/>
              <w:textAlignment w:val="auto"/>
            </w:pPr>
            <w:r w:rsidRPr="005B5418">
              <w:rPr>
                <w:rFonts w:cs="Arial"/>
              </w:rPr>
              <w:t>financial management issues arising during the reporting period? (A-136, section II.2.3)</w:t>
            </w:r>
          </w:p>
        </w:tc>
        <w:tc>
          <w:tcPr>
            <w:tcW w:w="965" w:type="dxa"/>
          </w:tcPr>
          <w:p w14:paraId="4A80E519" w14:textId="77777777" w:rsidR="00500DF2" w:rsidRPr="005B5418" w:rsidRDefault="00500DF2" w:rsidP="00C74742">
            <w:pPr>
              <w:pStyle w:val="Table-Cell-CenterBoldBefore6ptAfter6pt"/>
              <w:spacing w:before="60" w:after="60"/>
              <w:rPr>
                <w:rFonts w:cs="Arial"/>
              </w:rPr>
            </w:pPr>
          </w:p>
        </w:tc>
        <w:tc>
          <w:tcPr>
            <w:tcW w:w="3211" w:type="dxa"/>
          </w:tcPr>
          <w:p w14:paraId="4DE1C5B9" w14:textId="77777777" w:rsidR="00500DF2" w:rsidRPr="005B5418" w:rsidRDefault="00500DF2" w:rsidP="00C74742">
            <w:pPr>
              <w:spacing w:before="60" w:after="60" w:line="240" w:lineRule="auto"/>
              <w:rPr>
                <w:rFonts w:cs="Arial"/>
              </w:rPr>
            </w:pPr>
          </w:p>
        </w:tc>
      </w:tr>
      <w:tr w:rsidR="00500DF2" w:rsidRPr="005B5418" w14:paraId="1BB691BB" w14:textId="77777777" w:rsidTr="005425ED">
        <w:trPr>
          <w:cantSplit/>
          <w:trHeight w:val="989"/>
        </w:trPr>
        <w:tc>
          <w:tcPr>
            <w:tcW w:w="5400" w:type="dxa"/>
          </w:tcPr>
          <w:p w14:paraId="51DC294B" w14:textId="12396125" w:rsidR="00500DF2" w:rsidRPr="005B5418" w:rsidRDefault="00500DF2" w:rsidP="00C74742">
            <w:pPr>
              <w:pStyle w:val="FAM-Table-outline"/>
            </w:pPr>
            <w:r w:rsidRPr="005B5418">
              <w:t xml:space="preserve">Does the MD&amp;A include a table or other singular presentation of key measures drawn from the financial statements? [This is a </w:t>
            </w:r>
            <w:r w:rsidR="005141E2">
              <w:t xml:space="preserve">requirement for </w:t>
            </w:r>
            <w:r w:rsidR="00CD2949" w:rsidRPr="00CD2949">
              <w:t xml:space="preserve">entities that report a </w:t>
            </w:r>
            <w:r w:rsidR="005141E2">
              <w:t>SOSI and may be presented by other entities</w:t>
            </w:r>
            <w:r w:rsidRPr="005B5418">
              <w:t>. Also, the SOSI closed group measure is not required to be presented in the table or other singular presentation.] See A-136 for an illustrative example. (SFFAS 37, paras. 2 and 25 and app. B; A-136, section II.2.3)</w:t>
            </w:r>
          </w:p>
        </w:tc>
        <w:tc>
          <w:tcPr>
            <w:tcW w:w="965" w:type="dxa"/>
          </w:tcPr>
          <w:p w14:paraId="062901DC" w14:textId="77777777" w:rsidR="00500DF2" w:rsidRPr="005B5418" w:rsidRDefault="00500DF2" w:rsidP="00C74742">
            <w:pPr>
              <w:pStyle w:val="Table-Cell-CenterBoldBefore6ptAfter6pt"/>
              <w:spacing w:before="60" w:after="60"/>
              <w:rPr>
                <w:rFonts w:cs="Arial"/>
              </w:rPr>
            </w:pPr>
          </w:p>
        </w:tc>
        <w:tc>
          <w:tcPr>
            <w:tcW w:w="3211" w:type="dxa"/>
          </w:tcPr>
          <w:p w14:paraId="6E38FFB4" w14:textId="77777777" w:rsidR="00500DF2" w:rsidRPr="005B5418" w:rsidRDefault="00500DF2" w:rsidP="00C74742">
            <w:pPr>
              <w:spacing w:before="60" w:after="60" w:line="240" w:lineRule="auto"/>
              <w:rPr>
                <w:rFonts w:cs="Arial"/>
              </w:rPr>
            </w:pPr>
          </w:p>
        </w:tc>
      </w:tr>
      <w:tr w:rsidR="00500DF2" w:rsidRPr="005B5418" w14:paraId="060CCA7F" w14:textId="77777777" w:rsidTr="005425ED">
        <w:trPr>
          <w:cantSplit/>
          <w:trHeight w:val="2160"/>
        </w:trPr>
        <w:tc>
          <w:tcPr>
            <w:tcW w:w="5400" w:type="dxa"/>
          </w:tcPr>
          <w:p w14:paraId="0906058F" w14:textId="218C3A62" w:rsidR="00500DF2" w:rsidRPr="005B5418" w:rsidRDefault="00500DF2" w:rsidP="00C74742">
            <w:pPr>
              <w:pStyle w:val="FAM-Table-outline"/>
              <w:widowControl/>
              <w:tabs>
                <w:tab w:val="num" w:pos="72"/>
              </w:tabs>
              <w:adjustRightInd/>
              <w:spacing w:line="240" w:lineRule="auto"/>
              <w:ind w:left="607" w:hanging="535"/>
              <w:textAlignment w:val="auto"/>
              <w:rPr>
                <w:rFonts w:cs="Arial"/>
              </w:rPr>
            </w:pPr>
            <w:r w:rsidRPr="005B5418">
              <w:rPr>
                <w:rFonts w:cs="Arial"/>
              </w:rPr>
              <w:lastRenderedPageBreak/>
              <w:t xml:space="preserve">If the entity presents </w:t>
            </w:r>
            <w:r w:rsidR="00A230E7">
              <w:rPr>
                <w:rFonts w:cs="Arial"/>
              </w:rPr>
              <w:t xml:space="preserve">a </w:t>
            </w:r>
            <w:r w:rsidRPr="005B5418">
              <w:rPr>
                <w:rFonts w:cs="Arial"/>
              </w:rPr>
              <w:t>SOSI, does the MD&amp;A</w:t>
            </w:r>
          </w:p>
          <w:p w14:paraId="470FFC3E" w14:textId="77777777" w:rsidR="00500DF2" w:rsidRPr="005B5418" w:rsidRDefault="00500DF2" w:rsidP="00C74742">
            <w:pPr>
              <w:pStyle w:val="FAM-Table-outline2"/>
              <w:widowControl/>
              <w:adjustRightInd/>
              <w:spacing w:line="240" w:lineRule="auto"/>
              <w:ind w:left="1057" w:hanging="432"/>
              <w:textAlignment w:val="auto"/>
              <w:rPr>
                <w:rFonts w:cs="Arial"/>
              </w:rPr>
            </w:pPr>
            <w:r w:rsidRPr="005B5418">
              <w:rPr>
                <w:rFonts w:cs="Arial"/>
              </w:rPr>
              <w:t>include a section on information about net costs, total financing sources and net change of cumulative results of operations, total assets, total liabilities, net position, social insurance commitments, and budget flows;</w:t>
            </w:r>
          </w:p>
          <w:p w14:paraId="4B4CA054" w14:textId="77777777" w:rsidR="00500DF2" w:rsidRPr="005B5418" w:rsidRDefault="00500DF2" w:rsidP="00C74742">
            <w:pPr>
              <w:pStyle w:val="FAM-Table-outline2"/>
              <w:widowControl/>
              <w:adjustRightInd/>
              <w:spacing w:line="240" w:lineRule="auto"/>
              <w:ind w:left="1057" w:hanging="432"/>
              <w:textAlignment w:val="auto"/>
              <w:rPr>
                <w:rFonts w:cs="Arial"/>
              </w:rPr>
            </w:pPr>
            <w:r w:rsidRPr="005B5418">
              <w:rPr>
                <w:rFonts w:cs="Arial"/>
              </w:rPr>
              <w:t>explain the significance of key amounts, the major changes in those amounts during the reporting period, and the causes thereof;</w:t>
            </w:r>
          </w:p>
          <w:p w14:paraId="55AF8D22" w14:textId="77777777" w:rsidR="00500DF2" w:rsidRPr="005B5418" w:rsidRDefault="00500DF2" w:rsidP="00C74742">
            <w:pPr>
              <w:pStyle w:val="FAM-Table-outline2"/>
              <w:widowControl/>
              <w:adjustRightInd/>
              <w:spacing w:line="240" w:lineRule="auto"/>
              <w:ind w:left="1057" w:hanging="432"/>
              <w:textAlignment w:val="auto"/>
              <w:rPr>
                <w:rFonts w:cs="Arial"/>
              </w:rPr>
            </w:pPr>
            <w:r w:rsidRPr="005B5418">
              <w:rPr>
                <w:rFonts w:cs="Arial"/>
              </w:rPr>
              <w:t>explain how costs and commitments incurred during the period were or will be financed;</w:t>
            </w:r>
          </w:p>
          <w:p w14:paraId="4AC62A4B" w14:textId="77777777" w:rsidR="00500DF2" w:rsidRPr="005B5418" w:rsidRDefault="00500DF2" w:rsidP="00C74742">
            <w:pPr>
              <w:pStyle w:val="FAM-Table-outline2"/>
              <w:widowControl/>
              <w:adjustRightInd/>
              <w:spacing w:line="240" w:lineRule="auto"/>
              <w:ind w:left="1057" w:hanging="432"/>
              <w:textAlignment w:val="auto"/>
              <w:rPr>
                <w:rFonts w:cs="Arial"/>
              </w:rPr>
            </w:pPr>
            <w:r w:rsidRPr="005B5418">
              <w:rPr>
                <w:rFonts w:cs="Arial"/>
              </w:rPr>
              <w:t>describe important existing and currently known demands, risks, uncertainties, events, and conditions—both favorable and unfavorable—that affect the amounts reported in the basic financial statements;</w:t>
            </w:r>
          </w:p>
          <w:p w14:paraId="2F514A07" w14:textId="77777777" w:rsidR="00500DF2" w:rsidRPr="005B5418" w:rsidRDefault="00500DF2" w:rsidP="00C74742">
            <w:pPr>
              <w:pStyle w:val="FAM-Table-outline2"/>
              <w:widowControl/>
              <w:adjustRightInd/>
              <w:spacing w:line="240" w:lineRule="auto"/>
              <w:ind w:left="1057" w:hanging="432"/>
              <w:textAlignment w:val="auto"/>
              <w:rPr>
                <w:rFonts w:cs="Arial"/>
              </w:rPr>
            </w:pPr>
            <w:r w:rsidRPr="005B5418">
              <w:rPr>
                <w:rFonts w:cs="Arial"/>
              </w:rPr>
              <w:t>describe possible future effects of both existing and anticipated factors, including quantitative forecasts or projections; and</w:t>
            </w:r>
          </w:p>
          <w:p w14:paraId="5C91ACA8" w14:textId="77777777" w:rsidR="00500DF2" w:rsidRPr="005B5418" w:rsidRDefault="00500DF2" w:rsidP="00C74742">
            <w:pPr>
              <w:pStyle w:val="FAM-Table-outline2"/>
              <w:widowControl/>
              <w:adjustRightInd/>
              <w:spacing w:line="240" w:lineRule="auto"/>
              <w:ind w:left="1057" w:hanging="432"/>
              <w:textAlignment w:val="auto"/>
            </w:pPr>
            <w:r w:rsidRPr="005B5418">
              <w:rPr>
                <w:rFonts w:cs="Arial"/>
              </w:rPr>
              <w:t>explain the open and closed group measures,</w:t>
            </w:r>
            <w:r w:rsidRPr="005B5418">
              <w:rPr>
                <w:rStyle w:val="FootnoteReference"/>
                <w:rFonts w:cs="Arial"/>
              </w:rPr>
              <w:footnoteReference w:id="29"/>
            </w:r>
            <w:r w:rsidRPr="005B5418">
              <w:rPr>
                <w:rFonts w:cs="Arial"/>
              </w:rPr>
              <w:t xml:space="preserve"> how they differ, and the significance of the difference?</w:t>
            </w:r>
            <w:r w:rsidRPr="005B5418">
              <w:rPr>
                <w:rFonts w:cs="Arial"/>
              </w:rPr>
              <w:br/>
              <w:t>(SFFAS 37, paras. 2 and 23–24)</w:t>
            </w:r>
          </w:p>
        </w:tc>
        <w:tc>
          <w:tcPr>
            <w:tcW w:w="965" w:type="dxa"/>
          </w:tcPr>
          <w:p w14:paraId="5B99991F" w14:textId="77777777" w:rsidR="00500DF2" w:rsidRPr="005B5418" w:rsidRDefault="00500DF2" w:rsidP="00C74742">
            <w:pPr>
              <w:pStyle w:val="Table-Cell-CenterBoldBefore6ptAfter6pt"/>
              <w:spacing w:before="60" w:after="60"/>
              <w:rPr>
                <w:rFonts w:cs="Arial"/>
              </w:rPr>
            </w:pPr>
          </w:p>
        </w:tc>
        <w:tc>
          <w:tcPr>
            <w:tcW w:w="3211" w:type="dxa"/>
          </w:tcPr>
          <w:p w14:paraId="2E943046" w14:textId="77777777" w:rsidR="00500DF2" w:rsidRPr="005B5418" w:rsidRDefault="00500DF2" w:rsidP="00C74742">
            <w:pPr>
              <w:spacing w:before="60" w:after="60" w:line="240" w:lineRule="auto"/>
              <w:rPr>
                <w:rFonts w:cs="Arial"/>
              </w:rPr>
            </w:pPr>
          </w:p>
        </w:tc>
      </w:tr>
      <w:tr w:rsidR="00500DF2" w:rsidRPr="005B5418" w14:paraId="5513EDE5" w14:textId="77777777" w:rsidTr="005425ED">
        <w:trPr>
          <w:cantSplit/>
          <w:trHeight w:val="1511"/>
        </w:trPr>
        <w:tc>
          <w:tcPr>
            <w:tcW w:w="5400" w:type="dxa"/>
          </w:tcPr>
          <w:p w14:paraId="33C10E2E" w14:textId="49EA97C5" w:rsidR="00500DF2" w:rsidRPr="005B5418" w:rsidRDefault="00500DF2" w:rsidP="00C74742">
            <w:pPr>
              <w:pStyle w:val="FAM-Table-outline"/>
              <w:spacing w:line="240" w:lineRule="auto"/>
            </w:pPr>
            <w:r w:rsidRPr="005B5418">
              <w:t>If the entity presents a SOSI, are the amounts discussed in the MD&amp;A for the open group measure the same as the amounts in the summary section of the SOSI and the SCSIA? (SFFAS 37, para. 27 and apps. C–D)</w:t>
            </w:r>
          </w:p>
        </w:tc>
        <w:tc>
          <w:tcPr>
            <w:tcW w:w="965" w:type="dxa"/>
          </w:tcPr>
          <w:p w14:paraId="1049BC5A" w14:textId="77777777" w:rsidR="00500DF2" w:rsidRPr="005B5418" w:rsidRDefault="00500DF2" w:rsidP="00C74742">
            <w:pPr>
              <w:pStyle w:val="Table-Cell-CenterBoldBefore6ptAfter6pt"/>
              <w:spacing w:before="60" w:after="60"/>
              <w:rPr>
                <w:rFonts w:cs="Arial"/>
              </w:rPr>
            </w:pPr>
          </w:p>
        </w:tc>
        <w:tc>
          <w:tcPr>
            <w:tcW w:w="3211" w:type="dxa"/>
          </w:tcPr>
          <w:p w14:paraId="77CB80AA" w14:textId="77777777" w:rsidR="00500DF2" w:rsidRPr="005B5418" w:rsidRDefault="00500DF2" w:rsidP="00C74742">
            <w:pPr>
              <w:spacing w:before="60" w:after="60" w:line="240" w:lineRule="auto"/>
              <w:rPr>
                <w:rFonts w:cs="Arial"/>
              </w:rPr>
            </w:pPr>
          </w:p>
        </w:tc>
      </w:tr>
      <w:tr w:rsidR="00500DF2" w:rsidRPr="005B5418" w14:paraId="446C4846" w14:textId="77777777" w:rsidTr="005425ED">
        <w:trPr>
          <w:cantSplit/>
          <w:trHeight w:val="1151"/>
        </w:trPr>
        <w:tc>
          <w:tcPr>
            <w:tcW w:w="5400" w:type="dxa"/>
          </w:tcPr>
          <w:p w14:paraId="789A5902" w14:textId="4B175F5B" w:rsidR="00500DF2" w:rsidRPr="005B5418" w:rsidRDefault="00500DF2" w:rsidP="00C74742">
            <w:pPr>
              <w:pStyle w:val="FAM-Table-outline"/>
              <w:widowControl/>
              <w:tabs>
                <w:tab w:val="num" w:pos="72"/>
              </w:tabs>
              <w:adjustRightInd/>
              <w:spacing w:line="240" w:lineRule="auto"/>
              <w:ind w:left="607" w:hanging="535"/>
              <w:textAlignment w:val="auto"/>
              <w:rPr>
                <w:rFonts w:cs="Arial"/>
              </w:rPr>
            </w:pPr>
            <w:r w:rsidRPr="005B5418">
              <w:rPr>
                <w:rFonts w:cs="Arial"/>
              </w:rPr>
              <w:t>If the entity presents a SOSI, does the MD&amp;A explain the change in the open group measure during the reporting period? (SFFAS 37, para. 24, c.ii)</w:t>
            </w:r>
          </w:p>
        </w:tc>
        <w:tc>
          <w:tcPr>
            <w:tcW w:w="965" w:type="dxa"/>
          </w:tcPr>
          <w:p w14:paraId="5455945E" w14:textId="77777777" w:rsidR="00500DF2" w:rsidRPr="005B5418" w:rsidRDefault="00500DF2" w:rsidP="00C74742">
            <w:pPr>
              <w:pStyle w:val="Table-Cell-CenterBoldBefore6ptAfter6pt"/>
              <w:spacing w:before="60" w:after="60"/>
              <w:rPr>
                <w:rFonts w:cs="Arial"/>
              </w:rPr>
            </w:pPr>
          </w:p>
        </w:tc>
        <w:tc>
          <w:tcPr>
            <w:tcW w:w="3211" w:type="dxa"/>
          </w:tcPr>
          <w:p w14:paraId="7229B0B0" w14:textId="77777777" w:rsidR="00500DF2" w:rsidRPr="005B5418" w:rsidRDefault="00500DF2" w:rsidP="00C74742">
            <w:pPr>
              <w:spacing w:before="60" w:after="60" w:line="240" w:lineRule="auto"/>
              <w:rPr>
                <w:rFonts w:cs="Arial"/>
              </w:rPr>
            </w:pPr>
          </w:p>
        </w:tc>
      </w:tr>
      <w:tr w:rsidR="00500DF2" w:rsidRPr="005B5418" w14:paraId="159B70D0" w14:textId="77777777" w:rsidTr="005425ED">
        <w:trPr>
          <w:cantSplit/>
          <w:trHeight w:val="2160"/>
        </w:trPr>
        <w:tc>
          <w:tcPr>
            <w:tcW w:w="5400" w:type="dxa"/>
          </w:tcPr>
          <w:p w14:paraId="530E43C3" w14:textId="6309D109" w:rsidR="00500DF2" w:rsidRPr="005B5418" w:rsidRDefault="00500DF2" w:rsidP="00C74742">
            <w:pPr>
              <w:pStyle w:val="FAM-Table-outline"/>
              <w:spacing w:line="240" w:lineRule="auto"/>
            </w:pPr>
            <w:r w:rsidRPr="005B5418">
              <w:lastRenderedPageBreak/>
              <w:t>Does the MD&amp;A state the limitations of the financial statements using the following or similar language?</w:t>
            </w:r>
            <w:r w:rsidRPr="005B5418">
              <w:rPr>
                <w:rFonts w:cs="Arial"/>
              </w:rPr>
              <w:br/>
            </w:r>
            <w:r w:rsidRPr="005B5418">
              <w:rPr>
                <w:rFonts w:cs="Arial"/>
              </w:rPr>
              <w:br/>
            </w:r>
            <w:r w:rsidRPr="005B5418">
              <w:t>The financial statements are prepared to report the financial position, financial condition, and results of operations of the reporting entity, consistent with the requirements of 31 U.S.C. § 3515(b</w:t>
            </w:r>
            <w:r w:rsidR="00C15443">
              <w:t>)</w:t>
            </w:r>
            <w:r w:rsidR="002A519D">
              <w:t>.</w:t>
            </w:r>
            <w:r w:rsidRPr="005B5418">
              <w:t xml:space="preserve"> The statements are prepared from records of the reporting entity in accordance with federal GAAP and the formats prescribed by OMB. Reports used to monitor and control budgetary resources are prepared from the same records. Users of the statements are advised that the statements are for a component of the U.S. government.</w:t>
            </w:r>
            <w:r w:rsidRPr="005B5418">
              <w:br/>
              <w:t>(A-136, section II.2.3)</w:t>
            </w:r>
          </w:p>
        </w:tc>
        <w:tc>
          <w:tcPr>
            <w:tcW w:w="965" w:type="dxa"/>
          </w:tcPr>
          <w:p w14:paraId="654A772A" w14:textId="77777777" w:rsidR="00500DF2" w:rsidRPr="005B5418" w:rsidRDefault="00500DF2" w:rsidP="00C74742">
            <w:pPr>
              <w:pStyle w:val="Table-Cell-CenterBoldBefore6ptAfter6pt"/>
              <w:spacing w:before="60" w:after="60"/>
              <w:rPr>
                <w:rFonts w:cs="Arial"/>
              </w:rPr>
            </w:pPr>
          </w:p>
        </w:tc>
        <w:tc>
          <w:tcPr>
            <w:tcW w:w="3211" w:type="dxa"/>
          </w:tcPr>
          <w:p w14:paraId="74CA729A" w14:textId="77777777" w:rsidR="00500DF2" w:rsidRPr="005B5418" w:rsidRDefault="00500DF2" w:rsidP="00C74742">
            <w:pPr>
              <w:spacing w:before="60" w:after="60" w:line="240" w:lineRule="auto"/>
              <w:rPr>
                <w:rFonts w:cs="Arial"/>
              </w:rPr>
            </w:pPr>
          </w:p>
        </w:tc>
      </w:tr>
      <w:bookmarkEnd w:id="47"/>
    </w:tbl>
    <w:p w14:paraId="62235AD4" w14:textId="77777777" w:rsidR="00391948" w:rsidRPr="005B5418" w:rsidRDefault="00391948" w:rsidP="003B61E9">
      <w:pPr>
        <w:spacing w:line="240" w:lineRule="auto"/>
        <w:rPr>
          <w:rFonts w:cs="Arial"/>
        </w:rPr>
        <w:sectPr w:rsidR="00391948" w:rsidRPr="005B5418">
          <w:pgSz w:w="12240" w:h="15840"/>
          <w:pgMar w:top="1440" w:right="1440" w:bottom="1440" w:left="1440" w:header="720" w:footer="720" w:gutter="0"/>
          <w:cols w:space="720"/>
          <w:docGrid w:linePitch="360"/>
        </w:sectPr>
      </w:pPr>
    </w:p>
    <w:p w14:paraId="01606DEE" w14:textId="77777777" w:rsidR="00BD6949" w:rsidRPr="005B5418" w:rsidRDefault="00BD6949" w:rsidP="003B61E9">
      <w:pPr>
        <w:pStyle w:val="Heading3"/>
        <w:spacing w:line="240" w:lineRule="auto"/>
      </w:pPr>
      <w:bookmarkStart w:id="56" w:name="_Section_II.3.1_-"/>
      <w:bookmarkStart w:id="57" w:name="_Ref492462572"/>
      <w:bookmarkStart w:id="58" w:name="_Toc8724389"/>
      <w:bookmarkStart w:id="59" w:name="_Toc18571193"/>
      <w:bookmarkEnd w:id="53"/>
      <w:bookmarkEnd w:id="54"/>
      <w:bookmarkEnd w:id="55"/>
      <w:bookmarkEnd w:id="56"/>
      <w:r w:rsidRPr="005B5418">
        <w:lastRenderedPageBreak/>
        <w:t>Section II</w:t>
      </w:r>
      <w:r w:rsidR="00825817" w:rsidRPr="005B5418">
        <w:t>.3</w:t>
      </w:r>
      <w:r w:rsidR="00B064A4" w:rsidRPr="005B5418">
        <w:t>.1</w:t>
      </w:r>
      <w:r w:rsidR="00493249" w:rsidRPr="005B5418">
        <w:t xml:space="preserve"> </w:t>
      </w:r>
      <w:r w:rsidR="00B064A4" w:rsidRPr="005B5418">
        <w:t>-</w:t>
      </w:r>
      <w:r w:rsidR="00493249" w:rsidRPr="005B5418">
        <w:t xml:space="preserve"> </w:t>
      </w:r>
      <w:r w:rsidR="00B064A4" w:rsidRPr="005B5418">
        <w:t>II.3.</w:t>
      </w:r>
      <w:r w:rsidR="00391948" w:rsidRPr="005B5418">
        <w:t>7</w:t>
      </w:r>
      <w:r w:rsidRPr="005B5418">
        <w:t xml:space="preserve"> – </w:t>
      </w:r>
      <w:bookmarkEnd w:id="57"/>
      <w:bookmarkEnd w:id="58"/>
      <w:r w:rsidR="00D41B9C" w:rsidRPr="005B5418">
        <w:t xml:space="preserve">Financial </w:t>
      </w:r>
      <w:r w:rsidR="00E10619" w:rsidRPr="005B5418">
        <w:t>Statements</w:t>
      </w:r>
      <w:bookmarkEnd w:id="59"/>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5"/>
        <w:gridCol w:w="1072"/>
        <w:gridCol w:w="3065"/>
      </w:tblGrid>
      <w:tr w:rsidR="00BD6949" w:rsidRPr="005B5418" w14:paraId="1EE2659E" w14:textId="77777777" w:rsidTr="008848DA">
        <w:trPr>
          <w:tblHeader/>
        </w:trPr>
        <w:tc>
          <w:tcPr>
            <w:tcW w:w="5655" w:type="dxa"/>
          </w:tcPr>
          <w:p w14:paraId="6B66010D" w14:textId="77777777" w:rsidR="00BD6949" w:rsidRPr="005B5418" w:rsidRDefault="00BD6949" w:rsidP="008848DA">
            <w:pPr>
              <w:pStyle w:val="Heading4"/>
              <w:spacing w:before="60" w:after="60" w:line="240" w:lineRule="auto"/>
              <w:jc w:val="left"/>
              <w:rPr>
                <w:b/>
                <w:vanish/>
                <w:szCs w:val="20"/>
                <w:u w:val="none"/>
              </w:rPr>
            </w:pPr>
            <w:bookmarkStart w:id="60" w:name="_II.3.1_General_Accounting"/>
            <w:bookmarkEnd w:id="60"/>
            <w:r w:rsidRPr="005B5418">
              <w:rPr>
                <w:b/>
                <w:u w:val="none"/>
              </w:rPr>
              <w:t>II.</w:t>
            </w:r>
            <w:r w:rsidR="00D41B9C" w:rsidRPr="005B5418">
              <w:rPr>
                <w:b/>
                <w:u w:val="none"/>
              </w:rPr>
              <w:t>3.1</w:t>
            </w:r>
            <w:r w:rsidRPr="005B5418">
              <w:rPr>
                <w:b/>
                <w:u w:val="none"/>
              </w:rPr>
              <w:t xml:space="preserve"> General</w:t>
            </w:r>
            <w:r w:rsidR="00EA37BA" w:rsidRPr="005B5418">
              <w:rPr>
                <w:b/>
                <w:u w:val="none"/>
              </w:rPr>
              <w:t xml:space="preserve"> </w:t>
            </w:r>
            <w:r w:rsidR="00D41B9C" w:rsidRPr="005B5418">
              <w:rPr>
                <w:b/>
                <w:u w:val="none"/>
              </w:rPr>
              <w:t xml:space="preserve">Accounting </w:t>
            </w:r>
            <w:r w:rsidR="00EA37BA" w:rsidRPr="005B5418">
              <w:rPr>
                <w:b/>
                <w:u w:val="none"/>
              </w:rPr>
              <w:t>Matters</w:t>
            </w:r>
            <w:r w:rsidRPr="005B5418">
              <w:rPr>
                <w:b/>
                <w:u w:val="none"/>
              </w:rPr>
              <w:t xml:space="preserve"> </w:t>
            </w:r>
          </w:p>
        </w:tc>
        <w:tc>
          <w:tcPr>
            <w:tcW w:w="1072" w:type="dxa"/>
          </w:tcPr>
          <w:p w14:paraId="43433567" w14:textId="77777777" w:rsidR="00BD6949" w:rsidRPr="005B5418" w:rsidRDefault="00BD6949" w:rsidP="008848DA">
            <w:pPr>
              <w:pStyle w:val="TableCellCenter"/>
              <w:spacing w:before="60" w:after="60"/>
              <w:jc w:val="left"/>
            </w:pPr>
            <w:r w:rsidRPr="005B5418">
              <w:t>Yes, No, or N/A</w:t>
            </w:r>
          </w:p>
        </w:tc>
        <w:tc>
          <w:tcPr>
            <w:tcW w:w="3065" w:type="dxa"/>
          </w:tcPr>
          <w:p w14:paraId="0464822B" w14:textId="76F4D5BE" w:rsidR="00BD6949" w:rsidRPr="005B5418" w:rsidRDefault="00BD6949" w:rsidP="008848DA">
            <w:pPr>
              <w:pStyle w:val="TableCellCenter"/>
              <w:spacing w:before="60" w:after="60"/>
              <w:jc w:val="left"/>
            </w:pPr>
            <w:r w:rsidRPr="005B5418">
              <w:t xml:space="preserve">Explanation </w:t>
            </w:r>
            <w:r w:rsidR="00BA237C" w:rsidRPr="005B5418">
              <w:t xml:space="preserve">and </w:t>
            </w:r>
            <w:r w:rsidRPr="005B5418">
              <w:t>Reference</w:t>
            </w:r>
          </w:p>
        </w:tc>
      </w:tr>
      <w:tr w:rsidR="00EA37BA" w:rsidRPr="005B5418" w14:paraId="73B03235" w14:textId="77777777" w:rsidTr="008848DA">
        <w:trPr>
          <w:trHeight w:val="485"/>
        </w:trPr>
        <w:tc>
          <w:tcPr>
            <w:tcW w:w="9792" w:type="dxa"/>
            <w:gridSpan w:val="3"/>
          </w:tcPr>
          <w:p w14:paraId="205BA8FE" w14:textId="377F2D71" w:rsidR="003538EA" w:rsidRPr="005B5418" w:rsidRDefault="00EA37BA" w:rsidP="00062302">
            <w:pPr>
              <w:pStyle w:val="Heading5"/>
              <w:spacing w:before="60" w:after="60" w:line="240" w:lineRule="auto"/>
            </w:pPr>
            <w:r w:rsidRPr="005B5418">
              <w:rPr>
                <w:rFonts w:ascii="Arial" w:eastAsia="Arial Unicode MS" w:hAnsi="Arial" w:cs="Arial"/>
                <w:color w:val="auto"/>
              </w:rPr>
              <w:t>The hierarchy of generally accepted accounting principles governs what constitutes GAAP for federal reporting entities. It lists the priority sequence of pronouncements that a federal reporting entity should look to for accounting and financial reporting authoritative guidance. (SFFAS 34, par</w:t>
            </w:r>
            <w:r w:rsidR="00BA237C" w:rsidRPr="005B5418">
              <w:rPr>
                <w:rFonts w:ascii="Arial" w:eastAsia="Arial Unicode MS" w:hAnsi="Arial" w:cs="Arial"/>
                <w:color w:val="auto"/>
              </w:rPr>
              <w:t>a</w:t>
            </w:r>
            <w:r w:rsidRPr="005B5418">
              <w:rPr>
                <w:rFonts w:ascii="Arial" w:eastAsia="Arial Unicode MS" w:hAnsi="Arial" w:cs="Arial"/>
                <w:color w:val="auto"/>
              </w:rPr>
              <w:t>. 5)</w:t>
            </w:r>
          </w:p>
          <w:p w14:paraId="28F501F4" w14:textId="77777777" w:rsidR="003538EA" w:rsidRDefault="003538EA" w:rsidP="00A33CE3">
            <w:pPr>
              <w:spacing w:before="60" w:after="60" w:line="240" w:lineRule="auto"/>
            </w:pPr>
            <w:r w:rsidRPr="005B5418">
              <w:rPr>
                <w:rFonts w:ascii="Arial" w:hAnsi="Arial" w:cs="Arial"/>
              </w:rPr>
              <w:t xml:space="preserve">Reporting entities should ensure that information is presented in accordance with GAAP for federal entities and the requirements of OMB Circular </w:t>
            </w:r>
            <w:r w:rsidR="00032FCF" w:rsidRPr="005B5418">
              <w:rPr>
                <w:rFonts w:ascii="Arial" w:hAnsi="Arial" w:cs="Arial"/>
              </w:rPr>
              <w:t xml:space="preserve">No. </w:t>
            </w:r>
            <w:r w:rsidRPr="005B5418">
              <w:rPr>
                <w:rFonts w:ascii="Arial" w:hAnsi="Arial" w:cs="Arial"/>
              </w:rPr>
              <w:t>A-136. Preparers seeking additional guidance on matters involving recognition, measurement, and disclosure requirements should refer to the specific FASAB standards governing those requirements found at</w:t>
            </w:r>
            <w:r w:rsidR="0029261A" w:rsidRPr="005B5418">
              <w:rPr>
                <w:rFonts w:ascii="Arial" w:hAnsi="Arial" w:cs="Arial"/>
              </w:rPr>
              <w:t xml:space="preserve"> https://fasab.gov/</w:t>
            </w:r>
            <w:r w:rsidRPr="005B5418">
              <w:rPr>
                <w:rFonts w:ascii="Arial" w:hAnsi="Arial" w:cs="Arial"/>
              </w:rPr>
              <w:t>. Agencies must follow the hierarchy of accounting principles described in SFFAS 34. (A-136, section II.3.1)</w:t>
            </w:r>
            <w:r w:rsidR="006C659C" w:rsidRPr="005B5418">
              <w:t xml:space="preserve"> </w:t>
            </w:r>
          </w:p>
          <w:p w14:paraId="3D50DB58" w14:textId="20FF79A4" w:rsidR="00993F1B" w:rsidRPr="00993F1B" w:rsidRDefault="00993F1B" w:rsidP="00993F1B">
            <w:pPr>
              <w:spacing w:before="60" w:after="60" w:line="240" w:lineRule="auto"/>
              <w:rPr>
                <w:rFonts w:ascii="Arial" w:hAnsi="Arial" w:cs="Arial"/>
                <w:iCs/>
              </w:rPr>
            </w:pPr>
            <w:r w:rsidRPr="00993F1B">
              <w:rPr>
                <w:rFonts w:ascii="Arial" w:hAnsi="Arial" w:cs="Arial"/>
                <w:iCs/>
              </w:rPr>
              <w:t>For FY</w:t>
            </w:r>
            <w:r>
              <w:rPr>
                <w:rFonts w:ascii="Arial" w:hAnsi="Arial" w:cs="Arial"/>
                <w:iCs/>
              </w:rPr>
              <w:t xml:space="preserve"> </w:t>
            </w:r>
            <w:r w:rsidRPr="00993F1B">
              <w:rPr>
                <w:rFonts w:ascii="Arial" w:hAnsi="Arial" w:cs="Arial"/>
                <w:iCs/>
              </w:rPr>
              <w:t xml:space="preserve">2025, entities </w:t>
            </w:r>
            <w:r>
              <w:rPr>
                <w:rFonts w:ascii="Arial" w:hAnsi="Arial" w:cs="Arial"/>
                <w:iCs/>
              </w:rPr>
              <w:t>subject to OMB Circular No. A-136</w:t>
            </w:r>
            <w:r w:rsidR="006E0ED3">
              <w:rPr>
                <w:rFonts w:ascii="Arial" w:hAnsi="Arial" w:cs="Arial"/>
                <w:iCs/>
              </w:rPr>
              <w:t xml:space="preserve"> </w:t>
            </w:r>
            <w:r w:rsidRPr="00993F1B">
              <w:rPr>
                <w:rFonts w:ascii="Arial" w:hAnsi="Arial" w:cs="Arial"/>
                <w:iCs/>
              </w:rPr>
              <w:t>should report only single-year financial statements, notes, and RSI.</w:t>
            </w:r>
            <w:r w:rsidR="004D0BE0">
              <w:rPr>
                <w:rStyle w:val="FootnoteReference"/>
                <w:rFonts w:ascii="Arial" w:hAnsi="Arial" w:cs="Arial"/>
                <w:iCs/>
              </w:rPr>
              <w:footnoteReference w:id="30"/>
            </w:r>
            <w:r w:rsidRPr="00993F1B">
              <w:rPr>
                <w:rFonts w:ascii="Arial" w:hAnsi="Arial" w:cs="Arial"/>
                <w:iCs/>
              </w:rPr>
              <w:t xml:space="preserve"> </w:t>
            </w:r>
            <w:r w:rsidR="00FD6120">
              <w:rPr>
                <w:rFonts w:ascii="Arial" w:hAnsi="Arial" w:cs="Arial"/>
                <w:iCs/>
              </w:rPr>
              <w:t>Per A-136, c</w:t>
            </w:r>
            <w:r w:rsidRPr="00993F1B">
              <w:rPr>
                <w:rFonts w:ascii="Arial" w:hAnsi="Arial" w:cs="Arial"/>
                <w:iCs/>
              </w:rPr>
              <w:t>omparative</w:t>
            </w:r>
            <w:r>
              <w:rPr>
                <w:rFonts w:ascii="Arial" w:hAnsi="Arial" w:cs="Arial"/>
                <w:iCs/>
              </w:rPr>
              <w:t xml:space="preserve"> </w:t>
            </w:r>
            <w:r w:rsidRPr="00993F1B">
              <w:rPr>
                <w:rFonts w:ascii="Arial" w:hAnsi="Arial" w:cs="Arial"/>
                <w:iCs/>
              </w:rPr>
              <w:t>statements, notes, or RSI, or information from prior years should only be reported if required by</w:t>
            </w:r>
            <w:r>
              <w:rPr>
                <w:rFonts w:ascii="Arial" w:hAnsi="Arial" w:cs="Arial"/>
                <w:iCs/>
              </w:rPr>
              <w:t xml:space="preserve"> </w:t>
            </w:r>
            <w:r w:rsidRPr="00993F1B">
              <w:rPr>
                <w:rFonts w:ascii="Arial" w:hAnsi="Arial" w:cs="Arial"/>
                <w:iCs/>
              </w:rPr>
              <w:t>FASAB guidance</w:t>
            </w:r>
            <w:r>
              <w:rPr>
                <w:rFonts w:ascii="Arial" w:hAnsi="Arial" w:cs="Arial"/>
                <w:iCs/>
              </w:rPr>
              <w:t>.</w:t>
            </w:r>
            <w:r w:rsidR="00F669E5">
              <w:rPr>
                <w:rFonts w:ascii="Arial" w:hAnsi="Arial" w:cs="Arial"/>
                <w:iCs/>
              </w:rPr>
              <w:t xml:space="preserve"> (A-136, section I.1)</w:t>
            </w:r>
          </w:p>
          <w:p w14:paraId="776EE0BA" w14:textId="0C2D25DE" w:rsidR="00993F1B" w:rsidRPr="005B5418" w:rsidRDefault="00993F1B" w:rsidP="00A33CE3">
            <w:pPr>
              <w:spacing w:before="60" w:after="60" w:line="240" w:lineRule="auto"/>
              <w:rPr>
                <w:rFonts w:ascii="Arial" w:hAnsi="Arial" w:cs="Arial"/>
                <w:i/>
              </w:rPr>
            </w:pPr>
          </w:p>
        </w:tc>
      </w:tr>
      <w:tr w:rsidR="006F67D0" w:rsidRPr="005B5418" w14:paraId="4542AEF1" w14:textId="77777777" w:rsidTr="008848DA">
        <w:trPr>
          <w:trHeight w:val="323"/>
        </w:trPr>
        <w:tc>
          <w:tcPr>
            <w:tcW w:w="9792" w:type="dxa"/>
            <w:gridSpan w:val="3"/>
          </w:tcPr>
          <w:p w14:paraId="49831829" w14:textId="77777777" w:rsidR="006F67D0" w:rsidRPr="005B5418" w:rsidRDefault="006F67D0" w:rsidP="008848DA">
            <w:pPr>
              <w:spacing w:before="60" w:after="60" w:line="240" w:lineRule="auto"/>
              <w:rPr>
                <w:rFonts w:ascii="Arial" w:hAnsi="Arial" w:cs="Arial"/>
                <w:b/>
              </w:rPr>
            </w:pPr>
            <w:r w:rsidRPr="005B5418">
              <w:rPr>
                <w:rFonts w:ascii="Arial" w:hAnsi="Arial" w:cs="Arial"/>
                <w:b/>
              </w:rPr>
              <w:t>Accounting</w:t>
            </w:r>
          </w:p>
        </w:tc>
      </w:tr>
      <w:tr w:rsidR="00EA37BA" w:rsidRPr="005B5418" w14:paraId="774DD293" w14:textId="77777777" w:rsidTr="008848DA">
        <w:tblPrEx>
          <w:tblCellMar>
            <w:left w:w="115" w:type="dxa"/>
            <w:right w:w="115" w:type="dxa"/>
          </w:tblCellMar>
        </w:tblPrEx>
        <w:tc>
          <w:tcPr>
            <w:tcW w:w="5655" w:type="dxa"/>
          </w:tcPr>
          <w:p w14:paraId="2A3E296C" w14:textId="1C98ECB5" w:rsidR="00EA37BA" w:rsidRPr="005B5418" w:rsidRDefault="00EA37BA" w:rsidP="00825C76">
            <w:pPr>
              <w:pStyle w:val="FAM-Table-outline"/>
              <w:numPr>
                <w:ilvl w:val="0"/>
                <w:numId w:val="68"/>
              </w:numPr>
              <w:spacing w:line="240" w:lineRule="auto"/>
              <w:rPr>
                <w:rFonts w:eastAsia="Arial Unicode MS" w:cs="Arial"/>
                <w:szCs w:val="22"/>
              </w:rPr>
            </w:pPr>
            <w:r w:rsidRPr="005B5418">
              <w:rPr>
                <w:rFonts w:eastAsia="Arial Unicode MS" w:cs="Arial"/>
                <w:szCs w:val="22"/>
              </w:rPr>
              <w:t>Does the entity use the following hierarchy as its source of guidance</w:t>
            </w:r>
            <w:r w:rsidR="008D4BCC" w:rsidRPr="005B5418">
              <w:rPr>
                <w:rStyle w:val="FootnoteReference"/>
                <w:rFonts w:eastAsia="Arial Unicode MS" w:cs="Arial"/>
                <w:szCs w:val="22"/>
              </w:rPr>
              <w:footnoteReference w:id="31"/>
            </w:r>
            <w:r w:rsidRPr="005B5418">
              <w:rPr>
                <w:rFonts w:eastAsia="Arial Unicode MS" w:cs="Arial"/>
                <w:szCs w:val="22"/>
              </w:rPr>
              <w:t xml:space="preserve"> (categorized in descending order of authority)</w:t>
            </w:r>
            <w:r w:rsidR="00FB67EC" w:rsidRPr="005B5418">
              <w:rPr>
                <w:rFonts w:eastAsia="Arial Unicode MS" w:cs="Arial"/>
                <w:szCs w:val="22"/>
              </w:rPr>
              <w:t>:</w:t>
            </w:r>
          </w:p>
          <w:p w14:paraId="2DC7CDDB" w14:textId="3363DE6D" w:rsidR="00EA37BA" w:rsidRPr="005B5418" w:rsidRDefault="00EA37BA" w:rsidP="006B6FD4">
            <w:pPr>
              <w:pStyle w:val="FAM-Table-outline2"/>
              <w:spacing w:line="240" w:lineRule="auto"/>
              <w:ind w:left="1140" w:hanging="455"/>
              <w:rPr>
                <w:rFonts w:eastAsia="Arial Unicode MS" w:cs="Arial"/>
                <w:szCs w:val="22"/>
              </w:rPr>
            </w:pPr>
            <w:r w:rsidRPr="005B5418">
              <w:rPr>
                <w:rFonts w:eastAsia="Arial Unicode MS" w:cs="Arial"/>
                <w:szCs w:val="22"/>
              </w:rPr>
              <w:t>FASAB Statements of Federal Financial Accounting Standards and Interpretations</w:t>
            </w:r>
            <w:r w:rsidR="00EA6BB7" w:rsidRPr="005B5418">
              <w:rPr>
                <w:rFonts w:eastAsia="Arial Unicode MS" w:cs="Arial"/>
                <w:szCs w:val="22"/>
              </w:rPr>
              <w:t>;</w:t>
            </w:r>
          </w:p>
          <w:p w14:paraId="6531182F" w14:textId="59EE7D90" w:rsidR="00EA37BA" w:rsidRPr="005B5418" w:rsidRDefault="00EA37BA" w:rsidP="006B6FD4">
            <w:pPr>
              <w:pStyle w:val="FAM-Table-outline2"/>
              <w:spacing w:line="240" w:lineRule="auto"/>
              <w:ind w:left="1140" w:hanging="455"/>
              <w:rPr>
                <w:rFonts w:eastAsia="Arial Unicode MS"/>
              </w:rPr>
            </w:pPr>
            <w:r w:rsidRPr="005B5418">
              <w:rPr>
                <w:rFonts w:eastAsia="Arial Unicode MS"/>
              </w:rPr>
              <w:t>FASAB Technical Bulletins and, if specifically made applicable to federal reporting entities by the AICPA and cleared by FASAB, AICPA Industry Audit and Accounting Guides</w:t>
            </w:r>
            <w:r w:rsidR="00E24B39" w:rsidRPr="005B5418">
              <w:rPr>
                <w:rFonts w:eastAsia="Arial Unicode MS"/>
              </w:rPr>
              <w:t>;</w:t>
            </w:r>
            <w:r w:rsidRPr="005B5418">
              <w:rPr>
                <w:rFonts w:eastAsia="Arial Unicode MS"/>
              </w:rPr>
              <w:t xml:space="preserve"> </w:t>
            </w:r>
          </w:p>
          <w:p w14:paraId="2779A3CF" w14:textId="72099E06" w:rsidR="00EA37BA" w:rsidRPr="005B5418" w:rsidRDefault="00EA37BA" w:rsidP="006B6FD4">
            <w:pPr>
              <w:pStyle w:val="FAM-Table-outline2"/>
              <w:spacing w:line="240" w:lineRule="auto"/>
              <w:ind w:left="1140" w:hanging="455"/>
              <w:rPr>
                <w:rFonts w:eastAsia="Arial Unicode MS" w:cs="Arial"/>
                <w:szCs w:val="22"/>
              </w:rPr>
            </w:pPr>
            <w:r w:rsidRPr="005B5418">
              <w:rPr>
                <w:rFonts w:eastAsia="Arial Unicode MS" w:cs="Arial"/>
                <w:szCs w:val="22"/>
              </w:rPr>
              <w:t xml:space="preserve">Technical Releases of the Accounting </w:t>
            </w:r>
            <w:r w:rsidR="00991FAD" w:rsidRPr="005B5418">
              <w:rPr>
                <w:rFonts w:eastAsia="Arial Unicode MS" w:cs="Arial"/>
                <w:szCs w:val="22"/>
              </w:rPr>
              <w:t>Standards Implementation</w:t>
            </w:r>
            <w:r w:rsidRPr="005B5418">
              <w:rPr>
                <w:rFonts w:eastAsia="Arial Unicode MS" w:cs="Arial"/>
                <w:szCs w:val="22"/>
              </w:rPr>
              <w:t xml:space="preserve"> Committee</w:t>
            </w:r>
            <w:r w:rsidR="00687117">
              <w:rPr>
                <w:rStyle w:val="FootnoteReference"/>
                <w:rFonts w:eastAsia="Arial Unicode MS" w:cs="Arial"/>
                <w:szCs w:val="22"/>
              </w:rPr>
              <w:footnoteReference w:id="32"/>
            </w:r>
            <w:r w:rsidRPr="005B5418">
              <w:rPr>
                <w:rFonts w:eastAsia="Arial Unicode MS" w:cs="Arial"/>
                <w:szCs w:val="22"/>
              </w:rPr>
              <w:t xml:space="preserve"> of FASAB,</w:t>
            </w:r>
            <w:r w:rsidR="004938A3" w:rsidRPr="005B5418">
              <w:rPr>
                <w:rFonts w:eastAsia="Arial Unicode MS" w:cs="Arial"/>
                <w:szCs w:val="22"/>
              </w:rPr>
              <w:t xml:space="preserve"> and</w:t>
            </w:r>
          </w:p>
          <w:p w14:paraId="1A6EEED4" w14:textId="16D4099A" w:rsidR="00EA37BA" w:rsidRPr="005B5418" w:rsidRDefault="00EA37BA" w:rsidP="006B6FD4">
            <w:pPr>
              <w:pStyle w:val="FAM-Table-outline2"/>
              <w:spacing w:line="240" w:lineRule="auto"/>
              <w:ind w:left="1140" w:hanging="455"/>
              <w:rPr>
                <w:rFonts w:eastAsia="Arial Unicode MS" w:cs="Arial"/>
                <w:szCs w:val="22"/>
              </w:rPr>
            </w:pPr>
            <w:r w:rsidRPr="005B5418">
              <w:rPr>
                <w:rFonts w:eastAsia="Arial Unicode MS" w:cs="Arial"/>
                <w:szCs w:val="22"/>
              </w:rPr>
              <w:t>Implementation guides published by FASAB staff, as well as practices that are widely recognized and prevalent in the federal government? (SFFAS 34, par</w:t>
            </w:r>
            <w:r w:rsidR="00DC1C7D" w:rsidRPr="005B5418">
              <w:rPr>
                <w:rFonts w:eastAsia="Arial Unicode MS" w:cs="Arial"/>
                <w:szCs w:val="22"/>
              </w:rPr>
              <w:t>a</w:t>
            </w:r>
            <w:r w:rsidRPr="005B5418">
              <w:rPr>
                <w:rFonts w:eastAsia="Arial Unicode MS" w:cs="Arial"/>
                <w:szCs w:val="22"/>
              </w:rPr>
              <w:t>. 5)</w:t>
            </w:r>
          </w:p>
        </w:tc>
        <w:tc>
          <w:tcPr>
            <w:tcW w:w="1072" w:type="dxa"/>
          </w:tcPr>
          <w:p w14:paraId="2CCD0126" w14:textId="77777777" w:rsidR="00EA37BA" w:rsidRPr="005B5418" w:rsidRDefault="00EA37BA" w:rsidP="008848DA">
            <w:pPr>
              <w:pStyle w:val="Table-Cell-Center"/>
              <w:spacing w:before="60" w:after="60" w:line="240" w:lineRule="auto"/>
              <w:rPr>
                <w:rFonts w:eastAsia="Arial Unicode MS" w:cs="Arial"/>
                <w:sz w:val="22"/>
                <w:szCs w:val="22"/>
              </w:rPr>
            </w:pPr>
          </w:p>
        </w:tc>
        <w:tc>
          <w:tcPr>
            <w:tcW w:w="3065" w:type="dxa"/>
          </w:tcPr>
          <w:p w14:paraId="4FB1E93E" w14:textId="77777777" w:rsidR="00EA37BA" w:rsidRPr="005B5418" w:rsidRDefault="00EA37BA" w:rsidP="008848DA">
            <w:pPr>
              <w:pStyle w:val="Table-Cell-Center"/>
              <w:spacing w:before="60" w:after="60" w:line="240" w:lineRule="auto"/>
              <w:ind w:right="-97"/>
              <w:rPr>
                <w:rFonts w:eastAsia="Arial Unicode MS" w:cs="Arial"/>
                <w:sz w:val="22"/>
                <w:szCs w:val="22"/>
              </w:rPr>
            </w:pPr>
          </w:p>
        </w:tc>
      </w:tr>
      <w:tr w:rsidR="00EA37BA" w:rsidRPr="005B5418" w14:paraId="028AE2DA" w14:textId="77777777" w:rsidTr="008848DA">
        <w:tblPrEx>
          <w:tblCellMar>
            <w:left w:w="115" w:type="dxa"/>
            <w:right w:w="115" w:type="dxa"/>
          </w:tblCellMar>
        </w:tblPrEx>
        <w:trPr>
          <w:trHeight w:val="2348"/>
        </w:trPr>
        <w:tc>
          <w:tcPr>
            <w:tcW w:w="5655" w:type="dxa"/>
          </w:tcPr>
          <w:p w14:paraId="7F94568C" w14:textId="760038F9" w:rsidR="00EA37BA" w:rsidRPr="005B5418" w:rsidRDefault="00EA37BA" w:rsidP="005425ED">
            <w:pPr>
              <w:pStyle w:val="FAM-Table-outline"/>
              <w:numPr>
                <w:ilvl w:val="0"/>
                <w:numId w:val="68"/>
              </w:numPr>
              <w:spacing w:line="240" w:lineRule="auto"/>
              <w:rPr>
                <w:rFonts w:eastAsia="Arial Unicode MS" w:cs="Arial"/>
                <w:szCs w:val="22"/>
              </w:rPr>
            </w:pPr>
            <w:r w:rsidRPr="005B5418">
              <w:rPr>
                <w:rFonts w:eastAsia="Arial Unicode MS" w:cs="Arial"/>
                <w:szCs w:val="22"/>
              </w:rPr>
              <w:lastRenderedPageBreak/>
              <w:t>If the accounting treatment for a transaction or event is not specified by a pronouncement or established in practice as described in the hierarchy above, did the federal reporting entity consider accounting principles for similar transactions or events within the hierarchy before considering other accounting literature?</w:t>
            </w:r>
            <w:r w:rsidRPr="00580CC4">
              <w:rPr>
                <w:rStyle w:val="FootnoteReference"/>
                <w:rFonts w:eastAsia="Arial Unicode MS"/>
              </w:rPr>
              <w:footnoteReference w:id="33"/>
            </w:r>
            <w:r w:rsidRPr="005B5418">
              <w:rPr>
                <w:rFonts w:eastAsia="Arial Unicode MS" w:cs="Arial"/>
                <w:szCs w:val="22"/>
              </w:rPr>
              <w:t xml:space="preserve"> (SFFAS 34, par</w:t>
            </w:r>
            <w:r w:rsidR="007859DA" w:rsidRPr="005B5418">
              <w:rPr>
                <w:rFonts w:eastAsia="Arial Unicode MS" w:cs="Arial"/>
                <w:szCs w:val="22"/>
              </w:rPr>
              <w:t>a</w:t>
            </w:r>
            <w:r w:rsidRPr="005B5418">
              <w:rPr>
                <w:rFonts w:eastAsia="Arial Unicode MS" w:cs="Arial"/>
                <w:szCs w:val="22"/>
              </w:rPr>
              <w:t>. 7)</w:t>
            </w:r>
          </w:p>
        </w:tc>
        <w:tc>
          <w:tcPr>
            <w:tcW w:w="1072" w:type="dxa"/>
          </w:tcPr>
          <w:p w14:paraId="78C93084" w14:textId="77777777" w:rsidR="00EA37BA" w:rsidRPr="005B5418" w:rsidRDefault="00EA37BA" w:rsidP="008848DA">
            <w:pPr>
              <w:pStyle w:val="Table-Cell-Center"/>
              <w:spacing w:before="60" w:after="60" w:line="240" w:lineRule="auto"/>
              <w:rPr>
                <w:rFonts w:eastAsia="Arial Unicode MS" w:cs="Arial"/>
                <w:sz w:val="22"/>
                <w:szCs w:val="22"/>
              </w:rPr>
            </w:pPr>
          </w:p>
        </w:tc>
        <w:tc>
          <w:tcPr>
            <w:tcW w:w="3065" w:type="dxa"/>
          </w:tcPr>
          <w:p w14:paraId="59573B4D" w14:textId="77777777" w:rsidR="00EA37BA" w:rsidRPr="005B5418" w:rsidRDefault="00EA37BA" w:rsidP="008848DA">
            <w:pPr>
              <w:pStyle w:val="Table-Cell-Center"/>
              <w:spacing w:before="60" w:after="60" w:line="240" w:lineRule="auto"/>
              <w:rPr>
                <w:rFonts w:eastAsia="Arial Unicode MS" w:cs="Arial"/>
                <w:sz w:val="22"/>
                <w:szCs w:val="22"/>
              </w:rPr>
            </w:pPr>
          </w:p>
        </w:tc>
      </w:tr>
      <w:tr w:rsidR="00FD5C05" w:rsidRPr="005B5418" w14:paraId="68E5E63D" w14:textId="77777777" w:rsidTr="00AF5BC6">
        <w:tblPrEx>
          <w:tblCellMar>
            <w:left w:w="115" w:type="dxa"/>
            <w:right w:w="115" w:type="dxa"/>
          </w:tblCellMar>
        </w:tblPrEx>
        <w:trPr>
          <w:trHeight w:val="1691"/>
        </w:trPr>
        <w:tc>
          <w:tcPr>
            <w:tcW w:w="5655" w:type="dxa"/>
          </w:tcPr>
          <w:p w14:paraId="0909B1F3" w14:textId="6670971F" w:rsidR="00FD5C05" w:rsidRPr="005B5418" w:rsidRDefault="00F17195">
            <w:pPr>
              <w:pStyle w:val="FAM-Table-outline"/>
              <w:rPr>
                <w:rFonts w:eastAsia="Arial Unicode MS"/>
              </w:rPr>
            </w:pPr>
            <w:r w:rsidRPr="005B5418">
              <w:rPr>
                <w:rFonts w:eastAsia="Arial Unicode MS" w:cs="Arial"/>
                <w:szCs w:val="22"/>
              </w:rPr>
              <w:t>Before considering o</w:t>
            </w:r>
            <w:r w:rsidR="00FD5C05" w:rsidRPr="005B5418">
              <w:rPr>
                <w:rFonts w:eastAsia="Arial Unicode MS" w:cs="Arial"/>
                <w:szCs w:val="22"/>
              </w:rPr>
              <w:t>ther accounting</w:t>
            </w:r>
            <w:r w:rsidRPr="005B5418">
              <w:rPr>
                <w:rFonts w:eastAsia="Arial Unicode MS" w:cs="Arial"/>
                <w:szCs w:val="22"/>
              </w:rPr>
              <w:t xml:space="preserve"> literature, did the reporting entity </w:t>
            </w:r>
            <w:r w:rsidR="004938A3" w:rsidRPr="005B5418">
              <w:rPr>
                <w:rFonts w:eastAsia="Arial Unicode MS" w:cs="Arial"/>
                <w:szCs w:val="22"/>
              </w:rPr>
              <w:t>consider</w:t>
            </w:r>
            <w:r w:rsidRPr="005B5418">
              <w:rPr>
                <w:rFonts w:eastAsia="Arial Unicode MS" w:cs="Arial"/>
                <w:szCs w:val="22"/>
              </w:rPr>
              <w:t xml:space="preserve"> </w:t>
            </w:r>
            <w:r w:rsidRPr="005425ED">
              <w:rPr>
                <w:rFonts w:eastAsia="Arial Unicode MS"/>
              </w:rPr>
              <w:t xml:space="preserve">accounting principles for similar transactions or events within </w:t>
            </w:r>
            <w:r w:rsidR="00643AEA" w:rsidRPr="005425ED">
              <w:rPr>
                <w:rFonts w:eastAsia="Arial Unicode MS"/>
              </w:rPr>
              <w:t xml:space="preserve">categories (a)-(d) of </w:t>
            </w:r>
            <w:r w:rsidRPr="005425ED">
              <w:rPr>
                <w:rFonts w:eastAsia="Arial Unicode MS"/>
              </w:rPr>
              <w:t>the hierarchy</w:t>
            </w:r>
            <w:r w:rsidR="00FD5C05" w:rsidRPr="005B5418">
              <w:rPr>
                <w:rFonts w:eastAsia="Arial Unicode MS" w:cs="Arial"/>
                <w:szCs w:val="22"/>
              </w:rPr>
              <w:t>?</w:t>
            </w:r>
            <w:r w:rsidR="00FD5C05" w:rsidRPr="005B5418">
              <w:rPr>
                <w:rFonts w:eastAsia="Arial Unicode MS" w:cs="Arial"/>
                <w:szCs w:val="22"/>
                <w:vertAlign w:val="superscript"/>
              </w:rPr>
              <w:footnoteReference w:id="34"/>
            </w:r>
            <w:r w:rsidRPr="005425ED">
              <w:rPr>
                <w:rFonts w:eastAsia="Arial Unicode MS"/>
                <w:vertAlign w:val="superscript"/>
              </w:rPr>
              <w:t xml:space="preserve"> </w:t>
            </w:r>
            <w:r w:rsidRPr="005B5418">
              <w:rPr>
                <w:rFonts w:eastAsia="Arial Unicode MS" w:cs="Arial"/>
                <w:szCs w:val="22"/>
              </w:rPr>
              <w:t>(SFFAS 34, para. 7</w:t>
            </w:r>
            <w:r w:rsidR="00FD5C05" w:rsidRPr="005B5418">
              <w:rPr>
                <w:rFonts w:eastAsia="Arial Unicode MS" w:cs="Arial"/>
                <w:szCs w:val="22"/>
              </w:rPr>
              <w:t>)</w:t>
            </w:r>
          </w:p>
        </w:tc>
        <w:tc>
          <w:tcPr>
            <w:tcW w:w="1072" w:type="dxa"/>
          </w:tcPr>
          <w:p w14:paraId="53FC6A61" w14:textId="77777777" w:rsidR="00FD5C05" w:rsidRPr="005B5418" w:rsidRDefault="00FD5C05" w:rsidP="008848DA">
            <w:pPr>
              <w:pStyle w:val="Table-Cell-Center"/>
              <w:spacing w:before="60" w:after="60" w:line="240" w:lineRule="auto"/>
              <w:rPr>
                <w:rFonts w:eastAsia="Arial Unicode MS" w:cs="Arial"/>
                <w:sz w:val="22"/>
                <w:szCs w:val="22"/>
              </w:rPr>
            </w:pPr>
          </w:p>
        </w:tc>
        <w:tc>
          <w:tcPr>
            <w:tcW w:w="3065" w:type="dxa"/>
          </w:tcPr>
          <w:p w14:paraId="1589F76E" w14:textId="77777777" w:rsidR="00FD5C05" w:rsidRPr="005B5418" w:rsidRDefault="00FD5C05" w:rsidP="008848DA">
            <w:pPr>
              <w:pStyle w:val="Table-Cell-Center"/>
              <w:spacing w:before="60" w:after="60" w:line="240" w:lineRule="auto"/>
              <w:rPr>
                <w:rFonts w:eastAsia="Arial Unicode MS" w:cs="Arial"/>
                <w:sz w:val="22"/>
                <w:szCs w:val="22"/>
              </w:rPr>
            </w:pPr>
          </w:p>
        </w:tc>
      </w:tr>
      <w:tr w:rsidR="00EA37BA" w:rsidRPr="005B5418" w14:paraId="5E629BC5" w14:textId="77777777" w:rsidTr="008848DA">
        <w:tblPrEx>
          <w:tblCellMar>
            <w:left w:w="115" w:type="dxa"/>
            <w:right w:w="115" w:type="dxa"/>
          </w:tblCellMar>
        </w:tblPrEx>
        <w:trPr>
          <w:trHeight w:val="1340"/>
        </w:trPr>
        <w:tc>
          <w:tcPr>
            <w:tcW w:w="5655" w:type="dxa"/>
          </w:tcPr>
          <w:p w14:paraId="252D6B90" w14:textId="166F04DF" w:rsidR="00EA37BA" w:rsidRPr="005B5418" w:rsidRDefault="00EA37BA" w:rsidP="006107D5">
            <w:pPr>
              <w:pStyle w:val="FAM-Table-outline"/>
              <w:spacing w:line="240" w:lineRule="auto"/>
              <w:rPr>
                <w:rFonts w:eastAsia="Arial Unicode MS" w:cs="Arial"/>
                <w:szCs w:val="22"/>
              </w:rPr>
            </w:pPr>
            <w:r w:rsidRPr="005B5418">
              <w:rPr>
                <w:rFonts w:eastAsia="Arial Unicode MS" w:cs="Arial"/>
                <w:szCs w:val="22"/>
              </w:rPr>
              <w:t xml:space="preserve">Has this checklist been supplemented, through memos or other documentation, with respect to consideration of any standards and guidance issued </w:t>
            </w:r>
            <w:r w:rsidR="00C90757" w:rsidRPr="005B5418">
              <w:rPr>
                <w:rFonts w:eastAsia="Arial Unicode MS" w:cs="Arial"/>
                <w:szCs w:val="22"/>
              </w:rPr>
              <w:t>after</w:t>
            </w:r>
            <w:r w:rsidR="003677E7" w:rsidRPr="005B5418">
              <w:rPr>
                <w:rFonts w:eastAsia="Arial Unicode MS" w:cs="Arial"/>
                <w:szCs w:val="22"/>
              </w:rPr>
              <w:t xml:space="preserve"> </w:t>
            </w:r>
            <w:r w:rsidR="00EC4501">
              <w:rPr>
                <w:rFonts w:eastAsia="Arial Unicode MS" w:cs="Arial"/>
                <w:szCs w:val="22"/>
              </w:rPr>
              <w:t>July</w:t>
            </w:r>
            <w:r w:rsidR="00434C36" w:rsidRPr="005B5418">
              <w:rPr>
                <w:rFonts w:eastAsia="Arial Unicode MS" w:cs="Arial"/>
                <w:szCs w:val="22"/>
              </w:rPr>
              <w:t xml:space="preserve"> 2025</w:t>
            </w:r>
            <w:r w:rsidRPr="005B5418">
              <w:rPr>
                <w:rFonts w:eastAsia="Arial Unicode MS" w:cs="Arial"/>
                <w:szCs w:val="22"/>
              </w:rPr>
              <w:t>?</w:t>
            </w:r>
          </w:p>
        </w:tc>
        <w:tc>
          <w:tcPr>
            <w:tcW w:w="1072" w:type="dxa"/>
          </w:tcPr>
          <w:p w14:paraId="5A8426CA" w14:textId="77777777" w:rsidR="00EA37BA" w:rsidRPr="005B5418" w:rsidRDefault="00EA37BA" w:rsidP="008848DA">
            <w:pPr>
              <w:pStyle w:val="Table-Cell-Center"/>
              <w:spacing w:before="60" w:after="60" w:line="240" w:lineRule="auto"/>
              <w:rPr>
                <w:rFonts w:eastAsia="Arial Unicode MS" w:cs="Arial"/>
                <w:sz w:val="22"/>
                <w:szCs w:val="22"/>
              </w:rPr>
            </w:pPr>
          </w:p>
        </w:tc>
        <w:tc>
          <w:tcPr>
            <w:tcW w:w="3065" w:type="dxa"/>
          </w:tcPr>
          <w:p w14:paraId="1AD0FC0F" w14:textId="77777777" w:rsidR="00EA37BA" w:rsidRPr="005B5418" w:rsidRDefault="00EA37BA" w:rsidP="008848DA">
            <w:pPr>
              <w:pStyle w:val="Table-Cell-Center"/>
              <w:spacing w:before="60" w:after="60" w:line="240" w:lineRule="auto"/>
              <w:rPr>
                <w:rFonts w:eastAsia="Arial Unicode MS" w:cs="Arial"/>
                <w:sz w:val="22"/>
                <w:szCs w:val="22"/>
              </w:rPr>
            </w:pPr>
          </w:p>
        </w:tc>
      </w:tr>
      <w:tr w:rsidR="00E56B53" w:rsidRPr="005B5418" w14:paraId="54976DDC" w14:textId="77777777" w:rsidTr="008848DA">
        <w:trPr>
          <w:trHeight w:val="494"/>
        </w:trPr>
        <w:tc>
          <w:tcPr>
            <w:tcW w:w="9792" w:type="dxa"/>
            <w:gridSpan w:val="3"/>
          </w:tcPr>
          <w:p w14:paraId="07FEC9FC" w14:textId="374B302B" w:rsidR="00E56B53" w:rsidRPr="005B5418" w:rsidRDefault="00532945" w:rsidP="008848DA">
            <w:pPr>
              <w:spacing w:before="60" w:after="60" w:line="240" w:lineRule="auto"/>
              <w:rPr>
                <w:rFonts w:ascii="Arial" w:hAnsi="Arial" w:cs="Arial"/>
                <w:b/>
              </w:rPr>
            </w:pPr>
            <w:r w:rsidRPr="005B5418">
              <w:rPr>
                <w:rFonts w:ascii="Arial" w:hAnsi="Arial" w:cs="Arial"/>
                <w:b/>
              </w:rPr>
              <w:t>Reporting</w:t>
            </w:r>
          </w:p>
        </w:tc>
      </w:tr>
      <w:tr w:rsidR="00465DBE" w:rsidRPr="005B5418" w14:paraId="3AFC542E" w14:textId="77777777" w:rsidTr="008848DA">
        <w:trPr>
          <w:cantSplit/>
          <w:trHeight w:val="2160"/>
        </w:trPr>
        <w:tc>
          <w:tcPr>
            <w:tcW w:w="5655" w:type="dxa"/>
          </w:tcPr>
          <w:p w14:paraId="4CA9BBCE" w14:textId="462BB6EF" w:rsidR="00465DBE" w:rsidRPr="005B5418" w:rsidRDefault="00465DBE" w:rsidP="00BF16CD">
            <w:pPr>
              <w:pStyle w:val="FAM-Table-outline"/>
              <w:spacing w:line="240" w:lineRule="auto"/>
              <w:rPr>
                <w:rFonts w:eastAsia="Arial Unicode MS" w:cs="Arial"/>
                <w:szCs w:val="22"/>
              </w:rPr>
            </w:pPr>
            <w:r w:rsidRPr="005B5418">
              <w:rPr>
                <w:rFonts w:eastAsia="Arial Unicode MS" w:cs="Arial"/>
                <w:szCs w:val="22"/>
              </w:rPr>
              <w:t xml:space="preserve">If the entity presents disaggregated information for component organizations in a multi-column format on the face of the </w:t>
            </w:r>
            <w:r w:rsidR="005622B3" w:rsidRPr="005B5418">
              <w:rPr>
                <w:rFonts w:eastAsia="Arial Unicode MS" w:cs="Arial"/>
                <w:szCs w:val="22"/>
              </w:rPr>
              <w:t xml:space="preserve">financial </w:t>
            </w:r>
            <w:r w:rsidRPr="005B5418">
              <w:rPr>
                <w:rFonts w:eastAsia="Arial Unicode MS" w:cs="Arial"/>
                <w:szCs w:val="22"/>
              </w:rPr>
              <w:t>statements, except for the SBR</w:t>
            </w:r>
            <w:r w:rsidR="00921C02" w:rsidRPr="005B5418">
              <w:rPr>
                <w:rFonts w:eastAsia="Arial Unicode MS" w:cs="Arial"/>
                <w:szCs w:val="22"/>
              </w:rPr>
              <w:t>,</w:t>
            </w:r>
            <w:r w:rsidRPr="005B5418">
              <w:rPr>
                <w:rFonts w:eastAsia="Arial Unicode MS" w:cs="Arial"/>
                <w:szCs w:val="22"/>
              </w:rPr>
              <w:t xml:space="preserve"> which is presented on a combined basis</w:t>
            </w:r>
            <w:r w:rsidR="00921C02" w:rsidRPr="005B5418">
              <w:rPr>
                <w:rFonts w:eastAsia="Arial Unicode MS" w:cs="Arial"/>
                <w:szCs w:val="22"/>
              </w:rPr>
              <w:t>,</w:t>
            </w:r>
            <w:r w:rsidRPr="005B5418">
              <w:rPr>
                <w:rFonts w:eastAsia="Arial Unicode MS" w:cs="Arial"/>
                <w:szCs w:val="22"/>
              </w:rPr>
              <w:t xml:space="preserve"> </w:t>
            </w:r>
          </w:p>
          <w:p w14:paraId="26969A90" w14:textId="6FE4D089" w:rsidR="00465DBE" w:rsidRPr="005B5418" w:rsidRDefault="00465DBE" w:rsidP="006B6FD4">
            <w:pPr>
              <w:pStyle w:val="FAM-Table-outline2"/>
              <w:spacing w:line="240" w:lineRule="auto"/>
              <w:ind w:left="1140" w:hanging="443"/>
              <w:rPr>
                <w:rFonts w:eastAsia="Arial Unicode MS"/>
              </w:rPr>
            </w:pPr>
            <w:r w:rsidRPr="005B5418">
              <w:rPr>
                <w:rFonts w:eastAsia="Arial Unicode MS"/>
              </w:rPr>
              <w:t xml:space="preserve">does the total column for the entity as a whole show consolidated totals net of intra-entity transactions and </w:t>
            </w:r>
          </w:p>
          <w:p w14:paraId="7AB46026" w14:textId="4DCE26D2" w:rsidR="00465DBE" w:rsidRPr="005B5418" w:rsidRDefault="00465DBE" w:rsidP="006B6FD4">
            <w:pPr>
              <w:pStyle w:val="FAM-Table-outline2"/>
              <w:spacing w:line="240" w:lineRule="auto"/>
              <w:ind w:left="1140" w:hanging="443"/>
              <w:rPr>
                <w:rFonts w:eastAsia="Arial Unicode MS"/>
              </w:rPr>
            </w:pPr>
            <w:r w:rsidRPr="005B5418">
              <w:rPr>
                <w:rFonts w:eastAsia="Arial Unicode MS"/>
              </w:rPr>
              <w:t>is there a column for the eliminations of intra-entity transactions to arrive at the consolidated amounts? (A-136, section II.3.1)</w:t>
            </w:r>
          </w:p>
        </w:tc>
        <w:tc>
          <w:tcPr>
            <w:tcW w:w="1072" w:type="dxa"/>
          </w:tcPr>
          <w:p w14:paraId="74D989D6" w14:textId="77777777" w:rsidR="00465DBE" w:rsidRPr="005B5418" w:rsidRDefault="00465DBE" w:rsidP="008848DA">
            <w:pPr>
              <w:pStyle w:val="Table-Cell-CenterBoldBefore6ptAfter6pt"/>
              <w:spacing w:before="60" w:after="60"/>
              <w:rPr>
                <w:rFonts w:cs="Arial"/>
              </w:rPr>
            </w:pPr>
          </w:p>
        </w:tc>
        <w:tc>
          <w:tcPr>
            <w:tcW w:w="3065" w:type="dxa"/>
          </w:tcPr>
          <w:p w14:paraId="5889D6A5" w14:textId="77777777" w:rsidR="00465DBE" w:rsidRPr="005B5418" w:rsidRDefault="00465DBE" w:rsidP="008848DA">
            <w:pPr>
              <w:spacing w:before="60" w:after="60" w:line="240" w:lineRule="auto"/>
              <w:rPr>
                <w:rFonts w:cs="Arial"/>
              </w:rPr>
            </w:pPr>
          </w:p>
        </w:tc>
      </w:tr>
      <w:tr w:rsidR="00465DBE" w:rsidRPr="005B5418" w14:paraId="7E5856A7" w14:textId="77777777" w:rsidTr="00AF5BC6">
        <w:trPr>
          <w:cantSplit/>
          <w:trHeight w:val="1295"/>
        </w:trPr>
        <w:tc>
          <w:tcPr>
            <w:tcW w:w="5655" w:type="dxa"/>
          </w:tcPr>
          <w:p w14:paraId="7D363330" w14:textId="30BF813E" w:rsidR="00465DBE" w:rsidRPr="005B5418" w:rsidRDefault="00465DBE" w:rsidP="004305BE">
            <w:pPr>
              <w:pStyle w:val="FAM-Table-outline"/>
              <w:spacing w:line="240" w:lineRule="auto"/>
              <w:rPr>
                <w:rFonts w:eastAsia="Arial Unicode MS"/>
              </w:rPr>
            </w:pPr>
            <w:r w:rsidRPr="005B5418">
              <w:rPr>
                <w:rFonts w:eastAsia="Arial Unicode MS"/>
              </w:rPr>
              <w:lastRenderedPageBreak/>
              <w:t>Do schedule totals presented in the notes, in support of amounts presented in financial statements, agree with the amounts presented in the financial statements? (A-136, section II.3.1)</w:t>
            </w:r>
          </w:p>
        </w:tc>
        <w:tc>
          <w:tcPr>
            <w:tcW w:w="1072" w:type="dxa"/>
          </w:tcPr>
          <w:p w14:paraId="2356A769" w14:textId="77777777" w:rsidR="00465DBE" w:rsidRPr="005B5418" w:rsidRDefault="00465DBE" w:rsidP="008848DA">
            <w:pPr>
              <w:pStyle w:val="Table-Cell-CenterBoldBefore6ptAfter6pt"/>
              <w:spacing w:before="60" w:after="60"/>
              <w:rPr>
                <w:rFonts w:cs="Arial"/>
              </w:rPr>
            </w:pPr>
          </w:p>
        </w:tc>
        <w:tc>
          <w:tcPr>
            <w:tcW w:w="3065" w:type="dxa"/>
          </w:tcPr>
          <w:p w14:paraId="4E611B12" w14:textId="77777777" w:rsidR="00465DBE" w:rsidRPr="005B5418" w:rsidRDefault="00465DBE" w:rsidP="008848DA">
            <w:pPr>
              <w:spacing w:before="60" w:after="60" w:line="240" w:lineRule="auto"/>
              <w:rPr>
                <w:rFonts w:cs="Arial"/>
              </w:rPr>
            </w:pPr>
          </w:p>
        </w:tc>
      </w:tr>
      <w:tr w:rsidR="00465DBE" w:rsidRPr="005B5418" w14:paraId="046D501E" w14:textId="77777777" w:rsidTr="008848DA">
        <w:trPr>
          <w:cantSplit/>
          <w:trHeight w:val="2160"/>
        </w:trPr>
        <w:tc>
          <w:tcPr>
            <w:tcW w:w="5655" w:type="dxa"/>
          </w:tcPr>
          <w:p w14:paraId="1E01520F" w14:textId="5A94980E" w:rsidR="00465DBE" w:rsidRPr="005B5418" w:rsidRDefault="00465DBE" w:rsidP="008848DA">
            <w:pPr>
              <w:pStyle w:val="FAM-Table-outline"/>
              <w:spacing w:line="240" w:lineRule="auto"/>
              <w:rPr>
                <w:rFonts w:eastAsia="Arial Unicode MS"/>
              </w:rPr>
            </w:pPr>
            <w:r w:rsidRPr="005B5418">
              <w:rPr>
                <w:rFonts w:eastAsia="Arial Unicode MS"/>
              </w:rPr>
              <w:t xml:space="preserve">When presenting dollar amounts in the </w:t>
            </w:r>
            <w:r w:rsidR="005622B3" w:rsidRPr="005B5418">
              <w:rPr>
                <w:rFonts w:eastAsia="Arial Unicode MS"/>
              </w:rPr>
              <w:t xml:space="preserve">financial </w:t>
            </w:r>
            <w:r w:rsidRPr="005B5418">
              <w:rPr>
                <w:rFonts w:eastAsia="Arial Unicode MS"/>
              </w:rPr>
              <w:t>statements and the notes, does the entity</w:t>
            </w:r>
          </w:p>
          <w:p w14:paraId="33B5DA00" w14:textId="32459274" w:rsidR="00465DBE" w:rsidRPr="005B5418" w:rsidRDefault="00465DBE" w:rsidP="005425ED">
            <w:pPr>
              <w:pStyle w:val="FAM-Table-outline2"/>
              <w:spacing w:line="240" w:lineRule="auto"/>
              <w:ind w:left="1140" w:hanging="443"/>
              <w:rPr>
                <w:rFonts w:eastAsia="Arial Unicode MS"/>
              </w:rPr>
            </w:pPr>
            <w:r w:rsidRPr="005B5418">
              <w:rPr>
                <w:rFonts w:eastAsia="Arial Unicode MS"/>
              </w:rPr>
              <w:t>round amounts to the nearest whole thousand, million, or billion dollar based upon informative value;</w:t>
            </w:r>
          </w:p>
          <w:p w14:paraId="6278EF97" w14:textId="0D09CA20" w:rsidR="00465DBE" w:rsidRPr="005B5418" w:rsidRDefault="00465DBE" w:rsidP="005425ED">
            <w:pPr>
              <w:pStyle w:val="FAM-Table-outline2"/>
              <w:spacing w:line="240" w:lineRule="auto"/>
              <w:ind w:left="1140" w:hanging="443"/>
              <w:rPr>
                <w:rFonts w:eastAsia="Arial Unicode MS"/>
              </w:rPr>
            </w:pPr>
            <w:r w:rsidRPr="005B5418">
              <w:rPr>
                <w:rFonts w:eastAsia="Arial Unicode MS"/>
              </w:rPr>
              <w:t>maintain the chosen rounding level throughout the financial statements</w:t>
            </w:r>
            <w:r w:rsidR="004305BE" w:rsidRPr="005B5418">
              <w:rPr>
                <w:rFonts w:eastAsia="Arial Unicode MS"/>
              </w:rPr>
              <w:t>,</w:t>
            </w:r>
            <w:r w:rsidRPr="005B5418">
              <w:rPr>
                <w:rFonts w:eastAsia="Arial Unicode MS"/>
              </w:rPr>
              <w:t xml:space="preserve"> notes</w:t>
            </w:r>
            <w:r w:rsidR="00B136F2" w:rsidRPr="005B5418">
              <w:rPr>
                <w:rFonts w:eastAsia="Arial Unicode MS"/>
              </w:rPr>
              <w:t>, and RSI (including the MD&amp;A)</w:t>
            </w:r>
            <w:r w:rsidRPr="005B5418">
              <w:rPr>
                <w:rFonts w:eastAsia="Arial Unicode MS"/>
              </w:rPr>
              <w:t>; and</w:t>
            </w:r>
          </w:p>
          <w:p w14:paraId="548C5988" w14:textId="44BA5CDF" w:rsidR="00465DBE" w:rsidRPr="005B5418" w:rsidRDefault="00465DBE" w:rsidP="005425ED">
            <w:pPr>
              <w:pStyle w:val="FAM-Table-outline2"/>
              <w:spacing w:line="240" w:lineRule="auto"/>
              <w:ind w:left="1140" w:hanging="443"/>
              <w:rPr>
                <w:rFonts w:eastAsia="Arial Unicode MS"/>
              </w:rPr>
            </w:pPr>
            <w:r w:rsidRPr="005B5418">
              <w:rPr>
                <w:rFonts w:eastAsia="Arial Unicode MS"/>
              </w:rPr>
              <w:t>adjust line items for differences created by rounding rather than adjusting column totals? (A-136, section II.3.1)</w:t>
            </w:r>
          </w:p>
        </w:tc>
        <w:tc>
          <w:tcPr>
            <w:tcW w:w="1072" w:type="dxa"/>
          </w:tcPr>
          <w:p w14:paraId="2753A2E7" w14:textId="77777777" w:rsidR="00465DBE" w:rsidRPr="005B5418" w:rsidRDefault="00465DBE" w:rsidP="008848DA">
            <w:pPr>
              <w:pStyle w:val="Table-Cell-CenterBoldBefore6ptAfter6pt"/>
              <w:spacing w:before="60" w:after="60"/>
              <w:rPr>
                <w:rFonts w:cs="Arial"/>
              </w:rPr>
            </w:pPr>
          </w:p>
        </w:tc>
        <w:tc>
          <w:tcPr>
            <w:tcW w:w="3065" w:type="dxa"/>
          </w:tcPr>
          <w:p w14:paraId="4E9D525B" w14:textId="77777777" w:rsidR="00465DBE" w:rsidRPr="005B5418" w:rsidRDefault="00465DBE" w:rsidP="008848DA">
            <w:pPr>
              <w:spacing w:before="60" w:after="60" w:line="240" w:lineRule="auto"/>
              <w:rPr>
                <w:rFonts w:cs="Arial"/>
              </w:rPr>
            </w:pPr>
          </w:p>
        </w:tc>
      </w:tr>
      <w:tr w:rsidR="00465DBE" w:rsidRPr="005B5418" w14:paraId="441934DC" w14:textId="77777777" w:rsidTr="00AF5BC6">
        <w:trPr>
          <w:cantSplit/>
          <w:trHeight w:val="845"/>
        </w:trPr>
        <w:tc>
          <w:tcPr>
            <w:tcW w:w="5655" w:type="dxa"/>
          </w:tcPr>
          <w:p w14:paraId="70A74751" w14:textId="460764B2" w:rsidR="00465DBE" w:rsidRPr="005B5418" w:rsidRDefault="00465DBE" w:rsidP="008848DA">
            <w:pPr>
              <w:pStyle w:val="FAM-Table-outline"/>
              <w:spacing w:line="240" w:lineRule="auto"/>
              <w:rPr>
                <w:rFonts w:eastAsia="Arial Unicode MS"/>
              </w:rPr>
            </w:pPr>
            <w:r w:rsidRPr="005B5418">
              <w:rPr>
                <w:rFonts w:eastAsia="Arial Unicode MS"/>
              </w:rPr>
              <w:t xml:space="preserve">Are </w:t>
            </w:r>
            <w:r w:rsidR="00886EE1" w:rsidRPr="005B5418">
              <w:rPr>
                <w:rFonts w:eastAsia="Arial Unicode MS"/>
              </w:rPr>
              <w:t xml:space="preserve">the </w:t>
            </w:r>
            <w:r w:rsidRPr="005B5418">
              <w:rPr>
                <w:rFonts w:eastAsia="Arial Unicode MS"/>
              </w:rPr>
              <w:t>line numbers (e.</w:t>
            </w:r>
            <w:r w:rsidR="00AE331A" w:rsidRPr="005B5418">
              <w:rPr>
                <w:rFonts w:eastAsia="Arial Unicode MS"/>
              </w:rPr>
              <w:t>g.,</w:t>
            </w:r>
            <w:r w:rsidRPr="005B5418">
              <w:rPr>
                <w:rFonts w:eastAsia="Arial Unicode MS"/>
              </w:rPr>
              <w:t xml:space="preserve"> 1.</w:t>
            </w:r>
            <w:r w:rsidR="00886EE1" w:rsidRPr="005B5418">
              <w:rPr>
                <w:rFonts w:eastAsia="Arial Unicode MS"/>
              </w:rPr>
              <w:t>, 2., 3.</w:t>
            </w:r>
            <w:r w:rsidRPr="005B5418">
              <w:rPr>
                <w:rFonts w:eastAsia="Arial Unicode MS"/>
              </w:rPr>
              <w:t xml:space="preserve">) used </w:t>
            </w:r>
            <w:r w:rsidR="000061A3" w:rsidRPr="005B5418">
              <w:rPr>
                <w:rFonts w:eastAsia="Arial Unicode MS"/>
              </w:rPr>
              <w:t xml:space="preserve">in A-136 </w:t>
            </w:r>
            <w:r w:rsidR="00886EE1" w:rsidRPr="005B5418">
              <w:rPr>
                <w:rFonts w:eastAsia="Arial Unicode MS"/>
              </w:rPr>
              <w:t xml:space="preserve">financial statement templates </w:t>
            </w:r>
            <w:r w:rsidRPr="005B5418">
              <w:rPr>
                <w:rFonts w:eastAsia="Arial Unicode MS"/>
              </w:rPr>
              <w:t xml:space="preserve">omitted </w:t>
            </w:r>
            <w:r w:rsidR="00AE331A" w:rsidRPr="005B5418">
              <w:rPr>
                <w:rFonts w:eastAsia="Arial Unicode MS"/>
              </w:rPr>
              <w:t xml:space="preserve">from </w:t>
            </w:r>
            <w:r w:rsidRPr="005B5418">
              <w:rPr>
                <w:rFonts w:eastAsia="Arial Unicode MS"/>
              </w:rPr>
              <w:t xml:space="preserve">the </w:t>
            </w:r>
            <w:r w:rsidR="005622B3" w:rsidRPr="005B5418">
              <w:rPr>
                <w:rFonts w:eastAsia="Arial Unicode MS"/>
              </w:rPr>
              <w:t xml:space="preserve">financial </w:t>
            </w:r>
            <w:r w:rsidRPr="005B5418">
              <w:rPr>
                <w:rFonts w:eastAsia="Arial Unicode MS"/>
              </w:rPr>
              <w:t>statements? (A-136, section II.3.1)</w:t>
            </w:r>
          </w:p>
        </w:tc>
        <w:tc>
          <w:tcPr>
            <w:tcW w:w="1072" w:type="dxa"/>
          </w:tcPr>
          <w:p w14:paraId="5C67E603" w14:textId="77777777" w:rsidR="00465DBE" w:rsidRPr="005B5418" w:rsidRDefault="00465DBE" w:rsidP="008848DA">
            <w:pPr>
              <w:pStyle w:val="Table-Cell-CenterBoldBefore6ptAfter6pt"/>
              <w:spacing w:before="60" w:after="60"/>
              <w:rPr>
                <w:rFonts w:cs="Arial"/>
              </w:rPr>
            </w:pPr>
          </w:p>
        </w:tc>
        <w:tc>
          <w:tcPr>
            <w:tcW w:w="3065" w:type="dxa"/>
          </w:tcPr>
          <w:p w14:paraId="18EFD709" w14:textId="77777777" w:rsidR="00465DBE" w:rsidRPr="005B5418" w:rsidRDefault="00465DBE" w:rsidP="008848DA">
            <w:pPr>
              <w:spacing w:before="60" w:after="60" w:line="240" w:lineRule="auto"/>
              <w:rPr>
                <w:rFonts w:cs="Arial"/>
              </w:rPr>
            </w:pPr>
          </w:p>
        </w:tc>
      </w:tr>
      <w:tr w:rsidR="00465DBE" w:rsidRPr="005B5418" w14:paraId="1F2ED435" w14:textId="77777777" w:rsidTr="008848DA">
        <w:trPr>
          <w:cantSplit/>
          <w:trHeight w:val="890"/>
        </w:trPr>
        <w:tc>
          <w:tcPr>
            <w:tcW w:w="5655" w:type="dxa"/>
          </w:tcPr>
          <w:p w14:paraId="160DA56E" w14:textId="5B485BD9" w:rsidR="00465DBE" w:rsidRPr="005B5418" w:rsidRDefault="00465DBE" w:rsidP="008848DA">
            <w:pPr>
              <w:pStyle w:val="FAM-Table-outline"/>
              <w:spacing w:line="240" w:lineRule="auto"/>
              <w:rPr>
                <w:rFonts w:eastAsia="Arial Unicode MS"/>
              </w:rPr>
            </w:pPr>
            <w:r w:rsidRPr="005B5418">
              <w:rPr>
                <w:rFonts w:eastAsia="Arial Unicode MS"/>
              </w:rPr>
              <w:t>Are notes sequentially numbered? (A-136, section II.3.1)</w:t>
            </w:r>
          </w:p>
        </w:tc>
        <w:tc>
          <w:tcPr>
            <w:tcW w:w="1072" w:type="dxa"/>
          </w:tcPr>
          <w:p w14:paraId="249027B5" w14:textId="77777777" w:rsidR="00465DBE" w:rsidRPr="005B5418" w:rsidRDefault="00465DBE" w:rsidP="008848DA">
            <w:pPr>
              <w:pStyle w:val="Table-Cell-CenterBoldBefore6ptAfter6pt"/>
              <w:spacing w:before="60" w:after="60"/>
              <w:rPr>
                <w:rFonts w:cs="Arial"/>
              </w:rPr>
            </w:pPr>
          </w:p>
        </w:tc>
        <w:tc>
          <w:tcPr>
            <w:tcW w:w="3065" w:type="dxa"/>
          </w:tcPr>
          <w:p w14:paraId="49500DD1" w14:textId="77777777" w:rsidR="00465DBE" w:rsidRPr="005B5418" w:rsidRDefault="00465DBE" w:rsidP="008848DA">
            <w:pPr>
              <w:spacing w:before="60" w:after="60" w:line="240" w:lineRule="auto"/>
              <w:rPr>
                <w:rFonts w:cs="Arial"/>
              </w:rPr>
            </w:pPr>
          </w:p>
        </w:tc>
      </w:tr>
    </w:tbl>
    <w:p w14:paraId="080FBC91" w14:textId="0A144A9F" w:rsidR="00932E60" w:rsidRPr="005B5418" w:rsidRDefault="00932E60"/>
    <w:p w14:paraId="477F5D79" w14:textId="15202238" w:rsidR="006B6FD4" w:rsidRPr="005B5418" w:rsidRDefault="006B6FD4"/>
    <w:p w14:paraId="306576BD" w14:textId="28B4DF43" w:rsidR="006B6FD4" w:rsidRPr="005B5418" w:rsidRDefault="007E18C2">
      <w:r w:rsidRPr="005B5418">
        <w:br w:type="page"/>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5"/>
        <w:gridCol w:w="1072"/>
        <w:gridCol w:w="3065"/>
      </w:tblGrid>
      <w:tr w:rsidR="00C860A6" w:rsidRPr="005B5418" w14:paraId="154E022B" w14:textId="77777777" w:rsidTr="008848DA">
        <w:trPr>
          <w:tblHeader/>
        </w:trPr>
        <w:tc>
          <w:tcPr>
            <w:tcW w:w="5655" w:type="dxa"/>
          </w:tcPr>
          <w:p w14:paraId="628FC174" w14:textId="77777777" w:rsidR="00C860A6" w:rsidRPr="005B5418" w:rsidRDefault="00C860A6" w:rsidP="008848DA">
            <w:pPr>
              <w:pStyle w:val="Heading4"/>
              <w:spacing w:before="60" w:after="60" w:line="240" w:lineRule="auto"/>
              <w:jc w:val="left"/>
              <w:rPr>
                <w:b/>
                <w:i/>
                <w:u w:val="none"/>
              </w:rPr>
            </w:pPr>
            <w:bookmarkStart w:id="61" w:name="_II.3.2_Balance_Sheet_1"/>
            <w:bookmarkStart w:id="62" w:name="_Ref392097256"/>
            <w:bookmarkStart w:id="63" w:name="_Toc394667874"/>
            <w:bookmarkStart w:id="64" w:name="_Ref384815348"/>
            <w:bookmarkEnd w:id="61"/>
            <w:r w:rsidRPr="005B5418">
              <w:rPr>
                <w:b/>
                <w:u w:val="none"/>
              </w:rPr>
              <w:lastRenderedPageBreak/>
              <w:t>II.3.2 Balance Sheet</w:t>
            </w:r>
            <w:bookmarkEnd w:id="62"/>
            <w:bookmarkEnd w:id="63"/>
            <w:r w:rsidRPr="005B5418">
              <w:rPr>
                <w:b/>
                <w:u w:val="none"/>
              </w:rPr>
              <w:t xml:space="preserve"> </w:t>
            </w:r>
            <w:bookmarkEnd w:id="64"/>
          </w:p>
        </w:tc>
        <w:tc>
          <w:tcPr>
            <w:tcW w:w="1072" w:type="dxa"/>
          </w:tcPr>
          <w:p w14:paraId="3FFD74EE" w14:textId="77777777" w:rsidR="00C860A6" w:rsidRPr="005B5418" w:rsidRDefault="00C860A6" w:rsidP="008848DA">
            <w:pPr>
              <w:pStyle w:val="TableCellCenter"/>
              <w:spacing w:before="60" w:after="60"/>
              <w:jc w:val="left"/>
            </w:pPr>
            <w:r w:rsidRPr="005B5418">
              <w:t>Yes, No, or N/A</w:t>
            </w:r>
          </w:p>
        </w:tc>
        <w:tc>
          <w:tcPr>
            <w:tcW w:w="3065" w:type="dxa"/>
          </w:tcPr>
          <w:p w14:paraId="797B969D" w14:textId="5A83C054" w:rsidR="00C860A6" w:rsidRPr="005B5418" w:rsidRDefault="00C860A6" w:rsidP="008848DA">
            <w:pPr>
              <w:pStyle w:val="TableCellCenter"/>
              <w:spacing w:before="60" w:after="60"/>
              <w:jc w:val="left"/>
            </w:pPr>
            <w:r w:rsidRPr="005B5418">
              <w:t xml:space="preserve">Explanation </w:t>
            </w:r>
            <w:r w:rsidR="00297A55" w:rsidRPr="005B5418">
              <w:t xml:space="preserve">and </w:t>
            </w:r>
            <w:r w:rsidRPr="005B5418">
              <w:t>Reference</w:t>
            </w:r>
          </w:p>
        </w:tc>
      </w:tr>
      <w:tr w:rsidR="00C860A6" w:rsidRPr="005B5418" w14:paraId="3765F969" w14:textId="77777777" w:rsidTr="006B6FD4">
        <w:trPr>
          <w:trHeight w:val="1601"/>
        </w:trPr>
        <w:tc>
          <w:tcPr>
            <w:tcW w:w="9792" w:type="dxa"/>
            <w:gridSpan w:val="3"/>
          </w:tcPr>
          <w:p w14:paraId="6CB5EC48" w14:textId="5393BD6A" w:rsidR="00C860A6" w:rsidRPr="005B5418" w:rsidRDefault="00C860A6" w:rsidP="008848DA">
            <w:pPr>
              <w:pStyle w:val="Table-Note"/>
              <w:spacing w:before="60" w:after="60" w:line="240" w:lineRule="auto"/>
              <w:ind w:left="-23"/>
              <w:jc w:val="left"/>
              <w:rPr>
                <w:rFonts w:cs="Arial"/>
                <w:i w:val="0"/>
                <w:sz w:val="22"/>
                <w:szCs w:val="22"/>
              </w:rPr>
            </w:pPr>
            <w:r w:rsidRPr="005B5418">
              <w:rPr>
                <w:rFonts w:cs="Arial"/>
                <w:i w:val="0"/>
                <w:sz w:val="22"/>
                <w:szCs w:val="22"/>
              </w:rPr>
              <w:t xml:space="preserve">The </w:t>
            </w:r>
            <w:r w:rsidR="001B5C17" w:rsidRPr="005B5418">
              <w:rPr>
                <w:rFonts w:cs="Arial"/>
                <w:i w:val="0"/>
                <w:sz w:val="22"/>
                <w:szCs w:val="22"/>
              </w:rPr>
              <w:t xml:space="preserve">balance sheet </w:t>
            </w:r>
            <w:r w:rsidRPr="005B5418">
              <w:rPr>
                <w:rFonts w:cs="Arial"/>
                <w:i w:val="0"/>
                <w:sz w:val="22"/>
                <w:szCs w:val="22"/>
              </w:rPr>
              <w:t xml:space="preserve">shows at a specific point in time, amounts of economic benefits </w:t>
            </w:r>
            <w:r w:rsidR="003C13B7" w:rsidRPr="005B5418">
              <w:rPr>
                <w:rFonts w:cs="Arial"/>
                <w:i w:val="0"/>
                <w:sz w:val="22"/>
                <w:szCs w:val="22"/>
              </w:rPr>
              <w:t xml:space="preserve">that the reporting entity </w:t>
            </w:r>
            <w:r w:rsidRPr="005B5418">
              <w:rPr>
                <w:rFonts w:cs="Arial"/>
                <w:i w:val="0"/>
                <w:sz w:val="22"/>
                <w:szCs w:val="22"/>
              </w:rPr>
              <w:t>own</w:t>
            </w:r>
            <w:r w:rsidR="003C13B7" w:rsidRPr="005B5418">
              <w:rPr>
                <w:rFonts w:cs="Arial"/>
                <w:i w:val="0"/>
                <w:sz w:val="22"/>
                <w:szCs w:val="22"/>
              </w:rPr>
              <w:t>s</w:t>
            </w:r>
            <w:r w:rsidRPr="005B5418">
              <w:rPr>
                <w:rFonts w:cs="Arial"/>
                <w:i w:val="0"/>
                <w:sz w:val="22"/>
                <w:szCs w:val="22"/>
              </w:rPr>
              <w:t xml:space="preserve"> or manage</w:t>
            </w:r>
            <w:r w:rsidR="003C13B7" w:rsidRPr="005B5418">
              <w:rPr>
                <w:rFonts w:cs="Arial"/>
                <w:i w:val="0"/>
                <w:sz w:val="22"/>
                <w:szCs w:val="22"/>
              </w:rPr>
              <w:t>s</w:t>
            </w:r>
            <w:r w:rsidRPr="005B5418">
              <w:rPr>
                <w:rFonts w:cs="Arial"/>
                <w:i w:val="0"/>
                <w:sz w:val="22"/>
                <w:szCs w:val="22"/>
              </w:rPr>
              <w:t xml:space="preserve"> (assets), amounts the entity</w:t>
            </w:r>
            <w:r w:rsidR="003C13B7" w:rsidRPr="005B5418">
              <w:rPr>
                <w:rFonts w:cs="Arial"/>
                <w:i w:val="0"/>
                <w:sz w:val="22"/>
                <w:szCs w:val="22"/>
              </w:rPr>
              <w:t xml:space="preserve"> owes</w:t>
            </w:r>
            <w:r w:rsidRPr="005B5418">
              <w:rPr>
                <w:rFonts w:cs="Arial"/>
                <w:i w:val="0"/>
                <w:sz w:val="22"/>
                <w:szCs w:val="22"/>
              </w:rPr>
              <w:t xml:space="preserve"> (liabilities), and amounts that comprise the difference (net position).</w:t>
            </w:r>
            <w:r w:rsidR="009B6870" w:rsidRPr="005B5418">
              <w:rPr>
                <w:rFonts w:cs="Arial"/>
                <w:i w:val="0"/>
                <w:sz w:val="22"/>
                <w:szCs w:val="22"/>
              </w:rPr>
              <w:t xml:space="preserve"> </w:t>
            </w:r>
          </w:p>
          <w:p w14:paraId="6F7164B3" w14:textId="3BE23E4B" w:rsidR="0045323E" w:rsidRPr="005B5418" w:rsidRDefault="00E24A22" w:rsidP="00025238">
            <w:pPr>
              <w:pStyle w:val="Table-Note"/>
              <w:spacing w:before="60" w:after="60" w:line="240" w:lineRule="auto"/>
              <w:ind w:left="-23"/>
              <w:rPr>
                <w:rFonts w:cs="Arial"/>
                <w:i w:val="0"/>
                <w:sz w:val="22"/>
                <w:szCs w:val="22"/>
              </w:rPr>
            </w:pPr>
            <w:r w:rsidRPr="005B5418">
              <w:rPr>
                <w:rFonts w:cs="Arial"/>
                <w:i w:val="0"/>
                <w:sz w:val="22"/>
                <w:szCs w:val="22"/>
              </w:rPr>
              <w:t>E</w:t>
            </w:r>
            <w:r w:rsidR="00B22C90" w:rsidRPr="005B5418">
              <w:rPr>
                <w:rFonts w:cs="Arial"/>
                <w:i w:val="0"/>
                <w:sz w:val="22"/>
                <w:szCs w:val="22"/>
              </w:rPr>
              <w:t xml:space="preserve">ntities should use </w:t>
            </w:r>
            <w:r w:rsidR="009B6870" w:rsidRPr="005B5418">
              <w:rPr>
                <w:rFonts w:cs="Arial"/>
                <w:i w:val="0"/>
                <w:sz w:val="22"/>
                <w:szCs w:val="22"/>
              </w:rPr>
              <w:t>the Balance Sheet Template, as shown in</w:t>
            </w:r>
            <w:r w:rsidR="00032FCF" w:rsidRPr="005B5418">
              <w:rPr>
                <w:rFonts w:cs="Arial"/>
                <w:i w:val="0"/>
                <w:sz w:val="22"/>
                <w:szCs w:val="22"/>
              </w:rPr>
              <w:t xml:space="preserve"> </w:t>
            </w:r>
            <w:r w:rsidR="009B6870" w:rsidRPr="005B5418">
              <w:rPr>
                <w:rFonts w:cs="Arial"/>
                <w:i w:val="0"/>
                <w:sz w:val="22"/>
                <w:szCs w:val="22"/>
              </w:rPr>
              <w:t xml:space="preserve">A-136, section II.3.2.2. See </w:t>
            </w:r>
            <w:r w:rsidR="00324EA6" w:rsidRPr="005B5418">
              <w:rPr>
                <w:rFonts w:cs="Arial"/>
                <w:i w:val="0"/>
                <w:sz w:val="22"/>
                <w:szCs w:val="22"/>
              </w:rPr>
              <w:t xml:space="preserve">A-136, </w:t>
            </w:r>
            <w:r w:rsidR="009B6870" w:rsidRPr="005B5418">
              <w:rPr>
                <w:rFonts w:cs="Arial"/>
                <w:i w:val="0"/>
                <w:sz w:val="22"/>
                <w:szCs w:val="22"/>
              </w:rPr>
              <w:t>section II.3.2.2</w:t>
            </w:r>
            <w:r w:rsidR="0066157C" w:rsidRPr="005B5418">
              <w:rPr>
                <w:rFonts w:cs="Arial"/>
                <w:i w:val="0"/>
                <w:sz w:val="22"/>
                <w:szCs w:val="22"/>
              </w:rPr>
              <w:t>,</w:t>
            </w:r>
            <w:r w:rsidR="009B6870" w:rsidRPr="005B5418">
              <w:rPr>
                <w:rFonts w:cs="Arial"/>
                <w:i w:val="0"/>
                <w:sz w:val="22"/>
                <w:szCs w:val="22"/>
              </w:rPr>
              <w:t xml:space="preserve"> for additional instructions</w:t>
            </w:r>
            <w:r w:rsidR="00324EA6" w:rsidRPr="005B5418">
              <w:rPr>
                <w:rFonts w:cs="Arial"/>
                <w:i w:val="0"/>
                <w:sz w:val="22"/>
                <w:szCs w:val="22"/>
              </w:rPr>
              <w:t>.</w:t>
            </w:r>
          </w:p>
          <w:p w14:paraId="1A367CFF" w14:textId="57E99AA9" w:rsidR="00DE13DD" w:rsidRPr="005B5418" w:rsidRDefault="00DE13DD" w:rsidP="00DE13DD">
            <w:pPr>
              <w:pStyle w:val="Table-Note"/>
              <w:spacing w:before="60" w:after="60" w:line="240" w:lineRule="auto"/>
              <w:ind w:left="-23"/>
              <w:rPr>
                <w:rFonts w:cs="Arial"/>
                <w:i w:val="0"/>
                <w:sz w:val="22"/>
                <w:szCs w:val="22"/>
              </w:rPr>
            </w:pPr>
          </w:p>
        </w:tc>
      </w:tr>
      <w:tr w:rsidR="00623E1E" w:rsidRPr="005B5418" w14:paraId="405365D5" w14:textId="77777777" w:rsidTr="008848DA">
        <w:tc>
          <w:tcPr>
            <w:tcW w:w="9792" w:type="dxa"/>
            <w:gridSpan w:val="3"/>
          </w:tcPr>
          <w:p w14:paraId="5E1E0284" w14:textId="77777777" w:rsidR="00623E1E" w:rsidRPr="005B5418" w:rsidRDefault="00623E1E" w:rsidP="008848DA">
            <w:pPr>
              <w:pStyle w:val="Table-Note"/>
              <w:spacing w:before="60" w:after="60" w:line="240" w:lineRule="auto"/>
              <w:ind w:left="0"/>
              <w:jc w:val="left"/>
              <w:rPr>
                <w:rFonts w:cs="Arial"/>
                <w:b/>
                <w:i w:val="0"/>
                <w:sz w:val="22"/>
                <w:szCs w:val="22"/>
              </w:rPr>
            </w:pPr>
            <w:r w:rsidRPr="005B5418">
              <w:rPr>
                <w:rFonts w:cs="Arial"/>
                <w:b/>
                <w:i w:val="0"/>
                <w:sz w:val="22"/>
                <w:szCs w:val="22"/>
              </w:rPr>
              <w:t>Balance Sheet</w:t>
            </w:r>
          </w:p>
        </w:tc>
      </w:tr>
      <w:tr w:rsidR="00623E1E" w:rsidRPr="005B5418" w14:paraId="7B7FC486" w14:textId="77777777" w:rsidTr="008848DA">
        <w:tc>
          <w:tcPr>
            <w:tcW w:w="9792" w:type="dxa"/>
            <w:gridSpan w:val="3"/>
          </w:tcPr>
          <w:tbl>
            <w:tblPr>
              <w:tblpPr w:leftFromText="180" w:rightFromText="180" w:vertAnchor="text" w:horzAnchor="margin" w:tblpY="-2"/>
              <w:tblW w:w="9576" w:type="dxa"/>
              <w:tblBorders>
                <w:insideH w:val="single" w:sz="4" w:space="0" w:color="auto"/>
                <w:insideV w:val="single" w:sz="4" w:space="0" w:color="auto"/>
              </w:tblBorders>
              <w:tblLook w:val="0000" w:firstRow="0" w:lastRow="0" w:firstColumn="0" w:lastColumn="0" w:noHBand="0" w:noVBand="0"/>
            </w:tblPr>
            <w:tblGrid>
              <w:gridCol w:w="5400"/>
              <w:gridCol w:w="965"/>
              <w:gridCol w:w="3211"/>
            </w:tblGrid>
            <w:tr w:rsidR="00623E1E" w:rsidRPr="005B5418" w14:paraId="0D61A7E1" w14:textId="77777777" w:rsidTr="006B6FD4">
              <w:trPr>
                <w:trHeight w:val="1526"/>
              </w:trPr>
              <w:tc>
                <w:tcPr>
                  <w:tcW w:w="5400" w:type="dxa"/>
                </w:tcPr>
                <w:p w14:paraId="5A767B16" w14:textId="6EE38304" w:rsidR="00623E1E" w:rsidRPr="005B5418" w:rsidRDefault="00623E1E" w:rsidP="0091674B">
                  <w:pPr>
                    <w:pStyle w:val="FAM-Table-outline"/>
                    <w:numPr>
                      <w:ilvl w:val="0"/>
                      <w:numId w:val="86"/>
                    </w:numPr>
                    <w:spacing w:line="240" w:lineRule="auto"/>
                  </w:pPr>
                  <w:r w:rsidRPr="005B5418">
                    <w:t xml:space="preserve">Does the entity </w:t>
                  </w:r>
                  <w:r w:rsidR="00C6153A" w:rsidRPr="005B5418">
                    <w:t xml:space="preserve">present its </w:t>
                  </w:r>
                  <w:r w:rsidR="001B5C17" w:rsidRPr="005B5418">
                    <w:t xml:space="preserve">balance sheet </w:t>
                  </w:r>
                  <w:r w:rsidR="00C6153A" w:rsidRPr="005B5418">
                    <w:t>using the applicable asset and liability lin</w:t>
                  </w:r>
                  <w:r w:rsidRPr="005B5418">
                    <w:t>e</w:t>
                  </w:r>
                  <w:r w:rsidR="00C6153A" w:rsidRPr="005B5418">
                    <w:t xml:space="preserve"> titles on the numbered lines shown in the template? </w:t>
                  </w:r>
                  <w:r w:rsidR="0033443B" w:rsidRPr="005B5418">
                    <w:t>(A-136, section</w:t>
                  </w:r>
                  <w:r w:rsidRPr="005B5418">
                    <w:t xml:space="preserve"> II.3.2.</w:t>
                  </w:r>
                  <w:r w:rsidR="00C6153A" w:rsidRPr="005B5418">
                    <w:t>2</w:t>
                  </w:r>
                  <w:r w:rsidRPr="005B5418">
                    <w:t xml:space="preserve">) </w:t>
                  </w:r>
                </w:p>
              </w:tc>
              <w:tc>
                <w:tcPr>
                  <w:tcW w:w="965" w:type="dxa"/>
                </w:tcPr>
                <w:p w14:paraId="0E5CEB9D" w14:textId="77777777" w:rsidR="00623E1E" w:rsidRPr="005B5418" w:rsidRDefault="00623E1E" w:rsidP="008848DA">
                  <w:pPr>
                    <w:pStyle w:val="Table-Cell-CenterBoldBefore6ptAfter6pt"/>
                    <w:spacing w:before="60" w:after="60"/>
                    <w:rPr>
                      <w:rFonts w:cs="Arial"/>
                    </w:rPr>
                  </w:pPr>
                </w:p>
              </w:tc>
              <w:tc>
                <w:tcPr>
                  <w:tcW w:w="3211" w:type="dxa"/>
                </w:tcPr>
                <w:p w14:paraId="1DC799BD" w14:textId="77777777" w:rsidR="00623E1E" w:rsidRPr="005B5418" w:rsidRDefault="00623E1E" w:rsidP="008848DA">
                  <w:pPr>
                    <w:spacing w:before="60" w:after="60" w:line="240" w:lineRule="auto"/>
                    <w:rPr>
                      <w:rFonts w:cs="Arial"/>
                    </w:rPr>
                  </w:pPr>
                </w:p>
              </w:tc>
            </w:tr>
            <w:tr w:rsidR="00C6153A" w:rsidRPr="005B5418" w14:paraId="7720EFDE" w14:textId="77777777" w:rsidTr="008848DA">
              <w:trPr>
                <w:trHeight w:val="1547"/>
              </w:trPr>
              <w:tc>
                <w:tcPr>
                  <w:tcW w:w="5400" w:type="dxa"/>
                </w:tcPr>
                <w:p w14:paraId="76720966" w14:textId="510A39F8" w:rsidR="00C6153A" w:rsidRPr="005B5418" w:rsidRDefault="0033443B" w:rsidP="005425ED">
                  <w:pPr>
                    <w:pStyle w:val="FAM-Table-outline"/>
                    <w:numPr>
                      <w:ilvl w:val="0"/>
                      <w:numId w:val="86"/>
                    </w:numPr>
                    <w:spacing w:line="240" w:lineRule="auto"/>
                  </w:pPr>
                  <w:r w:rsidRPr="005B5418">
                    <w:t xml:space="preserve">If a </w:t>
                  </w:r>
                  <w:r w:rsidR="004A5BB5" w:rsidRPr="005B5418">
                    <w:t xml:space="preserve">specific </w:t>
                  </w:r>
                  <w:r w:rsidRPr="005B5418">
                    <w:t>line title</w:t>
                  </w:r>
                  <w:r w:rsidR="009F0E17" w:rsidRPr="005B5418">
                    <w:t xml:space="preserve"> (from the template) is immaterial to an entity,</w:t>
                  </w:r>
                  <w:r w:rsidR="00AB21F3" w:rsidRPr="005B5418">
                    <w:rPr>
                      <w:rStyle w:val="FootnoteReference"/>
                    </w:rPr>
                    <w:footnoteReference w:id="35"/>
                  </w:r>
                  <w:r w:rsidRPr="005B5418">
                    <w:t xml:space="preserve"> does the entity (1) use the numbered line title with the immaterial amount presented, (2) present the immaterial amount in the numbered line title as a discrete component under Other Assets or Other Liabilities, or (3) disclose </w:t>
                  </w:r>
                  <w:r w:rsidR="00D31B60" w:rsidRPr="005B5418">
                    <w:t xml:space="preserve">in the notes to the financial statements </w:t>
                  </w:r>
                  <w:r w:rsidRPr="005B5418">
                    <w:t xml:space="preserve">the amount for the numbered line title </w:t>
                  </w:r>
                  <w:r w:rsidR="00D31B60" w:rsidRPr="005B5418">
                    <w:t>as a component of</w:t>
                  </w:r>
                  <w:r w:rsidRPr="005B5418">
                    <w:t xml:space="preserve"> Other Assets or Other Liabilities? (A-136, section II.3.2.2)</w:t>
                  </w:r>
                </w:p>
              </w:tc>
              <w:tc>
                <w:tcPr>
                  <w:tcW w:w="965" w:type="dxa"/>
                </w:tcPr>
                <w:p w14:paraId="0FDF83C5" w14:textId="77777777" w:rsidR="00C6153A" w:rsidRPr="005B5418" w:rsidRDefault="00C6153A" w:rsidP="008848DA">
                  <w:pPr>
                    <w:pStyle w:val="Table-Cell-CenterBoldBefore6ptAfter6pt"/>
                    <w:spacing w:before="60" w:after="60"/>
                    <w:rPr>
                      <w:rFonts w:cs="Arial"/>
                    </w:rPr>
                  </w:pPr>
                </w:p>
              </w:tc>
              <w:tc>
                <w:tcPr>
                  <w:tcW w:w="3211" w:type="dxa"/>
                </w:tcPr>
                <w:p w14:paraId="0CCEDDD5" w14:textId="77777777" w:rsidR="00C6153A" w:rsidRPr="005B5418" w:rsidRDefault="00C6153A" w:rsidP="008848DA">
                  <w:pPr>
                    <w:spacing w:before="60" w:after="60" w:line="240" w:lineRule="auto"/>
                    <w:rPr>
                      <w:rFonts w:cs="Arial"/>
                    </w:rPr>
                  </w:pPr>
                </w:p>
              </w:tc>
            </w:tr>
            <w:tr w:rsidR="00EB7D10" w:rsidRPr="005B5418" w14:paraId="43DB23DD" w14:textId="77777777" w:rsidTr="008848DA">
              <w:trPr>
                <w:trHeight w:val="1966"/>
              </w:trPr>
              <w:tc>
                <w:tcPr>
                  <w:tcW w:w="5400" w:type="dxa"/>
                </w:tcPr>
                <w:p w14:paraId="459F2064" w14:textId="0AA48198" w:rsidR="00EB7D10" w:rsidRPr="005B5418" w:rsidRDefault="00AB21F3" w:rsidP="008848DA">
                  <w:pPr>
                    <w:pStyle w:val="FAM-Table-outline"/>
                    <w:spacing w:line="240" w:lineRule="auto"/>
                  </w:pPr>
                  <w:r w:rsidRPr="005B5418">
                    <w:t>If an asset or liability is not</w:t>
                  </w:r>
                  <w:r w:rsidR="009C1B4F" w:rsidRPr="005B5418">
                    <w:t xml:space="preserve"> reported within </w:t>
                  </w:r>
                  <w:r w:rsidR="004A5BB5" w:rsidRPr="005B5418">
                    <w:t xml:space="preserve">a </w:t>
                  </w:r>
                  <w:r w:rsidR="00FC5A22" w:rsidRPr="005B5418">
                    <w:t xml:space="preserve">specific </w:t>
                  </w:r>
                  <w:r w:rsidR="004A5BB5" w:rsidRPr="005B5418">
                    <w:t xml:space="preserve">line title, </w:t>
                  </w:r>
                  <w:r w:rsidR="009C1B4F" w:rsidRPr="005B5418">
                    <w:t>does the entity report such asset or liability within the Other Assets or Other Liabilities</w:t>
                  </w:r>
                  <w:r w:rsidR="00FC5A22" w:rsidRPr="005B5418">
                    <w:t xml:space="preserve"> line item</w:t>
                  </w:r>
                  <w:r w:rsidR="009C1B4F" w:rsidRPr="005B5418">
                    <w:t>?</w:t>
                  </w:r>
                  <w:r w:rsidR="00E67CCC" w:rsidRPr="005B5418">
                    <w:t xml:space="preserve"> (See Other Assets and Other Liabilities definition in A-136, sections II.3.2.3 and II.3.2.4)</w:t>
                  </w:r>
                </w:p>
              </w:tc>
              <w:tc>
                <w:tcPr>
                  <w:tcW w:w="965" w:type="dxa"/>
                </w:tcPr>
                <w:p w14:paraId="04AA8934" w14:textId="77777777" w:rsidR="00EB7D10" w:rsidRPr="005B5418" w:rsidRDefault="00EB7D10" w:rsidP="008848DA">
                  <w:pPr>
                    <w:pStyle w:val="Table-Cell-CenterBoldBefore6ptAfter6pt"/>
                    <w:spacing w:before="60" w:after="60"/>
                    <w:rPr>
                      <w:rFonts w:cs="Arial"/>
                    </w:rPr>
                  </w:pPr>
                </w:p>
              </w:tc>
              <w:tc>
                <w:tcPr>
                  <w:tcW w:w="3211" w:type="dxa"/>
                </w:tcPr>
                <w:p w14:paraId="1D5E4072" w14:textId="77777777" w:rsidR="00EB7D10" w:rsidRPr="005B5418" w:rsidRDefault="00EB7D10" w:rsidP="008848DA">
                  <w:pPr>
                    <w:spacing w:before="60" w:after="60" w:line="240" w:lineRule="auto"/>
                    <w:rPr>
                      <w:rFonts w:cs="Arial"/>
                    </w:rPr>
                  </w:pPr>
                </w:p>
              </w:tc>
            </w:tr>
          </w:tbl>
          <w:p w14:paraId="48FBB5F1" w14:textId="77777777" w:rsidR="00623E1E" w:rsidRPr="005B5418" w:rsidRDefault="00623E1E" w:rsidP="008848DA">
            <w:pPr>
              <w:pStyle w:val="Table-Note"/>
              <w:spacing w:before="60" w:after="60" w:line="240" w:lineRule="auto"/>
              <w:ind w:left="0"/>
              <w:jc w:val="left"/>
              <w:rPr>
                <w:rFonts w:cs="Arial"/>
                <w:b/>
                <w:sz w:val="22"/>
                <w:szCs w:val="22"/>
              </w:rPr>
            </w:pPr>
          </w:p>
        </w:tc>
      </w:tr>
      <w:tr w:rsidR="00623E1E" w:rsidRPr="005B5418" w14:paraId="27153DFD" w14:textId="77777777" w:rsidTr="008848DA">
        <w:trPr>
          <w:trHeight w:val="1214"/>
        </w:trPr>
        <w:tc>
          <w:tcPr>
            <w:tcW w:w="9792" w:type="dxa"/>
            <w:gridSpan w:val="3"/>
          </w:tcPr>
          <w:p w14:paraId="6FA3510C" w14:textId="0CE2471F" w:rsidR="001C3904" w:rsidRPr="005B5418" w:rsidRDefault="00623E1E" w:rsidP="008848DA">
            <w:pPr>
              <w:pStyle w:val="Table-Note"/>
              <w:spacing w:before="60" w:after="60" w:line="240" w:lineRule="auto"/>
              <w:ind w:left="0"/>
              <w:jc w:val="left"/>
              <w:rPr>
                <w:rFonts w:cs="Arial"/>
                <w:i w:val="0"/>
                <w:sz w:val="22"/>
                <w:szCs w:val="22"/>
              </w:rPr>
            </w:pPr>
            <w:r w:rsidRPr="005B5418">
              <w:rPr>
                <w:rFonts w:cs="Arial"/>
                <w:i w:val="0"/>
                <w:sz w:val="22"/>
                <w:szCs w:val="22"/>
              </w:rPr>
              <w:lastRenderedPageBreak/>
              <w:t xml:space="preserve">Assets are tangible or intangible items </w:t>
            </w:r>
            <w:r w:rsidR="00E27035" w:rsidRPr="005B5418">
              <w:rPr>
                <w:rFonts w:cs="Arial"/>
                <w:i w:val="0"/>
                <w:sz w:val="22"/>
                <w:szCs w:val="22"/>
              </w:rPr>
              <w:t>that</w:t>
            </w:r>
            <w:r w:rsidRPr="005B5418">
              <w:rPr>
                <w:rFonts w:cs="Arial"/>
                <w:i w:val="0"/>
                <w:sz w:val="22"/>
                <w:szCs w:val="22"/>
              </w:rPr>
              <w:t xml:space="preserve"> the </w:t>
            </w:r>
            <w:r w:rsidR="00E27035" w:rsidRPr="005B5418">
              <w:rPr>
                <w:rFonts w:cs="Arial"/>
                <w:i w:val="0"/>
                <w:sz w:val="22"/>
                <w:szCs w:val="22"/>
              </w:rPr>
              <w:t xml:space="preserve">government owns </w:t>
            </w:r>
            <w:r w:rsidRPr="005B5418">
              <w:rPr>
                <w:rFonts w:cs="Arial"/>
                <w:i w:val="0"/>
                <w:sz w:val="22"/>
                <w:szCs w:val="22"/>
              </w:rPr>
              <w:t xml:space="preserve">that have probable economic benefits that a </w:t>
            </w:r>
            <w:r w:rsidR="00324EA6" w:rsidRPr="005B5418">
              <w:rPr>
                <w:rFonts w:cs="Arial"/>
                <w:i w:val="0"/>
                <w:sz w:val="22"/>
                <w:szCs w:val="22"/>
              </w:rPr>
              <w:t>f</w:t>
            </w:r>
            <w:r w:rsidRPr="005B5418">
              <w:rPr>
                <w:rFonts w:cs="Arial"/>
                <w:i w:val="0"/>
                <w:sz w:val="22"/>
                <w:szCs w:val="22"/>
              </w:rPr>
              <w:t>ederal entity</w:t>
            </w:r>
            <w:r w:rsidR="00E27035" w:rsidRPr="005B5418">
              <w:rPr>
                <w:rFonts w:cs="Arial"/>
                <w:i w:val="0"/>
                <w:sz w:val="22"/>
                <w:szCs w:val="22"/>
              </w:rPr>
              <w:t xml:space="preserve"> can obtain or control</w:t>
            </w:r>
            <w:r w:rsidRPr="005B5418">
              <w:rPr>
                <w:rFonts w:cs="Arial"/>
                <w:i w:val="0"/>
                <w:sz w:val="22"/>
                <w:szCs w:val="22"/>
              </w:rPr>
              <w:t xml:space="preserve">. </w:t>
            </w:r>
          </w:p>
          <w:p w14:paraId="676929AD" w14:textId="7BD25CB6" w:rsidR="00623E1E" w:rsidRPr="005B5418" w:rsidRDefault="00623E1E" w:rsidP="008848DA">
            <w:pPr>
              <w:pStyle w:val="Table-Note"/>
              <w:spacing w:before="60" w:after="60" w:line="240" w:lineRule="auto"/>
              <w:ind w:left="0"/>
              <w:jc w:val="left"/>
              <w:rPr>
                <w:rFonts w:cs="Arial"/>
                <w:i w:val="0"/>
                <w:sz w:val="22"/>
                <w:szCs w:val="22"/>
              </w:rPr>
            </w:pPr>
            <w:r w:rsidRPr="005B5418">
              <w:rPr>
                <w:rFonts w:cs="Arial"/>
                <w:i w:val="0"/>
                <w:sz w:val="22"/>
                <w:szCs w:val="22"/>
              </w:rPr>
              <w:t>Entity assets are assets that the reporting entity has authority to use in its operations. Management may have authority to decide how funds are used or it may be legally obligated to use the funds a certain way (e.g., repay loans from Treasury). Non-entity assets are assets held by an entity that are not available to the entity (e.g., income tax receivables, which the Internal Revenue Service collects but has no authority to spend). (A-136, section II.3.2.3)</w:t>
            </w:r>
          </w:p>
          <w:p w14:paraId="4870B67A" w14:textId="5308B4AF" w:rsidR="00622B35" w:rsidRPr="005B5418" w:rsidRDefault="00622B35" w:rsidP="009E72A8">
            <w:pPr>
              <w:pStyle w:val="Table-Note"/>
              <w:spacing w:before="60" w:after="60" w:line="240" w:lineRule="auto"/>
              <w:ind w:left="0"/>
              <w:jc w:val="left"/>
              <w:rPr>
                <w:rFonts w:cs="Arial"/>
                <w:sz w:val="22"/>
                <w:szCs w:val="22"/>
              </w:rPr>
            </w:pPr>
            <w:r w:rsidRPr="005B5418">
              <w:rPr>
                <w:rFonts w:cs="Arial"/>
                <w:i w:val="0"/>
                <w:sz w:val="22"/>
                <w:szCs w:val="22"/>
              </w:rPr>
              <w:t xml:space="preserve">Intragovernmental assets arise from transactions </w:t>
            </w:r>
            <w:r w:rsidR="00AF5BC6" w:rsidRPr="005B5418">
              <w:rPr>
                <w:rFonts w:cs="Arial"/>
                <w:i w:val="0"/>
                <w:sz w:val="22"/>
                <w:szCs w:val="22"/>
              </w:rPr>
              <w:t>between the</w:t>
            </w:r>
            <w:r w:rsidR="00CD3142" w:rsidRPr="005B5418">
              <w:rPr>
                <w:rFonts w:cs="Arial"/>
                <w:i w:val="0"/>
                <w:sz w:val="22"/>
                <w:szCs w:val="22"/>
              </w:rPr>
              <w:t xml:space="preserve"> reporting</w:t>
            </w:r>
            <w:r w:rsidR="00F37413" w:rsidRPr="005B5418">
              <w:rPr>
                <w:rFonts w:cs="Arial"/>
                <w:i w:val="0"/>
                <w:sz w:val="22"/>
                <w:szCs w:val="22"/>
              </w:rPr>
              <w:t xml:space="preserve"> </w:t>
            </w:r>
            <w:r w:rsidRPr="005B5418">
              <w:rPr>
                <w:rFonts w:cs="Arial"/>
                <w:i w:val="0"/>
                <w:sz w:val="22"/>
                <w:szCs w:val="22"/>
              </w:rPr>
              <w:t>entities</w:t>
            </w:r>
            <w:r w:rsidR="009E72A8" w:rsidRPr="005B5418">
              <w:rPr>
                <w:rFonts w:cs="Arial"/>
                <w:i w:val="0"/>
                <w:sz w:val="22"/>
                <w:szCs w:val="22"/>
              </w:rPr>
              <w:t xml:space="preserve"> and other consolidation </w:t>
            </w:r>
            <w:r w:rsidR="00E24A22" w:rsidRPr="005B5418">
              <w:rPr>
                <w:rFonts w:cs="Arial"/>
                <w:i w:val="0"/>
                <w:sz w:val="22"/>
                <w:szCs w:val="22"/>
              </w:rPr>
              <w:t>entities</w:t>
            </w:r>
            <w:r w:rsidRPr="005B5418">
              <w:rPr>
                <w:rFonts w:cs="Arial"/>
                <w:i w:val="0"/>
                <w:sz w:val="22"/>
                <w:szCs w:val="22"/>
              </w:rPr>
              <w:t xml:space="preserve"> and are claims of </w:t>
            </w:r>
            <w:r w:rsidR="00B136F2" w:rsidRPr="005B5418">
              <w:rPr>
                <w:rFonts w:cs="Arial"/>
                <w:i w:val="0"/>
                <w:sz w:val="22"/>
                <w:szCs w:val="22"/>
              </w:rPr>
              <w:t xml:space="preserve">one </w:t>
            </w:r>
            <w:r w:rsidR="009E72A8" w:rsidRPr="005B5418">
              <w:rPr>
                <w:rFonts w:cs="Arial"/>
                <w:i w:val="0"/>
                <w:sz w:val="22"/>
                <w:szCs w:val="22"/>
              </w:rPr>
              <w:t>such</w:t>
            </w:r>
            <w:r w:rsidR="00C95338" w:rsidRPr="005B5418">
              <w:rPr>
                <w:rFonts w:cs="Arial"/>
                <w:i w:val="0"/>
                <w:sz w:val="22"/>
                <w:szCs w:val="22"/>
              </w:rPr>
              <w:t xml:space="preserve"> entity </w:t>
            </w:r>
            <w:r w:rsidRPr="005B5418">
              <w:rPr>
                <w:rFonts w:cs="Arial"/>
                <w:i w:val="0"/>
                <w:sz w:val="22"/>
                <w:szCs w:val="22"/>
              </w:rPr>
              <w:t xml:space="preserve">against another </w:t>
            </w:r>
            <w:r w:rsidR="009E72A8" w:rsidRPr="005B5418">
              <w:rPr>
                <w:rFonts w:cs="Arial"/>
                <w:i w:val="0"/>
                <w:sz w:val="22"/>
                <w:szCs w:val="22"/>
              </w:rPr>
              <w:t>such</w:t>
            </w:r>
            <w:r w:rsidR="00F37413" w:rsidRPr="005B5418">
              <w:rPr>
                <w:rFonts w:cs="Arial"/>
                <w:i w:val="0"/>
                <w:sz w:val="22"/>
                <w:szCs w:val="22"/>
              </w:rPr>
              <w:t xml:space="preserve"> </w:t>
            </w:r>
            <w:r w:rsidRPr="005B5418">
              <w:rPr>
                <w:rFonts w:cs="Arial"/>
                <w:i w:val="0"/>
                <w:sz w:val="22"/>
                <w:szCs w:val="22"/>
              </w:rPr>
              <w:t>entity. (A-136, section II.3.2.3)</w:t>
            </w:r>
          </w:p>
        </w:tc>
      </w:tr>
      <w:tr w:rsidR="00C860A6" w:rsidRPr="005B5418" w14:paraId="46E5C978" w14:textId="77777777" w:rsidTr="008848DA">
        <w:trPr>
          <w:trHeight w:val="1547"/>
        </w:trPr>
        <w:tc>
          <w:tcPr>
            <w:tcW w:w="5655" w:type="dxa"/>
          </w:tcPr>
          <w:p w14:paraId="74F7DA50" w14:textId="104120E1" w:rsidR="00C860A6" w:rsidRPr="005B5418" w:rsidRDefault="00C860A6" w:rsidP="00D42683">
            <w:pPr>
              <w:pStyle w:val="FAM-Table-outline"/>
            </w:pPr>
            <w:r w:rsidRPr="005B5418">
              <w:t xml:space="preserve">Did the entity combine on the </w:t>
            </w:r>
            <w:r w:rsidR="00324EA6" w:rsidRPr="005B5418">
              <w:t>f</w:t>
            </w:r>
            <w:r w:rsidRPr="005B5418">
              <w:t xml:space="preserve">ace of the Balance Sheet entity and non-entity assets, except for non-entity assets meeting the definition of fiduciary assets? (A-136, section II.3.2.1) </w:t>
            </w:r>
          </w:p>
        </w:tc>
        <w:tc>
          <w:tcPr>
            <w:tcW w:w="1072" w:type="dxa"/>
          </w:tcPr>
          <w:p w14:paraId="637F333C" w14:textId="77777777" w:rsidR="00C860A6" w:rsidRPr="005B5418" w:rsidRDefault="00C860A6" w:rsidP="008848DA">
            <w:pPr>
              <w:pStyle w:val="Table-Cell-CenterBoldBefore6ptAfter6pt"/>
              <w:spacing w:before="60" w:after="60"/>
              <w:rPr>
                <w:rFonts w:cs="Arial"/>
              </w:rPr>
            </w:pPr>
          </w:p>
        </w:tc>
        <w:tc>
          <w:tcPr>
            <w:tcW w:w="3065" w:type="dxa"/>
          </w:tcPr>
          <w:p w14:paraId="21DD6E86" w14:textId="77777777" w:rsidR="00C860A6" w:rsidRPr="005B5418" w:rsidRDefault="00C860A6" w:rsidP="008848DA">
            <w:pPr>
              <w:spacing w:before="60" w:after="60" w:line="240" w:lineRule="auto"/>
              <w:rPr>
                <w:rFonts w:cs="Arial"/>
              </w:rPr>
            </w:pPr>
          </w:p>
        </w:tc>
      </w:tr>
      <w:tr w:rsidR="00C860A6" w:rsidRPr="005B5418" w14:paraId="7345AE12" w14:textId="77777777" w:rsidTr="008848DA">
        <w:trPr>
          <w:trHeight w:val="1250"/>
        </w:trPr>
        <w:tc>
          <w:tcPr>
            <w:tcW w:w="5655" w:type="dxa"/>
          </w:tcPr>
          <w:p w14:paraId="786EE2AC" w14:textId="4638878C" w:rsidR="00C860A6" w:rsidRPr="005B5418" w:rsidRDefault="00C860A6" w:rsidP="008848DA">
            <w:pPr>
              <w:pStyle w:val="FAM-Table-outline"/>
              <w:spacing w:line="240" w:lineRule="auto"/>
            </w:pPr>
            <w:r w:rsidRPr="005B5418">
              <w:t>Are non-fiduciary deposit funds that are held by the Government on behalf of non-</w:t>
            </w:r>
            <w:r w:rsidR="00324EA6" w:rsidRPr="005B5418">
              <w:t>f</w:t>
            </w:r>
            <w:r w:rsidRPr="005B5418">
              <w:t>ederal entities or individuals presented as a liability and disclosed as non-entity assets? (A-136, section II.3.2.3)</w:t>
            </w:r>
          </w:p>
        </w:tc>
        <w:tc>
          <w:tcPr>
            <w:tcW w:w="1072" w:type="dxa"/>
          </w:tcPr>
          <w:p w14:paraId="50FAD7C5" w14:textId="77777777" w:rsidR="00C860A6" w:rsidRPr="005B5418" w:rsidRDefault="00C860A6" w:rsidP="008848DA">
            <w:pPr>
              <w:pStyle w:val="Table-Cell-CenterBoldBefore6ptAfter6pt"/>
              <w:spacing w:before="60" w:after="60"/>
              <w:rPr>
                <w:rFonts w:cs="Arial"/>
              </w:rPr>
            </w:pPr>
          </w:p>
        </w:tc>
        <w:tc>
          <w:tcPr>
            <w:tcW w:w="3065" w:type="dxa"/>
          </w:tcPr>
          <w:p w14:paraId="42348100" w14:textId="77777777" w:rsidR="00C860A6" w:rsidRPr="005B5418" w:rsidRDefault="00C860A6" w:rsidP="008848DA">
            <w:pPr>
              <w:spacing w:before="60" w:after="60" w:line="240" w:lineRule="auto"/>
              <w:rPr>
                <w:rFonts w:cs="Arial"/>
              </w:rPr>
            </w:pPr>
          </w:p>
        </w:tc>
      </w:tr>
      <w:tr w:rsidR="00517C8C" w:rsidRPr="005B5418" w14:paraId="1DF310F2" w14:textId="77777777" w:rsidTr="008848DA">
        <w:trPr>
          <w:trHeight w:val="1250"/>
        </w:trPr>
        <w:tc>
          <w:tcPr>
            <w:tcW w:w="5655" w:type="dxa"/>
          </w:tcPr>
          <w:p w14:paraId="5333D6E8" w14:textId="2926262B" w:rsidR="00517C8C" w:rsidRPr="005B5418" w:rsidRDefault="00517C8C" w:rsidP="0055455B">
            <w:pPr>
              <w:pStyle w:val="FAM-Table-outline"/>
              <w:spacing w:line="240" w:lineRule="auto"/>
            </w:pPr>
            <w:r w:rsidRPr="005B5418">
              <w:t xml:space="preserve">Are intragovernmental assets </w:t>
            </w:r>
            <w:r w:rsidR="009E349B" w:rsidRPr="005B5418">
              <w:t xml:space="preserve">on the </w:t>
            </w:r>
            <w:r w:rsidR="001B5C17" w:rsidRPr="005B5418">
              <w:t>balance sheet</w:t>
            </w:r>
            <w:r w:rsidR="009E349B" w:rsidRPr="005B5418">
              <w:t xml:space="preserve"> </w:t>
            </w:r>
            <w:r w:rsidRPr="005B5418">
              <w:t xml:space="preserve">reported separately from </w:t>
            </w:r>
            <w:r w:rsidR="00233594" w:rsidRPr="005B5418">
              <w:t>other than intragovernmental</w:t>
            </w:r>
            <w:r w:rsidR="00F37413" w:rsidRPr="005B5418" w:rsidDel="00F37413">
              <w:t xml:space="preserve"> </w:t>
            </w:r>
            <w:r w:rsidR="00233594" w:rsidRPr="005B5418">
              <w:t>assets</w:t>
            </w:r>
            <w:r w:rsidR="00324EA6" w:rsidRPr="005B5418">
              <w:t>?</w:t>
            </w:r>
            <w:r w:rsidRPr="005B5418">
              <w:rPr>
                <w:rStyle w:val="FootnoteReference"/>
                <w:rFonts w:cs="Arial"/>
              </w:rPr>
              <w:footnoteReference w:id="36"/>
            </w:r>
            <w:r w:rsidRPr="005B5418">
              <w:t xml:space="preserve"> (A-136, section II.3.2.3)</w:t>
            </w:r>
          </w:p>
        </w:tc>
        <w:tc>
          <w:tcPr>
            <w:tcW w:w="1072" w:type="dxa"/>
          </w:tcPr>
          <w:p w14:paraId="06C8718E" w14:textId="77777777" w:rsidR="00517C8C" w:rsidRPr="005B5418" w:rsidRDefault="00517C8C" w:rsidP="008848DA">
            <w:pPr>
              <w:pStyle w:val="Table-Cell-CenterBoldBefore6ptAfter6pt"/>
              <w:spacing w:before="60" w:after="60"/>
              <w:rPr>
                <w:rFonts w:cs="Arial"/>
              </w:rPr>
            </w:pPr>
          </w:p>
        </w:tc>
        <w:tc>
          <w:tcPr>
            <w:tcW w:w="3065" w:type="dxa"/>
          </w:tcPr>
          <w:p w14:paraId="52B8FDF2" w14:textId="77777777" w:rsidR="00517C8C" w:rsidRPr="005B5418" w:rsidRDefault="00517C8C" w:rsidP="008848DA">
            <w:pPr>
              <w:spacing w:before="60" w:after="60" w:line="240" w:lineRule="auto"/>
              <w:rPr>
                <w:rFonts w:cs="Arial"/>
              </w:rPr>
            </w:pPr>
          </w:p>
        </w:tc>
      </w:tr>
      <w:tr w:rsidR="00C860A6" w:rsidRPr="005B5418" w14:paraId="3186E373" w14:textId="77777777" w:rsidTr="008848DA">
        <w:trPr>
          <w:trHeight w:val="1853"/>
        </w:trPr>
        <w:tc>
          <w:tcPr>
            <w:tcW w:w="5655" w:type="dxa"/>
          </w:tcPr>
          <w:p w14:paraId="10DDDA33" w14:textId="379300E2" w:rsidR="00C860A6" w:rsidRPr="005B5418" w:rsidRDefault="00C860A6" w:rsidP="00827E01">
            <w:pPr>
              <w:pStyle w:val="FAM-Table-outline"/>
              <w:spacing w:line="240" w:lineRule="auto"/>
            </w:pPr>
            <w:r w:rsidRPr="005B5418">
              <w:t>Are deposits made in a Treasury Account</w:t>
            </w:r>
            <w:r w:rsidR="00827E01" w:rsidRPr="005B5418">
              <w:t xml:space="preserve"> Symbol</w:t>
            </w:r>
            <w:r w:rsidRPr="005B5418">
              <w:t xml:space="preserve"> that are not confirmed recorded as Undeposited Collections and reported on the </w:t>
            </w:r>
            <w:r w:rsidR="001B5C17" w:rsidRPr="005B5418">
              <w:t>balance sheet</w:t>
            </w:r>
            <w:r w:rsidRPr="005B5418">
              <w:t xml:space="preserve"> in Cash and Other Monetary assets, thereby excluding the deposit from FBWT? (A-136, section II.3.2.3)</w:t>
            </w:r>
          </w:p>
        </w:tc>
        <w:tc>
          <w:tcPr>
            <w:tcW w:w="1072" w:type="dxa"/>
          </w:tcPr>
          <w:p w14:paraId="2A08988A" w14:textId="77777777" w:rsidR="00C860A6" w:rsidRPr="005B5418" w:rsidRDefault="00C860A6" w:rsidP="008848DA">
            <w:pPr>
              <w:pStyle w:val="Table-Cell-CenterBoldBefore6ptAfter6pt"/>
              <w:spacing w:before="60" w:after="60"/>
              <w:rPr>
                <w:rFonts w:cs="Arial"/>
              </w:rPr>
            </w:pPr>
          </w:p>
        </w:tc>
        <w:tc>
          <w:tcPr>
            <w:tcW w:w="3065" w:type="dxa"/>
          </w:tcPr>
          <w:p w14:paraId="26D0C0F3" w14:textId="77777777" w:rsidR="00C860A6" w:rsidRPr="005B5418" w:rsidRDefault="00C860A6" w:rsidP="008848DA">
            <w:pPr>
              <w:spacing w:before="60" w:after="60" w:line="240" w:lineRule="auto"/>
              <w:rPr>
                <w:rFonts w:cs="Arial"/>
              </w:rPr>
            </w:pPr>
          </w:p>
        </w:tc>
      </w:tr>
      <w:tr w:rsidR="00C860A6" w:rsidRPr="005B5418" w14:paraId="7B07F04E" w14:textId="77777777" w:rsidTr="008848DA">
        <w:trPr>
          <w:trHeight w:val="1520"/>
        </w:trPr>
        <w:tc>
          <w:tcPr>
            <w:tcW w:w="5655" w:type="dxa"/>
          </w:tcPr>
          <w:p w14:paraId="1ED07CF5" w14:textId="2C7E4A44" w:rsidR="00C860A6" w:rsidRPr="005B5418" w:rsidRDefault="00C860A6" w:rsidP="008848DA">
            <w:pPr>
              <w:pStyle w:val="FAM-Table-outline"/>
              <w:spacing w:line="240" w:lineRule="auto"/>
            </w:pPr>
            <w:r w:rsidRPr="005B5418">
              <w:t xml:space="preserve">Are disbursements </w:t>
            </w:r>
            <w:r w:rsidR="001C406D" w:rsidRPr="005B5418">
              <w:t xml:space="preserve">that </w:t>
            </w:r>
            <w:r w:rsidRPr="005B5418">
              <w:t xml:space="preserve">have not been confirmed by the </w:t>
            </w:r>
            <w:r w:rsidR="00B95B5A" w:rsidRPr="005B5418">
              <w:t xml:space="preserve">last day </w:t>
            </w:r>
            <w:r w:rsidRPr="005B5418">
              <w:t xml:space="preserve">of the month </w:t>
            </w:r>
            <w:r w:rsidR="00B95B5A" w:rsidRPr="005B5418">
              <w:t>(including d</w:t>
            </w:r>
            <w:r w:rsidRPr="005B5418">
              <w:t xml:space="preserve">isbursements in </w:t>
            </w:r>
            <w:r w:rsidR="00B95B5A" w:rsidRPr="005B5418">
              <w:t>transit)</w:t>
            </w:r>
            <w:r w:rsidRPr="005B5418">
              <w:t xml:space="preserve"> </w:t>
            </w:r>
            <w:r w:rsidR="00B95B5A" w:rsidRPr="005B5418">
              <w:t xml:space="preserve">not considered an outlay </w:t>
            </w:r>
            <w:r w:rsidR="00DB78DF" w:rsidRPr="005B5418">
              <w:t xml:space="preserve">and </w:t>
            </w:r>
            <w:r w:rsidR="00A855DE">
              <w:t>thus</w:t>
            </w:r>
            <w:r w:rsidR="00A855DE" w:rsidRPr="005B5418">
              <w:t xml:space="preserve"> </w:t>
            </w:r>
            <w:r w:rsidR="00714BB0" w:rsidRPr="005B5418">
              <w:t xml:space="preserve">do </w:t>
            </w:r>
            <w:r w:rsidR="00DB78DF" w:rsidRPr="005B5418">
              <w:t>not reduce</w:t>
            </w:r>
            <w:r w:rsidRPr="005B5418">
              <w:t xml:space="preserve"> FBWT? (A-136, section II.3.2.3) </w:t>
            </w:r>
          </w:p>
        </w:tc>
        <w:tc>
          <w:tcPr>
            <w:tcW w:w="1072" w:type="dxa"/>
          </w:tcPr>
          <w:p w14:paraId="3F56961A" w14:textId="77777777" w:rsidR="00C860A6" w:rsidRPr="005B5418" w:rsidRDefault="00C860A6" w:rsidP="008848DA">
            <w:pPr>
              <w:pStyle w:val="Table-Cell-CenterBoldBefore6ptAfter6pt"/>
              <w:spacing w:before="60" w:after="60"/>
              <w:rPr>
                <w:rFonts w:cs="Arial"/>
              </w:rPr>
            </w:pPr>
          </w:p>
        </w:tc>
        <w:tc>
          <w:tcPr>
            <w:tcW w:w="3065" w:type="dxa"/>
          </w:tcPr>
          <w:p w14:paraId="77C927C7" w14:textId="77777777" w:rsidR="00C860A6" w:rsidRPr="005B5418" w:rsidRDefault="00C860A6" w:rsidP="008848DA">
            <w:pPr>
              <w:spacing w:before="60" w:after="60" w:line="240" w:lineRule="auto"/>
              <w:rPr>
                <w:rFonts w:cs="Arial"/>
              </w:rPr>
            </w:pPr>
          </w:p>
        </w:tc>
      </w:tr>
      <w:tr w:rsidR="00C860A6" w:rsidRPr="005B5418" w14:paraId="0339E568" w14:textId="77777777" w:rsidTr="008848DA">
        <w:trPr>
          <w:trHeight w:val="1097"/>
        </w:trPr>
        <w:tc>
          <w:tcPr>
            <w:tcW w:w="5655" w:type="dxa"/>
          </w:tcPr>
          <w:p w14:paraId="7A9AD9A4" w14:textId="65086CAA" w:rsidR="00C860A6" w:rsidRPr="005B5418" w:rsidRDefault="00C860A6" w:rsidP="008D4C19">
            <w:pPr>
              <w:pStyle w:val="FAM-Table-outline"/>
              <w:spacing w:line="240" w:lineRule="auto"/>
            </w:pPr>
            <w:r w:rsidRPr="005B5418">
              <w:lastRenderedPageBreak/>
              <w:t xml:space="preserve">Are investments in </w:t>
            </w:r>
            <w:r w:rsidR="00324EA6" w:rsidRPr="005B5418">
              <w:t>f</w:t>
            </w:r>
            <w:r w:rsidRPr="005B5418">
              <w:t>ederal securities reported separately from investments in non-</w:t>
            </w:r>
            <w:r w:rsidR="00152A86" w:rsidRPr="005B5418">
              <w:t>f</w:t>
            </w:r>
            <w:r w:rsidRPr="005B5418">
              <w:t>ederal securities? (A-136, section II.3.2.3)</w:t>
            </w:r>
          </w:p>
        </w:tc>
        <w:tc>
          <w:tcPr>
            <w:tcW w:w="1072" w:type="dxa"/>
          </w:tcPr>
          <w:p w14:paraId="219C6BC8" w14:textId="77777777" w:rsidR="00C860A6" w:rsidRPr="005B5418" w:rsidRDefault="00C860A6" w:rsidP="008848DA">
            <w:pPr>
              <w:pStyle w:val="Table-Cell-CenterBoldBefore6ptAfter6pt"/>
              <w:spacing w:before="60" w:after="60"/>
              <w:rPr>
                <w:rFonts w:cs="Arial"/>
              </w:rPr>
            </w:pPr>
          </w:p>
        </w:tc>
        <w:tc>
          <w:tcPr>
            <w:tcW w:w="3065" w:type="dxa"/>
          </w:tcPr>
          <w:p w14:paraId="08DF8D3C" w14:textId="77777777" w:rsidR="00C860A6" w:rsidRPr="005B5418" w:rsidRDefault="00C860A6" w:rsidP="008848DA">
            <w:pPr>
              <w:spacing w:before="60" w:after="60" w:line="240" w:lineRule="auto"/>
              <w:rPr>
                <w:rFonts w:cs="Arial"/>
              </w:rPr>
            </w:pPr>
          </w:p>
        </w:tc>
      </w:tr>
      <w:tr w:rsidR="00C860A6" w:rsidRPr="005B5418" w14:paraId="603A8528" w14:textId="77777777" w:rsidTr="008848DA">
        <w:trPr>
          <w:trHeight w:val="1160"/>
        </w:trPr>
        <w:tc>
          <w:tcPr>
            <w:tcW w:w="5655" w:type="dxa"/>
          </w:tcPr>
          <w:p w14:paraId="5F227982" w14:textId="6C8B6D6B" w:rsidR="00C860A6" w:rsidRPr="005B5418" w:rsidRDefault="00C860A6" w:rsidP="008848DA">
            <w:pPr>
              <w:pStyle w:val="FAM-Table-outline"/>
              <w:spacing w:line="240" w:lineRule="auto"/>
            </w:pPr>
            <w:r w:rsidRPr="005B5418">
              <w:t>Are gross accounts receivables reduced to net realizable value by an allowance for doubtful accounts? (A-136, section II.3.2.3)</w:t>
            </w:r>
          </w:p>
        </w:tc>
        <w:tc>
          <w:tcPr>
            <w:tcW w:w="1072" w:type="dxa"/>
          </w:tcPr>
          <w:p w14:paraId="489C48F2" w14:textId="77777777" w:rsidR="00C860A6" w:rsidRPr="005B5418" w:rsidRDefault="00C860A6" w:rsidP="008848DA">
            <w:pPr>
              <w:pStyle w:val="Table-Cell-CenterBoldBefore6ptAfter6pt"/>
              <w:spacing w:before="60" w:after="60"/>
              <w:rPr>
                <w:rFonts w:cs="Arial"/>
              </w:rPr>
            </w:pPr>
          </w:p>
        </w:tc>
        <w:tc>
          <w:tcPr>
            <w:tcW w:w="3065" w:type="dxa"/>
          </w:tcPr>
          <w:p w14:paraId="2EA738CB" w14:textId="77777777" w:rsidR="00C860A6" w:rsidRPr="005B5418" w:rsidRDefault="00C860A6" w:rsidP="008848DA">
            <w:pPr>
              <w:spacing w:before="60" w:after="60" w:line="240" w:lineRule="auto"/>
              <w:rPr>
                <w:rFonts w:cs="Arial"/>
              </w:rPr>
            </w:pPr>
          </w:p>
        </w:tc>
      </w:tr>
      <w:tr w:rsidR="00C860A6" w:rsidRPr="005B5418" w14:paraId="62840DDD" w14:textId="77777777" w:rsidTr="008848DA">
        <w:trPr>
          <w:trHeight w:val="1340"/>
        </w:trPr>
        <w:tc>
          <w:tcPr>
            <w:tcW w:w="5655" w:type="dxa"/>
          </w:tcPr>
          <w:p w14:paraId="40133F53" w14:textId="659C6659" w:rsidR="00C860A6" w:rsidRPr="005B5418" w:rsidRDefault="00C860A6" w:rsidP="005425ED">
            <w:pPr>
              <w:pStyle w:val="FAM-Table-outline"/>
              <w:spacing w:line="240" w:lineRule="auto"/>
            </w:pPr>
            <w:r w:rsidRPr="005B5418">
              <w:t>Are gross taxes receivables reduced to net realizable value by a</w:t>
            </w:r>
            <w:r w:rsidR="00022126" w:rsidRPr="005B5418">
              <w:t xml:space="preserve">n </w:t>
            </w:r>
            <w:r w:rsidRPr="005B5418">
              <w:t>allowance for uncollectible taxes receivable? (A-136, section II.3.2.3)</w:t>
            </w:r>
          </w:p>
        </w:tc>
        <w:tc>
          <w:tcPr>
            <w:tcW w:w="1072" w:type="dxa"/>
          </w:tcPr>
          <w:p w14:paraId="3D712D4B" w14:textId="77777777" w:rsidR="00C860A6" w:rsidRPr="005B5418" w:rsidRDefault="00C860A6" w:rsidP="008848DA">
            <w:pPr>
              <w:pStyle w:val="Table-Cell-CenterBoldBefore6ptAfter6pt"/>
              <w:spacing w:before="60" w:after="60"/>
              <w:rPr>
                <w:rFonts w:cs="Arial"/>
              </w:rPr>
            </w:pPr>
          </w:p>
        </w:tc>
        <w:tc>
          <w:tcPr>
            <w:tcW w:w="3065" w:type="dxa"/>
          </w:tcPr>
          <w:p w14:paraId="39E35D6E" w14:textId="77777777" w:rsidR="00C860A6" w:rsidRPr="005B5418" w:rsidRDefault="00C860A6" w:rsidP="008848DA">
            <w:pPr>
              <w:spacing w:before="60" w:after="60" w:line="240" w:lineRule="auto"/>
              <w:rPr>
                <w:rFonts w:cs="Arial"/>
              </w:rPr>
            </w:pPr>
          </w:p>
        </w:tc>
      </w:tr>
      <w:tr w:rsidR="00C860A6" w:rsidRPr="005B5418" w14:paraId="54BAAD8A" w14:textId="77777777" w:rsidTr="008848DA">
        <w:trPr>
          <w:trHeight w:val="1160"/>
        </w:trPr>
        <w:tc>
          <w:tcPr>
            <w:tcW w:w="5655" w:type="dxa"/>
          </w:tcPr>
          <w:p w14:paraId="7F14CD5E" w14:textId="13D7B2E0" w:rsidR="00C860A6" w:rsidRPr="005B5418" w:rsidRDefault="00C860A6" w:rsidP="008848DA">
            <w:pPr>
              <w:pStyle w:val="FAM-Table-outline"/>
              <w:spacing w:line="240" w:lineRule="auto"/>
            </w:pPr>
            <w:r w:rsidRPr="005B5418">
              <w:t>Is interest receivable reported as a component of the appropriate asset account?</w:t>
            </w:r>
            <w:r w:rsidRPr="005B5418">
              <w:rPr>
                <w:rStyle w:val="FootnoteReference"/>
                <w:rFonts w:cs="Arial"/>
              </w:rPr>
              <w:footnoteReference w:id="37"/>
            </w:r>
            <w:r w:rsidRPr="005B5418">
              <w:t xml:space="preserve"> (A-136, section II.3.2.3)</w:t>
            </w:r>
          </w:p>
        </w:tc>
        <w:tc>
          <w:tcPr>
            <w:tcW w:w="1072" w:type="dxa"/>
          </w:tcPr>
          <w:p w14:paraId="5C17998A" w14:textId="77777777" w:rsidR="00C860A6" w:rsidRPr="005B5418" w:rsidRDefault="00C860A6" w:rsidP="008848DA">
            <w:pPr>
              <w:pStyle w:val="Table-Cell-CenterBoldBefore6ptAfter6pt"/>
              <w:spacing w:before="60" w:after="60"/>
              <w:rPr>
                <w:rFonts w:cs="Arial"/>
              </w:rPr>
            </w:pPr>
          </w:p>
        </w:tc>
        <w:tc>
          <w:tcPr>
            <w:tcW w:w="3065" w:type="dxa"/>
          </w:tcPr>
          <w:p w14:paraId="106A2FDB" w14:textId="77777777" w:rsidR="00C860A6" w:rsidRPr="005B5418" w:rsidRDefault="00C860A6" w:rsidP="008848DA">
            <w:pPr>
              <w:spacing w:before="60" w:after="60" w:line="240" w:lineRule="auto"/>
              <w:rPr>
                <w:rFonts w:cs="Arial"/>
              </w:rPr>
            </w:pPr>
          </w:p>
        </w:tc>
      </w:tr>
      <w:tr w:rsidR="00C860A6" w:rsidRPr="005B5418" w14:paraId="2BC77FF3" w14:textId="77777777" w:rsidTr="008848DA">
        <w:trPr>
          <w:trHeight w:val="1070"/>
        </w:trPr>
        <w:tc>
          <w:tcPr>
            <w:tcW w:w="5655" w:type="dxa"/>
          </w:tcPr>
          <w:p w14:paraId="18A05DD4" w14:textId="11D1DC31" w:rsidR="00C860A6" w:rsidRPr="005B5418" w:rsidRDefault="00C860A6" w:rsidP="005425ED">
            <w:pPr>
              <w:pStyle w:val="FAM-Table-outline"/>
              <w:spacing w:line="240" w:lineRule="auto"/>
            </w:pPr>
            <w:r w:rsidRPr="005B5418">
              <w:t>Is interest receivable from federal entities reported separately from interest receivable from the public? (SFFAS 1, par</w:t>
            </w:r>
            <w:r w:rsidR="00055729" w:rsidRPr="005B5418">
              <w:t>a</w:t>
            </w:r>
            <w:r w:rsidRPr="005B5418">
              <w:t>. 56)</w:t>
            </w:r>
          </w:p>
        </w:tc>
        <w:tc>
          <w:tcPr>
            <w:tcW w:w="1072" w:type="dxa"/>
          </w:tcPr>
          <w:p w14:paraId="5B3C478F" w14:textId="77777777" w:rsidR="00C860A6" w:rsidRPr="005B5418" w:rsidRDefault="00C860A6" w:rsidP="008848DA">
            <w:pPr>
              <w:pStyle w:val="Table-Cell-CenterBoldBefore6ptAfter6pt"/>
              <w:spacing w:before="60" w:after="60"/>
              <w:rPr>
                <w:rFonts w:cs="Arial"/>
              </w:rPr>
            </w:pPr>
          </w:p>
        </w:tc>
        <w:tc>
          <w:tcPr>
            <w:tcW w:w="3065" w:type="dxa"/>
          </w:tcPr>
          <w:p w14:paraId="329225F9" w14:textId="77777777" w:rsidR="00C860A6" w:rsidRPr="005B5418" w:rsidRDefault="00C860A6" w:rsidP="008848DA">
            <w:pPr>
              <w:spacing w:before="60" w:after="60" w:line="240" w:lineRule="auto"/>
              <w:rPr>
                <w:rFonts w:cs="Arial"/>
              </w:rPr>
            </w:pPr>
          </w:p>
        </w:tc>
      </w:tr>
      <w:tr w:rsidR="00C860A6" w:rsidRPr="005B5418" w14:paraId="69F29A0F" w14:textId="77777777" w:rsidTr="008848DA">
        <w:trPr>
          <w:trHeight w:val="1610"/>
        </w:trPr>
        <w:tc>
          <w:tcPr>
            <w:tcW w:w="5655" w:type="dxa"/>
          </w:tcPr>
          <w:p w14:paraId="1F84537D" w14:textId="1D15D62E" w:rsidR="00C860A6" w:rsidRPr="005B5418" w:rsidRDefault="00C860A6" w:rsidP="00AF1ED3">
            <w:pPr>
              <w:pStyle w:val="FAM-Table-outline"/>
              <w:spacing w:line="240" w:lineRule="auto"/>
            </w:pPr>
            <w:r w:rsidRPr="005B5418">
              <w:t>Is interest receivable related to pre-1992 and post-1991 direct loans and acquired defaulted guaranteed loans reported as a component of loans receivable and related foreclosed property? (A-136, section II.3.2.3)</w:t>
            </w:r>
          </w:p>
        </w:tc>
        <w:tc>
          <w:tcPr>
            <w:tcW w:w="1072" w:type="dxa"/>
          </w:tcPr>
          <w:p w14:paraId="32839D74" w14:textId="77777777" w:rsidR="00C860A6" w:rsidRPr="005B5418" w:rsidRDefault="00C860A6" w:rsidP="008848DA">
            <w:pPr>
              <w:pStyle w:val="Table-Cell-CenterBoldBefore6ptAfter6pt"/>
              <w:spacing w:before="60" w:after="60"/>
              <w:rPr>
                <w:rFonts w:cs="Arial"/>
              </w:rPr>
            </w:pPr>
          </w:p>
        </w:tc>
        <w:tc>
          <w:tcPr>
            <w:tcW w:w="3065" w:type="dxa"/>
          </w:tcPr>
          <w:p w14:paraId="7E3C4A12" w14:textId="77777777" w:rsidR="00C860A6" w:rsidRPr="005B5418" w:rsidRDefault="00C860A6" w:rsidP="008848DA">
            <w:pPr>
              <w:spacing w:before="60" w:after="60" w:line="240" w:lineRule="auto"/>
              <w:rPr>
                <w:rFonts w:cs="Arial"/>
              </w:rPr>
            </w:pPr>
          </w:p>
        </w:tc>
      </w:tr>
      <w:tr w:rsidR="00C860A6" w:rsidRPr="005B5418" w14:paraId="5D2C8B6B" w14:textId="77777777" w:rsidTr="008848DA">
        <w:trPr>
          <w:trHeight w:val="2160"/>
        </w:trPr>
        <w:tc>
          <w:tcPr>
            <w:tcW w:w="5655" w:type="dxa"/>
          </w:tcPr>
          <w:p w14:paraId="1B0D25AA" w14:textId="1E7FD237" w:rsidR="00C860A6" w:rsidRPr="005B5418" w:rsidRDefault="00C860A6" w:rsidP="008848DA">
            <w:pPr>
              <w:pStyle w:val="FAM-Table-outline"/>
              <w:spacing w:line="240" w:lineRule="auto"/>
            </w:pPr>
            <w:r w:rsidRPr="005B5418">
              <w:t>Are credit program receivables and related foreclosed property considered entity assets and reported at net value if the entity has the authority to determine the use of the funds collected or if the entity is legally obligated to use the funds to meet entity obligations? (A-136, section II.3.2.3)</w:t>
            </w:r>
          </w:p>
        </w:tc>
        <w:tc>
          <w:tcPr>
            <w:tcW w:w="1072" w:type="dxa"/>
          </w:tcPr>
          <w:p w14:paraId="626ABA08" w14:textId="77777777" w:rsidR="00C860A6" w:rsidRPr="005B5418" w:rsidRDefault="00C860A6" w:rsidP="008848DA">
            <w:pPr>
              <w:pStyle w:val="Table-Cell-CenterBoldBefore6ptAfter6pt"/>
              <w:spacing w:before="60" w:after="60"/>
              <w:rPr>
                <w:rFonts w:cs="Arial"/>
              </w:rPr>
            </w:pPr>
          </w:p>
        </w:tc>
        <w:tc>
          <w:tcPr>
            <w:tcW w:w="3065" w:type="dxa"/>
          </w:tcPr>
          <w:p w14:paraId="336FA57D" w14:textId="77777777" w:rsidR="00C860A6" w:rsidRPr="005B5418" w:rsidRDefault="00C860A6" w:rsidP="008848DA">
            <w:pPr>
              <w:spacing w:before="60" w:after="60" w:line="240" w:lineRule="auto"/>
              <w:rPr>
                <w:rFonts w:cs="Arial"/>
              </w:rPr>
            </w:pPr>
          </w:p>
        </w:tc>
      </w:tr>
      <w:tr w:rsidR="00C860A6" w:rsidRPr="005B5418" w14:paraId="4D0BB57C" w14:textId="77777777" w:rsidTr="008848DA">
        <w:trPr>
          <w:trHeight w:val="1547"/>
        </w:trPr>
        <w:tc>
          <w:tcPr>
            <w:tcW w:w="5655" w:type="dxa"/>
          </w:tcPr>
          <w:p w14:paraId="10ED6E00" w14:textId="4D4D5CD3" w:rsidR="00C860A6" w:rsidRPr="005B5418" w:rsidRDefault="00C860A6" w:rsidP="00A00474">
            <w:pPr>
              <w:pStyle w:val="FAM-Table-outline"/>
              <w:widowControl/>
              <w:adjustRightInd/>
              <w:spacing w:line="240" w:lineRule="auto"/>
              <w:ind w:left="607" w:hanging="607"/>
              <w:textAlignment w:val="auto"/>
            </w:pPr>
            <w:r w:rsidRPr="005B5418">
              <w:lastRenderedPageBreak/>
              <w:t xml:space="preserve">Regarding credit reform, are </w:t>
            </w:r>
            <w:r w:rsidR="00A00474" w:rsidRPr="005B5418">
              <w:t xml:space="preserve">general </w:t>
            </w:r>
            <w:r w:rsidRPr="005B5418">
              <w:t>fund receipt accounts for negative subsidies and downward subsidy reestimates included in the reporting entity’s financial statements? (A-136, section II.3.2.3)</w:t>
            </w:r>
          </w:p>
        </w:tc>
        <w:tc>
          <w:tcPr>
            <w:tcW w:w="1072" w:type="dxa"/>
          </w:tcPr>
          <w:p w14:paraId="7FA1BF93" w14:textId="77777777" w:rsidR="00C860A6" w:rsidRPr="005B5418" w:rsidRDefault="00C860A6" w:rsidP="008848DA">
            <w:pPr>
              <w:pStyle w:val="Table-Cell-CenterBoldBefore6ptAfter6pt"/>
              <w:spacing w:before="60" w:after="60"/>
              <w:rPr>
                <w:rFonts w:cs="Arial"/>
              </w:rPr>
            </w:pPr>
          </w:p>
        </w:tc>
        <w:tc>
          <w:tcPr>
            <w:tcW w:w="3065" w:type="dxa"/>
          </w:tcPr>
          <w:p w14:paraId="7B3F78D6" w14:textId="77777777" w:rsidR="00C860A6" w:rsidRPr="005B5418" w:rsidRDefault="00C860A6" w:rsidP="008848DA">
            <w:pPr>
              <w:spacing w:before="60" w:after="60" w:line="240" w:lineRule="auto"/>
              <w:rPr>
                <w:rFonts w:cs="Arial"/>
              </w:rPr>
            </w:pPr>
          </w:p>
        </w:tc>
      </w:tr>
      <w:tr w:rsidR="00C860A6" w:rsidRPr="005B5418" w14:paraId="1F884A4C" w14:textId="77777777" w:rsidTr="00AF5BC6">
        <w:trPr>
          <w:trHeight w:val="1493"/>
        </w:trPr>
        <w:tc>
          <w:tcPr>
            <w:tcW w:w="5655" w:type="dxa"/>
          </w:tcPr>
          <w:p w14:paraId="553E26BE" w14:textId="202DFC20" w:rsidR="00C860A6" w:rsidRPr="005B5418" w:rsidRDefault="00C860A6" w:rsidP="00A00474">
            <w:pPr>
              <w:pStyle w:val="FAM-Table-outline"/>
              <w:widowControl/>
              <w:adjustRightInd/>
              <w:spacing w:line="240" w:lineRule="auto"/>
              <w:ind w:left="607" w:hanging="607"/>
              <w:textAlignment w:val="auto"/>
            </w:pPr>
            <w:r w:rsidRPr="005B5418">
              <w:t xml:space="preserve">Regarding credit reform, are </w:t>
            </w:r>
            <w:r w:rsidR="00A00474" w:rsidRPr="005B5418">
              <w:t xml:space="preserve">FBWT amounts </w:t>
            </w:r>
            <w:r w:rsidRPr="005B5418">
              <w:t xml:space="preserve">in </w:t>
            </w:r>
            <w:r w:rsidR="00A00474" w:rsidRPr="005B5418">
              <w:t>general</w:t>
            </w:r>
            <w:r w:rsidRPr="005B5418">
              <w:t xml:space="preserve"> fund receipt accounts shown as non-entity assets and offset by intragovernmental liabilities covered by budgetary resources? (A-136, section II.3.2.3)</w:t>
            </w:r>
          </w:p>
        </w:tc>
        <w:tc>
          <w:tcPr>
            <w:tcW w:w="1072" w:type="dxa"/>
          </w:tcPr>
          <w:p w14:paraId="4C6138EA" w14:textId="77777777" w:rsidR="00C860A6" w:rsidRPr="005B5418" w:rsidRDefault="00C860A6" w:rsidP="008848DA">
            <w:pPr>
              <w:pStyle w:val="Table-Cell-CenterBoldBefore6ptAfter6pt"/>
              <w:spacing w:before="60" w:after="60"/>
              <w:rPr>
                <w:rFonts w:cs="Arial"/>
              </w:rPr>
            </w:pPr>
          </w:p>
        </w:tc>
        <w:tc>
          <w:tcPr>
            <w:tcW w:w="3065" w:type="dxa"/>
          </w:tcPr>
          <w:p w14:paraId="48D14671" w14:textId="77777777" w:rsidR="00C860A6" w:rsidRPr="005B5418" w:rsidRDefault="00C860A6" w:rsidP="008848DA">
            <w:pPr>
              <w:spacing w:before="60" w:after="60" w:line="240" w:lineRule="auto"/>
              <w:rPr>
                <w:rFonts w:cs="Arial"/>
              </w:rPr>
            </w:pPr>
          </w:p>
        </w:tc>
      </w:tr>
      <w:tr w:rsidR="00C860A6" w:rsidRPr="005B5418" w14:paraId="0FD8BF69" w14:textId="77777777" w:rsidTr="008848DA">
        <w:trPr>
          <w:trHeight w:val="710"/>
        </w:trPr>
        <w:tc>
          <w:tcPr>
            <w:tcW w:w="5655" w:type="dxa"/>
          </w:tcPr>
          <w:p w14:paraId="4A971901" w14:textId="2838C194" w:rsidR="00C860A6" w:rsidRPr="005B5418" w:rsidRDefault="00C860A6" w:rsidP="005425ED">
            <w:pPr>
              <w:pStyle w:val="FAM-Table-outline"/>
              <w:tabs>
                <w:tab w:val="num" w:pos="607"/>
              </w:tabs>
              <w:spacing w:line="240" w:lineRule="auto"/>
              <w:ind w:hanging="666"/>
            </w:pPr>
            <w:r w:rsidRPr="005B5418">
              <w:t>Is inventory and related property reported net? (A-136, section II.3.2.3)</w:t>
            </w:r>
          </w:p>
        </w:tc>
        <w:tc>
          <w:tcPr>
            <w:tcW w:w="1072" w:type="dxa"/>
          </w:tcPr>
          <w:p w14:paraId="21A71B93" w14:textId="77777777" w:rsidR="00C860A6" w:rsidRPr="005B5418" w:rsidRDefault="00C860A6" w:rsidP="008848DA">
            <w:pPr>
              <w:pStyle w:val="Table-Cell-CenterBoldBefore6ptAfter6pt"/>
              <w:spacing w:before="60" w:after="60"/>
              <w:rPr>
                <w:rFonts w:cs="Arial"/>
              </w:rPr>
            </w:pPr>
          </w:p>
        </w:tc>
        <w:tc>
          <w:tcPr>
            <w:tcW w:w="3065" w:type="dxa"/>
          </w:tcPr>
          <w:p w14:paraId="22D99292" w14:textId="77777777" w:rsidR="00C860A6" w:rsidRPr="005B5418" w:rsidRDefault="00C860A6" w:rsidP="008848DA">
            <w:pPr>
              <w:spacing w:before="60" w:after="60" w:line="240" w:lineRule="auto"/>
              <w:rPr>
                <w:rFonts w:cs="Arial"/>
              </w:rPr>
            </w:pPr>
          </w:p>
        </w:tc>
      </w:tr>
      <w:tr w:rsidR="00C860A6" w:rsidRPr="005B5418" w14:paraId="08462775" w14:textId="77777777" w:rsidTr="00AF5BC6">
        <w:trPr>
          <w:trHeight w:val="1061"/>
        </w:trPr>
        <w:tc>
          <w:tcPr>
            <w:tcW w:w="5655" w:type="dxa"/>
          </w:tcPr>
          <w:p w14:paraId="0933E6DB" w14:textId="54DD660C" w:rsidR="00C860A6" w:rsidRPr="005B5418" w:rsidRDefault="004904F4" w:rsidP="005425ED">
            <w:pPr>
              <w:pStyle w:val="FAM-Table-outline"/>
              <w:tabs>
                <w:tab w:val="num" w:pos="607"/>
              </w:tabs>
              <w:spacing w:line="240" w:lineRule="auto"/>
              <w:ind w:hanging="666"/>
            </w:pPr>
            <w:r w:rsidRPr="005B5418">
              <w:t xml:space="preserve">Is </w:t>
            </w:r>
            <w:r w:rsidR="000A0C1F" w:rsidRPr="005B5418">
              <w:t>PP&amp;E</w:t>
            </w:r>
            <w:r w:rsidR="00F96936" w:rsidRPr="005B5418">
              <w:t xml:space="preserve"> </w:t>
            </w:r>
            <w:r w:rsidR="00C860A6" w:rsidRPr="005B5418">
              <w:t>recorded at historical cost (or using an allowed alternative method) and net of accumulated depreciation? (</w:t>
            </w:r>
            <w:r w:rsidR="001019F7" w:rsidRPr="005B5418">
              <w:t>SFFAS 6, para. 26</w:t>
            </w:r>
            <w:r w:rsidR="00C860A6" w:rsidRPr="005B5418">
              <w:t>)</w:t>
            </w:r>
          </w:p>
        </w:tc>
        <w:tc>
          <w:tcPr>
            <w:tcW w:w="1072" w:type="dxa"/>
          </w:tcPr>
          <w:p w14:paraId="272C0C84" w14:textId="77777777" w:rsidR="00C860A6" w:rsidRPr="005B5418" w:rsidRDefault="00C860A6" w:rsidP="008848DA">
            <w:pPr>
              <w:pStyle w:val="Table-Cell-CenterBoldBefore6ptAfter6pt"/>
              <w:spacing w:before="60" w:after="60"/>
              <w:rPr>
                <w:rFonts w:cs="Arial"/>
              </w:rPr>
            </w:pPr>
          </w:p>
        </w:tc>
        <w:tc>
          <w:tcPr>
            <w:tcW w:w="3065" w:type="dxa"/>
          </w:tcPr>
          <w:p w14:paraId="5FE8FD31" w14:textId="77777777" w:rsidR="00C860A6" w:rsidRPr="005B5418" w:rsidRDefault="00C860A6" w:rsidP="008848DA">
            <w:pPr>
              <w:spacing w:before="60" w:after="60" w:line="240" w:lineRule="auto"/>
              <w:rPr>
                <w:rFonts w:cs="Arial"/>
              </w:rPr>
            </w:pPr>
          </w:p>
        </w:tc>
      </w:tr>
      <w:tr w:rsidR="00C860A6" w:rsidRPr="005B5418" w14:paraId="0A37E6B1" w14:textId="77777777" w:rsidTr="008848DA">
        <w:trPr>
          <w:trHeight w:val="1685"/>
        </w:trPr>
        <w:tc>
          <w:tcPr>
            <w:tcW w:w="5655" w:type="dxa"/>
          </w:tcPr>
          <w:p w14:paraId="06646124" w14:textId="2D98321C" w:rsidR="00C860A6" w:rsidRPr="005B5418" w:rsidRDefault="00C860A6" w:rsidP="00E51D94">
            <w:pPr>
              <w:pStyle w:val="FAM-Table-outline"/>
              <w:tabs>
                <w:tab w:val="num" w:pos="607"/>
              </w:tabs>
              <w:spacing w:line="240" w:lineRule="auto"/>
              <w:ind w:left="607" w:hanging="607"/>
            </w:pPr>
            <w:r w:rsidRPr="005B5418">
              <w:t xml:space="preserve">For </w:t>
            </w:r>
            <w:r w:rsidR="00E51D94" w:rsidRPr="005B5418">
              <w:t xml:space="preserve">stewardship </w:t>
            </w:r>
            <w:r w:rsidRPr="005B5418">
              <w:t xml:space="preserve">PP&amp;E, is there a line item on the </w:t>
            </w:r>
            <w:r w:rsidR="001B5C17" w:rsidRPr="005B5418">
              <w:t>balance sheet</w:t>
            </w:r>
            <w:r w:rsidRPr="005B5418">
              <w:t xml:space="preserve"> with a reference to a note that discloses information about heritage assets and stewardship land</w:t>
            </w:r>
            <w:r w:rsidR="00152A86" w:rsidRPr="005B5418">
              <w:t>?</w:t>
            </w:r>
            <w:r w:rsidRPr="005B5418">
              <w:rPr>
                <w:rStyle w:val="FootnoteReference"/>
                <w:rFonts w:cs="Arial"/>
              </w:rPr>
              <w:footnoteReference w:id="38"/>
            </w:r>
            <w:r w:rsidRPr="005B5418">
              <w:t xml:space="preserve"> (SFFAS 29, par</w:t>
            </w:r>
            <w:r w:rsidR="00E6681C" w:rsidRPr="005B5418">
              <w:t>as</w:t>
            </w:r>
            <w:r w:rsidRPr="005B5418">
              <w:t xml:space="preserve">. 25 </w:t>
            </w:r>
            <w:r w:rsidR="00E6681C" w:rsidRPr="005B5418">
              <w:t xml:space="preserve">and </w:t>
            </w:r>
            <w:r w:rsidRPr="005B5418">
              <w:t>40)</w:t>
            </w:r>
          </w:p>
        </w:tc>
        <w:tc>
          <w:tcPr>
            <w:tcW w:w="1072" w:type="dxa"/>
          </w:tcPr>
          <w:p w14:paraId="53EF46F1" w14:textId="77777777" w:rsidR="00C860A6" w:rsidRPr="005B5418" w:rsidRDefault="00C860A6" w:rsidP="008848DA">
            <w:pPr>
              <w:pStyle w:val="Table-Cell-CenterBoldBefore6ptAfter6pt"/>
              <w:spacing w:before="60" w:after="60"/>
              <w:rPr>
                <w:rFonts w:cs="Arial"/>
              </w:rPr>
            </w:pPr>
          </w:p>
        </w:tc>
        <w:tc>
          <w:tcPr>
            <w:tcW w:w="3065" w:type="dxa"/>
          </w:tcPr>
          <w:p w14:paraId="1D81737B" w14:textId="77777777" w:rsidR="00C860A6" w:rsidRPr="005B5418" w:rsidRDefault="00C860A6" w:rsidP="008848DA">
            <w:pPr>
              <w:spacing w:before="60" w:after="60" w:line="240" w:lineRule="auto"/>
              <w:rPr>
                <w:rFonts w:cs="Arial"/>
              </w:rPr>
            </w:pPr>
          </w:p>
        </w:tc>
      </w:tr>
      <w:tr w:rsidR="00C860A6" w:rsidRPr="005B5418" w14:paraId="095A5828" w14:textId="77777777" w:rsidTr="008848DA">
        <w:trPr>
          <w:trHeight w:val="4355"/>
        </w:trPr>
        <w:tc>
          <w:tcPr>
            <w:tcW w:w="9792" w:type="dxa"/>
            <w:gridSpan w:val="3"/>
          </w:tcPr>
          <w:p w14:paraId="1D99BFD6" w14:textId="77777777" w:rsidR="0045323E" w:rsidRPr="005B5418" w:rsidRDefault="00C860A6" w:rsidP="008848DA">
            <w:pPr>
              <w:pStyle w:val="Table-Note"/>
              <w:spacing w:before="60" w:after="60" w:line="240" w:lineRule="auto"/>
              <w:ind w:left="0"/>
              <w:jc w:val="left"/>
              <w:rPr>
                <w:rFonts w:cs="Arial"/>
                <w:i w:val="0"/>
                <w:sz w:val="22"/>
                <w:szCs w:val="22"/>
              </w:rPr>
            </w:pPr>
            <w:r w:rsidRPr="005B5418">
              <w:rPr>
                <w:rFonts w:cs="Arial"/>
                <w:i w:val="0"/>
                <w:sz w:val="22"/>
                <w:szCs w:val="22"/>
              </w:rPr>
              <w:lastRenderedPageBreak/>
              <w:t>A liability is a probable future outflow or other sacrifice of resources as a result of past transactions or events.</w:t>
            </w:r>
            <w:r w:rsidR="0045323E" w:rsidRPr="005B5418">
              <w:rPr>
                <w:rFonts w:cs="Arial"/>
                <w:i w:val="0"/>
                <w:sz w:val="22"/>
                <w:szCs w:val="22"/>
              </w:rPr>
              <w:t xml:space="preserve"> (FASAB</w:t>
            </w:r>
            <w:r w:rsidR="005669FC" w:rsidRPr="005B5418">
              <w:rPr>
                <w:rFonts w:cs="Arial"/>
                <w:i w:val="0"/>
                <w:sz w:val="22"/>
                <w:szCs w:val="22"/>
              </w:rPr>
              <w:t xml:space="preserve"> Handbook, Appendix E, Glossary)</w:t>
            </w:r>
          </w:p>
          <w:p w14:paraId="2E613CAD" w14:textId="03F3D911" w:rsidR="00C860A6" w:rsidRPr="005B5418" w:rsidRDefault="00C860A6" w:rsidP="008848DA">
            <w:pPr>
              <w:pStyle w:val="Table-Note"/>
              <w:spacing w:before="60" w:after="60" w:line="240" w:lineRule="auto"/>
              <w:ind w:left="0"/>
              <w:jc w:val="left"/>
              <w:rPr>
                <w:rFonts w:cs="Arial"/>
                <w:i w:val="0"/>
                <w:sz w:val="22"/>
                <w:szCs w:val="22"/>
              </w:rPr>
            </w:pPr>
            <w:r w:rsidRPr="005B5418">
              <w:rPr>
                <w:rFonts w:cs="Arial"/>
                <w:i w:val="0"/>
                <w:sz w:val="22"/>
                <w:szCs w:val="22"/>
              </w:rPr>
              <w:t>Financial statements must recognize probable and measurable future outflows or other sacrifices of resources arising from (1) past exchange transactions, (2) government-related events, (3) government-acknowledged events</w:t>
            </w:r>
            <w:r w:rsidR="00FF01AC" w:rsidRPr="005B5418">
              <w:rPr>
                <w:rFonts w:cs="Arial"/>
                <w:i w:val="0"/>
                <w:sz w:val="22"/>
                <w:szCs w:val="22"/>
              </w:rPr>
              <w:t>,</w:t>
            </w:r>
            <w:r w:rsidRPr="005B5418">
              <w:rPr>
                <w:rFonts w:cs="Arial"/>
                <w:i w:val="0"/>
                <w:sz w:val="22"/>
                <w:szCs w:val="22"/>
              </w:rPr>
              <w:t xml:space="preserve"> or (4) nonexchange transactions that according to current law and applicable policy are unpaid amounts due as of the reporting date. SFFAS 5, </w:t>
            </w:r>
            <w:r w:rsidRPr="005B5418">
              <w:rPr>
                <w:rFonts w:cs="Arial"/>
                <w:iCs/>
                <w:sz w:val="22"/>
                <w:szCs w:val="22"/>
              </w:rPr>
              <w:t>Accounting for Liabilities of The Federal Government</w:t>
            </w:r>
            <w:r w:rsidRPr="005B5418">
              <w:rPr>
                <w:rFonts w:cs="Arial"/>
                <w:i w:val="0"/>
                <w:sz w:val="22"/>
                <w:szCs w:val="22"/>
              </w:rPr>
              <w:t xml:space="preserve">, describes the general principles governing the recognition of a liability. </w:t>
            </w:r>
          </w:p>
          <w:p w14:paraId="63617AB5" w14:textId="77777777" w:rsidR="00C860A6" w:rsidRPr="005B5418" w:rsidRDefault="00C860A6" w:rsidP="008848DA">
            <w:pPr>
              <w:pStyle w:val="Table-Note"/>
              <w:spacing w:before="60" w:after="60" w:line="240" w:lineRule="auto"/>
              <w:ind w:left="0"/>
              <w:jc w:val="left"/>
              <w:rPr>
                <w:rFonts w:cs="Arial"/>
                <w:i w:val="0"/>
                <w:sz w:val="22"/>
                <w:szCs w:val="22"/>
              </w:rPr>
            </w:pPr>
            <w:r w:rsidRPr="005B5418">
              <w:rPr>
                <w:rFonts w:cs="Arial"/>
                <w:i w:val="0"/>
                <w:sz w:val="22"/>
                <w:szCs w:val="22"/>
              </w:rPr>
              <w:t xml:space="preserve">Liabilities must be recognized when they are incurred regardless of whether they are covered by available budgetary resources, including liabilities related to canceled appropriations. </w:t>
            </w:r>
          </w:p>
          <w:p w14:paraId="2DAD64FF" w14:textId="1CB56C69" w:rsidR="00622B35" w:rsidRPr="005B5418" w:rsidRDefault="00C860A6" w:rsidP="008848DA">
            <w:pPr>
              <w:pStyle w:val="Table-Note"/>
              <w:spacing w:before="60" w:after="60" w:line="240" w:lineRule="auto"/>
              <w:ind w:left="0"/>
              <w:jc w:val="left"/>
              <w:rPr>
                <w:rFonts w:cs="Arial"/>
                <w:i w:val="0"/>
                <w:sz w:val="22"/>
                <w:szCs w:val="22"/>
              </w:rPr>
            </w:pPr>
            <w:r w:rsidRPr="005B5418">
              <w:rPr>
                <w:rFonts w:cs="Arial"/>
                <w:i w:val="0"/>
                <w:sz w:val="22"/>
                <w:szCs w:val="22"/>
              </w:rPr>
              <w:t>Liabilities are classified as liabilities covered by budgetary resources</w:t>
            </w:r>
            <w:r w:rsidR="00152A86" w:rsidRPr="005B5418">
              <w:rPr>
                <w:rFonts w:cs="Arial"/>
                <w:i w:val="0"/>
                <w:sz w:val="22"/>
                <w:szCs w:val="22"/>
              </w:rPr>
              <w:t>,</w:t>
            </w:r>
            <w:r w:rsidRPr="005B5418">
              <w:rPr>
                <w:rFonts w:cs="Arial"/>
                <w:i w:val="0"/>
                <w:sz w:val="22"/>
                <w:szCs w:val="22"/>
                <w:vertAlign w:val="superscript"/>
              </w:rPr>
              <w:footnoteReference w:id="39"/>
            </w:r>
            <w:r w:rsidRPr="005B5418">
              <w:rPr>
                <w:rFonts w:cs="Arial"/>
                <w:i w:val="0"/>
                <w:sz w:val="22"/>
                <w:szCs w:val="22"/>
              </w:rPr>
              <w:t xml:space="preserve"> liabilities not covered by budgetary resources</w:t>
            </w:r>
            <w:r w:rsidR="00152A86" w:rsidRPr="005B5418">
              <w:rPr>
                <w:rFonts w:cs="Arial"/>
                <w:i w:val="0"/>
                <w:sz w:val="22"/>
                <w:szCs w:val="22"/>
              </w:rPr>
              <w:t>,</w:t>
            </w:r>
            <w:r w:rsidRPr="005B5418">
              <w:rPr>
                <w:rFonts w:cs="Arial"/>
                <w:i w:val="0"/>
                <w:sz w:val="22"/>
                <w:szCs w:val="22"/>
                <w:vertAlign w:val="superscript"/>
              </w:rPr>
              <w:footnoteReference w:id="40"/>
            </w:r>
            <w:r w:rsidRPr="005B5418">
              <w:rPr>
                <w:rFonts w:cs="Arial"/>
                <w:i w:val="0"/>
                <w:sz w:val="22"/>
                <w:szCs w:val="22"/>
              </w:rPr>
              <w:t xml:space="preserve"> and liabilities not requiring budgetary resources.</w:t>
            </w:r>
            <w:r w:rsidRPr="005B5418">
              <w:rPr>
                <w:rFonts w:cs="Arial"/>
                <w:i w:val="0"/>
                <w:sz w:val="22"/>
                <w:szCs w:val="22"/>
                <w:vertAlign w:val="superscript"/>
              </w:rPr>
              <w:footnoteReference w:id="41"/>
            </w:r>
            <w:r w:rsidRPr="005B5418">
              <w:rPr>
                <w:rFonts w:cs="Arial"/>
                <w:i w:val="0"/>
                <w:sz w:val="22"/>
                <w:szCs w:val="22"/>
              </w:rPr>
              <w:t xml:space="preserve"> (A-136, section II.3.2.4)</w:t>
            </w:r>
          </w:p>
          <w:p w14:paraId="70084C0C" w14:textId="63C8BDB1" w:rsidR="00C860A6" w:rsidRPr="005B5418" w:rsidRDefault="00622B35" w:rsidP="000C236A">
            <w:pPr>
              <w:pStyle w:val="Table-Note"/>
              <w:spacing w:before="60" w:after="60" w:line="240" w:lineRule="auto"/>
              <w:ind w:left="0"/>
              <w:jc w:val="left"/>
              <w:rPr>
                <w:rFonts w:cs="Arial"/>
                <w:i w:val="0"/>
                <w:sz w:val="22"/>
                <w:szCs w:val="22"/>
              </w:rPr>
            </w:pPr>
            <w:r w:rsidRPr="005B5418">
              <w:rPr>
                <w:rFonts w:cs="Arial"/>
                <w:i w:val="0"/>
                <w:sz w:val="22"/>
                <w:szCs w:val="22"/>
              </w:rPr>
              <w:t>Intragovernmental liabilities arise from transaction</w:t>
            </w:r>
            <w:r w:rsidR="00890264" w:rsidRPr="005B5418">
              <w:rPr>
                <w:rFonts w:cs="Arial"/>
                <w:i w:val="0"/>
                <w:sz w:val="22"/>
                <w:szCs w:val="22"/>
              </w:rPr>
              <w:t>s</w:t>
            </w:r>
            <w:r w:rsidRPr="005B5418">
              <w:rPr>
                <w:rFonts w:cs="Arial"/>
                <w:i w:val="0"/>
                <w:sz w:val="22"/>
                <w:szCs w:val="22"/>
              </w:rPr>
              <w:t xml:space="preserve"> </w:t>
            </w:r>
            <w:r w:rsidR="00890264" w:rsidRPr="005B5418">
              <w:rPr>
                <w:rFonts w:cs="Arial"/>
                <w:i w:val="0"/>
                <w:sz w:val="22"/>
                <w:szCs w:val="22"/>
              </w:rPr>
              <w:t xml:space="preserve">between </w:t>
            </w:r>
            <w:r w:rsidR="00E446C7" w:rsidRPr="005B5418">
              <w:rPr>
                <w:rFonts w:cs="Arial"/>
                <w:i w:val="0"/>
                <w:sz w:val="22"/>
                <w:szCs w:val="22"/>
              </w:rPr>
              <w:t xml:space="preserve">the </w:t>
            </w:r>
            <w:r w:rsidR="00890264" w:rsidRPr="005B5418">
              <w:rPr>
                <w:rFonts w:cs="Arial"/>
                <w:i w:val="0"/>
                <w:sz w:val="22"/>
                <w:szCs w:val="22"/>
              </w:rPr>
              <w:t xml:space="preserve">reporting </w:t>
            </w:r>
            <w:r w:rsidRPr="005B5418">
              <w:rPr>
                <w:rFonts w:cs="Arial"/>
                <w:i w:val="0"/>
                <w:sz w:val="22"/>
                <w:szCs w:val="22"/>
              </w:rPr>
              <w:t>entit</w:t>
            </w:r>
            <w:r w:rsidR="00E446C7" w:rsidRPr="005B5418">
              <w:rPr>
                <w:rFonts w:cs="Arial"/>
                <w:i w:val="0"/>
                <w:sz w:val="22"/>
                <w:szCs w:val="22"/>
              </w:rPr>
              <w:t>y and other consolidations entit</w:t>
            </w:r>
            <w:r w:rsidRPr="005B5418">
              <w:rPr>
                <w:rFonts w:cs="Arial"/>
                <w:i w:val="0"/>
                <w:sz w:val="22"/>
                <w:szCs w:val="22"/>
              </w:rPr>
              <w:t>ies and are claims</w:t>
            </w:r>
            <w:r w:rsidR="00C95338" w:rsidRPr="005B5418">
              <w:rPr>
                <w:rFonts w:cs="Arial"/>
                <w:i w:val="0"/>
                <w:sz w:val="22"/>
                <w:szCs w:val="22"/>
              </w:rPr>
              <w:t xml:space="preserve"> </w:t>
            </w:r>
            <w:r w:rsidR="00890264" w:rsidRPr="005B5418">
              <w:rPr>
                <w:rFonts w:cs="Arial"/>
                <w:i w:val="0"/>
                <w:sz w:val="22"/>
                <w:szCs w:val="22"/>
              </w:rPr>
              <w:t xml:space="preserve">of </w:t>
            </w:r>
            <w:r w:rsidR="00E446C7" w:rsidRPr="005B5418">
              <w:rPr>
                <w:rFonts w:cs="Arial"/>
                <w:i w:val="0"/>
                <w:sz w:val="22"/>
                <w:szCs w:val="22"/>
              </w:rPr>
              <w:t>one such</w:t>
            </w:r>
            <w:r w:rsidRPr="005B5418">
              <w:rPr>
                <w:rFonts w:cs="Arial"/>
                <w:i w:val="0"/>
                <w:sz w:val="22"/>
                <w:szCs w:val="22"/>
              </w:rPr>
              <w:t xml:space="preserve"> entity</w:t>
            </w:r>
            <w:r w:rsidR="000E4BAA" w:rsidRPr="005B5418">
              <w:rPr>
                <w:rFonts w:cs="Arial"/>
                <w:i w:val="0"/>
                <w:sz w:val="22"/>
                <w:szCs w:val="22"/>
              </w:rPr>
              <w:t xml:space="preserve"> against </w:t>
            </w:r>
            <w:r w:rsidR="00890264" w:rsidRPr="005B5418">
              <w:rPr>
                <w:rFonts w:cs="Arial"/>
                <w:i w:val="0"/>
                <w:sz w:val="22"/>
                <w:szCs w:val="22"/>
              </w:rPr>
              <w:t xml:space="preserve">another </w:t>
            </w:r>
            <w:r w:rsidR="000C236A" w:rsidRPr="005B5418">
              <w:rPr>
                <w:rFonts w:cs="Arial"/>
                <w:i w:val="0"/>
                <w:sz w:val="22"/>
                <w:szCs w:val="22"/>
              </w:rPr>
              <w:t xml:space="preserve">such </w:t>
            </w:r>
            <w:r w:rsidR="000E4BAA" w:rsidRPr="005B5418">
              <w:rPr>
                <w:rFonts w:cs="Arial"/>
                <w:i w:val="0"/>
                <w:sz w:val="22"/>
                <w:szCs w:val="22"/>
              </w:rPr>
              <w:t xml:space="preserve">entity. </w:t>
            </w:r>
            <w:r w:rsidRPr="005B5418">
              <w:rPr>
                <w:rFonts w:cs="Arial"/>
                <w:i w:val="0"/>
                <w:sz w:val="22"/>
                <w:szCs w:val="22"/>
              </w:rPr>
              <w:t>(A-136, section II.3.2.4)</w:t>
            </w:r>
            <w:r w:rsidR="00C860A6" w:rsidRPr="005B5418">
              <w:rPr>
                <w:rFonts w:cs="Arial"/>
                <w:i w:val="0"/>
                <w:sz w:val="22"/>
                <w:szCs w:val="22"/>
              </w:rPr>
              <w:t xml:space="preserve"> </w:t>
            </w:r>
          </w:p>
        </w:tc>
      </w:tr>
      <w:tr w:rsidR="00C860A6" w:rsidRPr="005B5418" w14:paraId="0AB77144" w14:textId="77777777" w:rsidTr="008848DA">
        <w:trPr>
          <w:trHeight w:val="638"/>
        </w:trPr>
        <w:tc>
          <w:tcPr>
            <w:tcW w:w="5655" w:type="dxa"/>
          </w:tcPr>
          <w:p w14:paraId="69F4AA4E" w14:textId="77777777" w:rsidR="00C860A6" w:rsidRPr="005B5418" w:rsidRDefault="00C860A6" w:rsidP="008848DA">
            <w:pPr>
              <w:pStyle w:val="FAM-Table-outline"/>
              <w:numPr>
                <w:ilvl w:val="0"/>
                <w:numId w:val="1"/>
              </w:numPr>
              <w:spacing w:line="240" w:lineRule="auto"/>
              <w:rPr>
                <w:rFonts w:eastAsia="Arial Unicode MS" w:cs="Arial"/>
                <w:szCs w:val="22"/>
              </w:rPr>
            </w:pPr>
            <w:r w:rsidRPr="005B5418">
              <w:rPr>
                <w:rFonts w:eastAsia="Arial Unicode MS" w:cs="Arial"/>
                <w:szCs w:val="22"/>
              </w:rPr>
              <w:t>Does the federal entity recognize a liability for probable</w:t>
            </w:r>
            <w:r w:rsidRPr="005B5418">
              <w:rPr>
                <w:rStyle w:val="FootnoteReference"/>
                <w:rFonts w:eastAsia="Arial Unicode MS" w:cs="Arial"/>
                <w:szCs w:val="22"/>
              </w:rPr>
              <w:footnoteReference w:id="42"/>
            </w:r>
            <w:r w:rsidRPr="005B5418">
              <w:rPr>
                <w:rFonts w:eastAsia="Arial Unicode MS" w:cs="Arial"/>
                <w:szCs w:val="22"/>
              </w:rPr>
              <w:t xml:space="preserve"> and measurable</w:t>
            </w:r>
            <w:r w:rsidRPr="005B5418">
              <w:rPr>
                <w:rStyle w:val="FootnoteReference"/>
                <w:rFonts w:eastAsia="Arial Unicode MS" w:cs="Arial"/>
                <w:szCs w:val="22"/>
              </w:rPr>
              <w:footnoteReference w:id="43"/>
            </w:r>
            <w:r w:rsidRPr="005B5418">
              <w:rPr>
                <w:rFonts w:eastAsia="Arial Unicode MS" w:cs="Arial"/>
                <w:szCs w:val="22"/>
              </w:rPr>
              <w:t xml:space="preserve"> future outflows or other sacrifices of resources arising from one or more events from</w:t>
            </w:r>
          </w:p>
          <w:p w14:paraId="6A365FE1" w14:textId="25767A5C" w:rsidR="00C860A6" w:rsidRPr="005B5418" w:rsidRDefault="00C860A6" w:rsidP="006B6FD4">
            <w:pPr>
              <w:pStyle w:val="FAM-Table-outline2"/>
              <w:tabs>
                <w:tab w:val="num" w:pos="1530"/>
              </w:tabs>
              <w:spacing w:line="240" w:lineRule="auto"/>
              <w:ind w:left="1140" w:hanging="443"/>
              <w:rPr>
                <w:rFonts w:eastAsia="Arial Unicode MS"/>
              </w:rPr>
            </w:pPr>
            <w:r w:rsidRPr="005B5418">
              <w:rPr>
                <w:rFonts w:eastAsia="Arial Unicode MS"/>
              </w:rPr>
              <w:t>past exchange transactions</w:t>
            </w:r>
            <w:r w:rsidR="00A73FB5" w:rsidRPr="005B5418">
              <w:rPr>
                <w:rFonts w:eastAsia="Arial Unicode MS"/>
              </w:rPr>
              <w:t>;</w:t>
            </w:r>
            <w:r w:rsidRPr="005B5418">
              <w:rPr>
                <w:rFonts w:eastAsia="Arial Unicode MS"/>
              </w:rPr>
              <w:t xml:space="preserve"> </w:t>
            </w:r>
          </w:p>
          <w:p w14:paraId="43092A02" w14:textId="64E9CAF4" w:rsidR="00C860A6" w:rsidRPr="005B5418" w:rsidRDefault="00C860A6" w:rsidP="006B6FD4">
            <w:pPr>
              <w:pStyle w:val="FAM-Table-outline2"/>
              <w:tabs>
                <w:tab w:val="num" w:pos="1530"/>
              </w:tabs>
              <w:spacing w:line="240" w:lineRule="auto"/>
              <w:ind w:left="1140" w:hanging="443"/>
              <w:rPr>
                <w:rFonts w:eastAsia="Arial Unicode MS"/>
              </w:rPr>
            </w:pPr>
            <w:r w:rsidRPr="005B5418">
              <w:rPr>
                <w:rFonts w:eastAsia="Arial Unicode MS"/>
              </w:rPr>
              <w:t>government-related events, such as a federal entity accidentally causing damage to private property</w:t>
            </w:r>
            <w:r w:rsidR="00A73FB5" w:rsidRPr="005B5418">
              <w:rPr>
                <w:rFonts w:eastAsia="Arial Unicode MS"/>
              </w:rPr>
              <w:t>;</w:t>
            </w:r>
          </w:p>
          <w:p w14:paraId="519D5E73" w14:textId="3CDB03CB" w:rsidR="00C860A6" w:rsidRPr="005B5418" w:rsidRDefault="00C860A6" w:rsidP="006B6FD4">
            <w:pPr>
              <w:pStyle w:val="FAM-Table-outline2"/>
              <w:tabs>
                <w:tab w:val="num" w:pos="1530"/>
              </w:tabs>
              <w:spacing w:line="240" w:lineRule="auto"/>
              <w:ind w:left="1140" w:hanging="443"/>
              <w:rPr>
                <w:rFonts w:eastAsia="Arial Unicode MS"/>
              </w:rPr>
            </w:pPr>
            <w:r w:rsidRPr="005B5418">
              <w:rPr>
                <w:rFonts w:eastAsia="Arial Unicode MS"/>
              </w:rPr>
              <w:lastRenderedPageBreak/>
              <w:t>government-acknowledged events</w:t>
            </w:r>
            <w:r w:rsidR="00A855DE">
              <w:rPr>
                <w:rFonts w:eastAsia="Arial Unicode MS"/>
              </w:rPr>
              <w:t>,</w:t>
            </w:r>
            <w:r w:rsidR="008D5A08" w:rsidRPr="005B5418">
              <w:rPr>
                <w:rStyle w:val="FootnoteReference"/>
                <w:rFonts w:cs="Arial"/>
                <w:szCs w:val="22"/>
              </w:rPr>
              <w:footnoteReference w:id="44"/>
            </w:r>
            <w:r w:rsidRPr="005B5418">
              <w:rPr>
                <w:rFonts w:eastAsia="Arial Unicode MS"/>
              </w:rPr>
              <w:t xml:space="preserve"> such as natural disasters, for which the government has taken formal responsibility for the related costs</w:t>
            </w:r>
            <w:r w:rsidR="00A73FB5" w:rsidRPr="005B5418">
              <w:rPr>
                <w:rFonts w:eastAsia="Arial Unicode MS"/>
              </w:rPr>
              <w:t>;</w:t>
            </w:r>
            <w:r w:rsidRPr="005B5418">
              <w:rPr>
                <w:rFonts w:eastAsia="Arial Unicode MS"/>
              </w:rPr>
              <w:t xml:space="preserve"> and</w:t>
            </w:r>
          </w:p>
          <w:p w14:paraId="1D3D45CF" w14:textId="62B4ADBC" w:rsidR="00C860A6" w:rsidRPr="005B5418" w:rsidRDefault="00C860A6" w:rsidP="005425ED">
            <w:pPr>
              <w:pStyle w:val="FAM-Table-outline2"/>
              <w:tabs>
                <w:tab w:val="num" w:pos="1530"/>
              </w:tabs>
              <w:spacing w:line="240" w:lineRule="auto"/>
              <w:ind w:left="1140" w:hanging="443"/>
              <w:rPr>
                <w:rFonts w:eastAsia="Arial Unicode MS"/>
              </w:rPr>
            </w:pPr>
            <w:r w:rsidRPr="005B5418">
              <w:rPr>
                <w:rFonts w:eastAsia="Arial Unicode MS"/>
              </w:rPr>
              <w:t>nonexchange transactions that according to current law and applicable policy, are unpaid amounts due as of the reporting date? (SFFAS 5, par</w:t>
            </w:r>
            <w:r w:rsidR="00A73FB5" w:rsidRPr="005B5418">
              <w:rPr>
                <w:rFonts w:eastAsia="Arial Unicode MS"/>
              </w:rPr>
              <w:t>a</w:t>
            </w:r>
            <w:r w:rsidRPr="005B5418">
              <w:rPr>
                <w:rFonts w:eastAsia="Arial Unicode MS"/>
              </w:rPr>
              <w:t>. 19)</w:t>
            </w:r>
          </w:p>
        </w:tc>
        <w:tc>
          <w:tcPr>
            <w:tcW w:w="1072" w:type="dxa"/>
          </w:tcPr>
          <w:p w14:paraId="52ABDC7B" w14:textId="77777777" w:rsidR="00C860A6" w:rsidRPr="005B5418" w:rsidRDefault="00C860A6" w:rsidP="008848DA">
            <w:pPr>
              <w:pStyle w:val="Table-Cell-CenterBoldBefore6ptAfter6pt"/>
              <w:spacing w:before="60" w:after="60"/>
              <w:rPr>
                <w:rFonts w:cs="Arial"/>
              </w:rPr>
            </w:pPr>
          </w:p>
        </w:tc>
        <w:tc>
          <w:tcPr>
            <w:tcW w:w="3065" w:type="dxa"/>
          </w:tcPr>
          <w:p w14:paraId="26364310" w14:textId="77777777" w:rsidR="00C860A6" w:rsidRPr="005B5418" w:rsidRDefault="00C860A6" w:rsidP="008848DA">
            <w:pPr>
              <w:spacing w:before="60" w:after="60" w:line="240" w:lineRule="auto"/>
              <w:rPr>
                <w:rFonts w:cs="Arial"/>
              </w:rPr>
            </w:pPr>
          </w:p>
        </w:tc>
      </w:tr>
      <w:tr w:rsidR="00C860A6" w:rsidRPr="005B5418" w14:paraId="22AFB0EA" w14:textId="77777777" w:rsidTr="008848DA">
        <w:trPr>
          <w:trHeight w:val="1520"/>
        </w:trPr>
        <w:tc>
          <w:tcPr>
            <w:tcW w:w="5655" w:type="dxa"/>
          </w:tcPr>
          <w:p w14:paraId="3A80F6E0" w14:textId="00417B22" w:rsidR="00C860A6" w:rsidRPr="005B5418" w:rsidRDefault="00C860A6" w:rsidP="005425ED">
            <w:pPr>
              <w:pStyle w:val="FAM-Table-outline"/>
              <w:numPr>
                <w:ilvl w:val="0"/>
                <w:numId w:val="1"/>
              </w:numPr>
              <w:spacing w:line="240" w:lineRule="auto"/>
              <w:rPr>
                <w:rFonts w:eastAsia="Arial Unicode MS" w:cs="Arial"/>
                <w:szCs w:val="22"/>
              </w:rPr>
            </w:pPr>
            <w:r w:rsidRPr="005B5418">
              <w:rPr>
                <w:rFonts w:eastAsia="Arial Unicode MS" w:cs="Arial"/>
                <w:szCs w:val="22"/>
              </w:rPr>
              <w:t xml:space="preserve">Are liabilities recognized when incurred regardless of </w:t>
            </w:r>
            <w:r w:rsidR="00540573" w:rsidRPr="005B5418">
              <w:rPr>
                <w:rFonts w:eastAsia="Arial Unicode MS" w:cs="Arial"/>
                <w:szCs w:val="22"/>
              </w:rPr>
              <w:t xml:space="preserve">(i) </w:t>
            </w:r>
            <w:r w:rsidRPr="005B5418">
              <w:rPr>
                <w:rFonts w:eastAsia="Arial Unicode MS" w:cs="Arial"/>
                <w:szCs w:val="22"/>
              </w:rPr>
              <w:t>whether they are covered by available budgetary resources</w:t>
            </w:r>
            <w:r w:rsidR="00297A55" w:rsidRPr="005B5418">
              <w:rPr>
                <w:rFonts w:eastAsia="Arial Unicode MS" w:cs="Arial"/>
                <w:szCs w:val="22"/>
              </w:rPr>
              <w:t>,</w:t>
            </w:r>
            <w:r w:rsidRPr="005B5418">
              <w:rPr>
                <w:rFonts w:eastAsia="Arial Unicode MS" w:cs="Arial"/>
                <w:szCs w:val="22"/>
              </w:rPr>
              <w:t xml:space="preserve"> including those liabilities related to </w:t>
            </w:r>
            <w:r w:rsidR="00546D3F" w:rsidRPr="005B5418">
              <w:rPr>
                <w:rFonts w:eastAsia="Arial Unicode MS" w:cs="Arial"/>
                <w:szCs w:val="22"/>
              </w:rPr>
              <w:t xml:space="preserve">canceled </w:t>
            </w:r>
            <w:r w:rsidRPr="005B5418">
              <w:rPr>
                <w:rFonts w:eastAsia="Arial Unicode MS" w:cs="Arial"/>
                <w:szCs w:val="22"/>
              </w:rPr>
              <w:t>appropriations</w:t>
            </w:r>
            <w:r w:rsidR="00585DA3" w:rsidRPr="005B5418">
              <w:rPr>
                <w:rFonts w:eastAsia="Arial Unicode MS" w:cs="Arial"/>
                <w:szCs w:val="22"/>
              </w:rPr>
              <w:t xml:space="preserve">, </w:t>
            </w:r>
            <w:r w:rsidR="00585DA3" w:rsidRPr="005425ED">
              <w:rPr>
                <w:rFonts w:eastAsia="Arial Unicode MS"/>
              </w:rPr>
              <w:t>or</w:t>
            </w:r>
            <w:r w:rsidR="00540573" w:rsidRPr="005425ED">
              <w:rPr>
                <w:rFonts w:eastAsia="Arial Unicode MS"/>
              </w:rPr>
              <w:t xml:space="preserve"> (ii)</w:t>
            </w:r>
            <w:r w:rsidR="00585DA3" w:rsidRPr="005425ED">
              <w:rPr>
                <w:rFonts w:eastAsia="Arial Unicode MS"/>
              </w:rPr>
              <w:t xml:space="preserve"> </w:t>
            </w:r>
            <w:r w:rsidR="00BE0990" w:rsidRPr="005425ED">
              <w:rPr>
                <w:rFonts w:eastAsia="Arial Unicode MS"/>
              </w:rPr>
              <w:t xml:space="preserve">whether </w:t>
            </w:r>
            <w:r w:rsidR="00E52684" w:rsidRPr="005425ED">
              <w:rPr>
                <w:rFonts w:eastAsia="Arial Unicode MS"/>
              </w:rPr>
              <w:t>(</w:t>
            </w:r>
            <w:r w:rsidR="00BE0990" w:rsidRPr="005425ED">
              <w:rPr>
                <w:rFonts w:eastAsia="Arial Unicode MS"/>
              </w:rPr>
              <w:t xml:space="preserve">or </w:t>
            </w:r>
            <w:r w:rsidR="00585DA3" w:rsidRPr="005425ED">
              <w:rPr>
                <w:rFonts w:eastAsia="Arial Unicode MS"/>
              </w:rPr>
              <w:t>when</w:t>
            </w:r>
            <w:r w:rsidR="00E52684" w:rsidRPr="005425ED">
              <w:rPr>
                <w:rFonts w:eastAsia="Arial Unicode MS"/>
              </w:rPr>
              <w:t>)</w:t>
            </w:r>
            <w:r w:rsidR="00585DA3" w:rsidRPr="005425ED">
              <w:rPr>
                <w:rFonts w:eastAsia="Arial Unicode MS"/>
              </w:rPr>
              <w:t xml:space="preserve"> they will result in the recording of budgetary obligations</w:t>
            </w:r>
            <w:r w:rsidRPr="005B5418">
              <w:rPr>
                <w:rFonts w:eastAsia="Arial Unicode MS" w:cs="Arial"/>
                <w:szCs w:val="22"/>
              </w:rPr>
              <w:t>? (A-136, section II.3.2.4)</w:t>
            </w:r>
          </w:p>
        </w:tc>
        <w:tc>
          <w:tcPr>
            <w:tcW w:w="1072" w:type="dxa"/>
          </w:tcPr>
          <w:p w14:paraId="008BB98F" w14:textId="77777777" w:rsidR="00C860A6" w:rsidRPr="005B5418" w:rsidRDefault="00C860A6" w:rsidP="008848DA">
            <w:pPr>
              <w:pStyle w:val="Table-Cell-CenterBoldBefore6ptAfter6pt"/>
              <w:spacing w:before="60" w:after="60"/>
              <w:rPr>
                <w:rFonts w:cs="Arial"/>
              </w:rPr>
            </w:pPr>
          </w:p>
        </w:tc>
        <w:tc>
          <w:tcPr>
            <w:tcW w:w="3065" w:type="dxa"/>
          </w:tcPr>
          <w:p w14:paraId="0B5A4FAF" w14:textId="77777777" w:rsidR="00C860A6" w:rsidRPr="005B5418" w:rsidRDefault="00C860A6" w:rsidP="008848DA">
            <w:pPr>
              <w:spacing w:before="60" w:after="60" w:line="240" w:lineRule="auto"/>
              <w:rPr>
                <w:rFonts w:cs="Arial"/>
              </w:rPr>
            </w:pPr>
          </w:p>
        </w:tc>
      </w:tr>
      <w:tr w:rsidR="00517C8C" w:rsidRPr="005B5418" w14:paraId="68D92586" w14:textId="77777777" w:rsidTr="008848DA">
        <w:trPr>
          <w:trHeight w:val="1331"/>
        </w:trPr>
        <w:tc>
          <w:tcPr>
            <w:tcW w:w="5655" w:type="dxa"/>
          </w:tcPr>
          <w:p w14:paraId="4922B2CC" w14:textId="6C08E9F2" w:rsidR="00517C8C" w:rsidRPr="005B5418" w:rsidRDefault="00517C8C" w:rsidP="005425ED">
            <w:pPr>
              <w:pStyle w:val="FAM-Table-outline"/>
              <w:numPr>
                <w:ilvl w:val="0"/>
                <w:numId w:val="1"/>
              </w:numPr>
              <w:spacing w:line="240" w:lineRule="auto"/>
              <w:rPr>
                <w:rFonts w:eastAsia="Arial Unicode MS"/>
              </w:rPr>
            </w:pPr>
            <w:r w:rsidRPr="005B5418">
              <w:rPr>
                <w:rFonts w:eastAsia="Arial Unicode MS" w:cs="Arial"/>
                <w:szCs w:val="22"/>
              </w:rPr>
              <w:t xml:space="preserve">Are intragovernmental liabilities </w:t>
            </w:r>
            <w:r w:rsidR="009E349B" w:rsidRPr="005B5418">
              <w:rPr>
                <w:rFonts w:eastAsia="Arial Unicode MS" w:cs="Arial"/>
                <w:szCs w:val="22"/>
              </w:rPr>
              <w:t xml:space="preserve">on the </w:t>
            </w:r>
            <w:r w:rsidR="001B5C17" w:rsidRPr="005B5418">
              <w:rPr>
                <w:rFonts w:eastAsia="Arial Unicode MS" w:cs="Arial"/>
                <w:szCs w:val="22"/>
              </w:rPr>
              <w:t>balance sheet</w:t>
            </w:r>
            <w:r w:rsidR="009E349B" w:rsidRPr="005B5418">
              <w:rPr>
                <w:rFonts w:eastAsia="Arial Unicode MS" w:cs="Arial"/>
                <w:szCs w:val="22"/>
              </w:rPr>
              <w:t xml:space="preserve"> </w:t>
            </w:r>
            <w:r w:rsidRPr="005B5418">
              <w:rPr>
                <w:rFonts w:eastAsia="Arial Unicode MS" w:cs="Arial"/>
                <w:szCs w:val="22"/>
              </w:rPr>
              <w:t xml:space="preserve">reported separately from </w:t>
            </w:r>
            <w:r w:rsidR="000E4BAA" w:rsidRPr="005B5418">
              <w:rPr>
                <w:rFonts w:eastAsia="Arial Unicode MS" w:cs="Arial"/>
                <w:szCs w:val="22"/>
              </w:rPr>
              <w:t xml:space="preserve">other than intragovernmental </w:t>
            </w:r>
            <w:r w:rsidRPr="005B5418">
              <w:rPr>
                <w:rFonts w:eastAsia="Arial Unicode MS" w:cs="Arial"/>
                <w:szCs w:val="22"/>
              </w:rPr>
              <w:t>liabilities</w:t>
            </w:r>
            <w:r w:rsidR="002522E8" w:rsidRPr="005B5418">
              <w:rPr>
                <w:rFonts w:eastAsia="Arial Unicode MS" w:cs="Arial"/>
                <w:szCs w:val="22"/>
              </w:rPr>
              <w:t>?</w:t>
            </w:r>
            <w:r w:rsidRPr="005B5418">
              <w:rPr>
                <w:rStyle w:val="FootnoteReference"/>
                <w:rFonts w:eastAsia="Arial Unicode MS"/>
              </w:rPr>
              <w:footnoteReference w:id="45"/>
            </w:r>
            <w:r w:rsidRPr="005B5418">
              <w:rPr>
                <w:rFonts w:eastAsia="Arial Unicode MS"/>
              </w:rPr>
              <w:t xml:space="preserve"> </w:t>
            </w:r>
            <w:r w:rsidRPr="005B5418">
              <w:rPr>
                <w:rFonts w:eastAsia="Arial Unicode MS" w:cs="Arial"/>
                <w:szCs w:val="22"/>
              </w:rPr>
              <w:t>(A-136, section II.3.2.4)</w:t>
            </w:r>
          </w:p>
        </w:tc>
        <w:tc>
          <w:tcPr>
            <w:tcW w:w="1072" w:type="dxa"/>
          </w:tcPr>
          <w:p w14:paraId="53321DA1" w14:textId="77777777" w:rsidR="00517C8C" w:rsidRPr="005B5418" w:rsidRDefault="00517C8C" w:rsidP="008848DA">
            <w:pPr>
              <w:pStyle w:val="Table-Cell-CenterBoldBefore6ptAfter6pt"/>
              <w:spacing w:before="60" w:after="60"/>
              <w:rPr>
                <w:rFonts w:cs="Arial"/>
              </w:rPr>
            </w:pPr>
          </w:p>
        </w:tc>
        <w:tc>
          <w:tcPr>
            <w:tcW w:w="3065" w:type="dxa"/>
          </w:tcPr>
          <w:p w14:paraId="44A77FA8" w14:textId="77777777" w:rsidR="00517C8C" w:rsidRPr="005B5418" w:rsidRDefault="00517C8C" w:rsidP="008848DA">
            <w:pPr>
              <w:spacing w:before="60" w:after="60" w:line="240" w:lineRule="auto"/>
              <w:rPr>
                <w:rFonts w:cs="Arial"/>
              </w:rPr>
            </w:pPr>
          </w:p>
        </w:tc>
      </w:tr>
      <w:tr w:rsidR="00C860A6" w:rsidRPr="005B5418" w14:paraId="18AD124F" w14:textId="77777777" w:rsidTr="008848DA">
        <w:trPr>
          <w:trHeight w:val="755"/>
        </w:trPr>
        <w:tc>
          <w:tcPr>
            <w:tcW w:w="9792" w:type="dxa"/>
            <w:gridSpan w:val="3"/>
          </w:tcPr>
          <w:p w14:paraId="6D81692F" w14:textId="7F48E00E" w:rsidR="00C860A6" w:rsidRPr="005B5418" w:rsidRDefault="00C860A6" w:rsidP="008848DA">
            <w:pPr>
              <w:spacing w:before="60" w:after="60" w:line="240" w:lineRule="auto"/>
              <w:rPr>
                <w:rFonts w:ascii="Arial" w:hAnsi="Arial" w:cs="Arial"/>
              </w:rPr>
            </w:pPr>
            <w:r w:rsidRPr="005B5418">
              <w:rPr>
                <w:rFonts w:ascii="Arial" w:eastAsia="Arial Unicode MS" w:hAnsi="Arial" w:cs="Arial"/>
              </w:rPr>
              <w:t>Accounts payable are amounts owed by a federal entity for goods and services received, progress in contract performance, and rents due to other entities.</w:t>
            </w:r>
            <w:r w:rsidR="002522E8" w:rsidRPr="005B5418">
              <w:rPr>
                <w:rFonts w:ascii="Arial" w:eastAsia="Arial Unicode MS" w:hAnsi="Arial" w:cs="Arial"/>
              </w:rPr>
              <w:t xml:space="preserve"> </w:t>
            </w:r>
            <w:r w:rsidRPr="005B5418">
              <w:rPr>
                <w:rFonts w:ascii="Arial" w:eastAsia="Arial Unicode MS" w:hAnsi="Arial" w:cs="Arial"/>
              </w:rPr>
              <w:t>(SFFAS 1, par</w:t>
            </w:r>
            <w:r w:rsidR="00AC5576" w:rsidRPr="005B5418">
              <w:rPr>
                <w:rFonts w:ascii="Arial" w:eastAsia="Arial Unicode MS" w:hAnsi="Arial" w:cs="Arial"/>
              </w:rPr>
              <w:t>a</w:t>
            </w:r>
            <w:r w:rsidRPr="005B5418">
              <w:rPr>
                <w:rFonts w:ascii="Arial" w:eastAsia="Arial Unicode MS" w:hAnsi="Arial" w:cs="Arial"/>
              </w:rPr>
              <w:t xml:space="preserve">. 74) </w:t>
            </w:r>
          </w:p>
        </w:tc>
      </w:tr>
      <w:tr w:rsidR="00C860A6" w:rsidRPr="005B5418" w14:paraId="70811644" w14:textId="77777777" w:rsidTr="008848DA">
        <w:trPr>
          <w:trHeight w:val="1520"/>
        </w:trPr>
        <w:tc>
          <w:tcPr>
            <w:tcW w:w="5655" w:type="dxa"/>
          </w:tcPr>
          <w:p w14:paraId="42A41945" w14:textId="392D5970" w:rsidR="00C860A6" w:rsidRPr="005B5418" w:rsidRDefault="00C860A6" w:rsidP="005425ED">
            <w:pPr>
              <w:pStyle w:val="FAM-Table-outline"/>
              <w:numPr>
                <w:ilvl w:val="0"/>
                <w:numId w:val="1"/>
              </w:numPr>
              <w:spacing w:line="240" w:lineRule="auto"/>
              <w:rPr>
                <w:rFonts w:cs="Arial"/>
              </w:rPr>
            </w:pPr>
            <w:r w:rsidRPr="005B5418">
              <w:rPr>
                <w:rFonts w:eastAsia="Arial Unicode MS" w:cs="Arial"/>
                <w:szCs w:val="22"/>
              </w:rPr>
              <w:t xml:space="preserve">Do accounts payable </w:t>
            </w:r>
            <w:r w:rsidRPr="005B5418">
              <w:rPr>
                <w:rFonts w:eastAsia="Arial Unicode MS" w:cs="Arial"/>
                <w:szCs w:val="22"/>
                <w:u w:val="single"/>
              </w:rPr>
              <w:t>exclude</w:t>
            </w:r>
            <w:r w:rsidRPr="005B5418">
              <w:rPr>
                <w:rFonts w:eastAsia="Arial Unicode MS" w:cs="Arial"/>
                <w:szCs w:val="22"/>
              </w:rPr>
              <w:t xml:space="preserve"> amounts related to ongoing continuous expenses, such as salary and related benefits expense? (SFFAS 1, par</w:t>
            </w:r>
            <w:r w:rsidR="007066A8" w:rsidRPr="005B5418">
              <w:rPr>
                <w:rFonts w:eastAsia="Arial Unicode MS" w:cs="Arial"/>
                <w:szCs w:val="22"/>
              </w:rPr>
              <w:t>a</w:t>
            </w:r>
            <w:r w:rsidRPr="005B5418">
              <w:rPr>
                <w:rFonts w:eastAsia="Arial Unicode MS" w:cs="Arial"/>
                <w:szCs w:val="22"/>
              </w:rPr>
              <w:t>. 75)</w:t>
            </w:r>
          </w:p>
        </w:tc>
        <w:tc>
          <w:tcPr>
            <w:tcW w:w="1072" w:type="dxa"/>
          </w:tcPr>
          <w:p w14:paraId="2C6A4B3A" w14:textId="77777777" w:rsidR="00C860A6" w:rsidRPr="005B5418" w:rsidRDefault="00C860A6" w:rsidP="008848DA">
            <w:pPr>
              <w:pStyle w:val="Table-Cell-CenterBoldBefore6ptAfter6pt"/>
              <w:spacing w:before="60" w:after="60"/>
              <w:rPr>
                <w:rFonts w:cs="Arial"/>
              </w:rPr>
            </w:pPr>
          </w:p>
        </w:tc>
        <w:tc>
          <w:tcPr>
            <w:tcW w:w="3065" w:type="dxa"/>
          </w:tcPr>
          <w:p w14:paraId="04D4BDC6" w14:textId="77777777" w:rsidR="00C860A6" w:rsidRPr="005B5418" w:rsidRDefault="00C860A6" w:rsidP="008848DA">
            <w:pPr>
              <w:spacing w:before="60" w:after="60" w:line="240" w:lineRule="auto"/>
              <w:rPr>
                <w:rFonts w:cs="Arial"/>
              </w:rPr>
            </w:pPr>
          </w:p>
        </w:tc>
      </w:tr>
      <w:tr w:rsidR="00C860A6" w:rsidRPr="005B5418" w14:paraId="1D9010E9" w14:textId="77777777" w:rsidTr="008848DA">
        <w:trPr>
          <w:trHeight w:val="1196"/>
        </w:trPr>
        <w:tc>
          <w:tcPr>
            <w:tcW w:w="5655" w:type="dxa"/>
          </w:tcPr>
          <w:p w14:paraId="23401788" w14:textId="0ED1927E" w:rsidR="00C860A6" w:rsidRPr="005B5418" w:rsidRDefault="00C860A6" w:rsidP="005425ED">
            <w:pPr>
              <w:pStyle w:val="FAM-Table-outline"/>
              <w:numPr>
                <w:ilvl w:val="0"/>
                <w:numId w:val="1"/>
              </w:numPr>
              <w:spacing w:line="240" w:lineRule="auto"/>
              <w:rPr>
                <w:rFonts w:cs="Arial"/>
              </w:rPr>
            </w:pPr>
            <w:r w:rsidRPr="005B5418">
              <w:rPr>
                <w:rFonts w:eastAsia="Arial Unicode MS" w:cs="Arial"/>
                <w:szCs w:val="22"/>
              </w:rPr>
              <w:t>When an entity accepts title to goods, whether the goods are delivered or in transit, does the entity recognize a liability for the unpaid cost of goods? (SFFAS 1, par</w:t>
            </w:r>
            <w:r w:rsidR="007066A8" w:rsidRPr="005B5418">
              <w:rPr>
                <w:rFonts w:eastAsia="Arial Unicode MS" w:cs="Arial"/>
                <w:szCs w:val="22"/>
              </w:rPr>
              <w:t>a</w:t>
            </w:r>
            <w:r w:rsidRPr="005B5418">
              <w:rPr>
                <w:rFonts w:eastAsia="Arial Unicode MS" w:cs="Arial"/>
                <w:szCs w:val="22"/>
              </w:rPr>
              <w:t>. 77)</w:t>
            </w:r>
          </w:p>
        </w:tc>
        <w:tc>
          <w:tcPr>
            <w:tcW w:w="1072" w:type="dxa"/>
          </w:tcPr>
          <w:p w14:paraId="6CD37460" w14:textId="77777777" w:rsidR="00C860A6" w:rsidRPr="005B5418" w:rsidRDefault="00C860A6" w:rsidP="008848DA">
            <w:pPr>
              <w:pStyle w:val="Table-Cell-CenterBoldBefore6ptAfter6pt"/>
              <w:spacing w:before="60" w:after="60"/>
              <w:rPr>
                <w:rFonts w:cs="Arial"/>
              </w:rPr>
            </w:pPr>
          </w:p>
        </w:tc>
        <w:tc>
          <w:tcPr>
            <w:tcW w:w="3065" w:type="dxa"/>
          </w:tcPr>
          <w:p w14:paraId="07247B05" w14:textId="77777777" w:rsidR="00C860A6" w:rsidRPr="005B5418" w:rsidRDefault="00C860A6" w:rsidP="008848DA">
            <w:pPr>
              <w:spacing w:before="60" w:after="60" w:line="240" w:lineRule="auto"/>
              <w:rPr>
                <w:rFonts w:cs="Arial"/>
              </w:rPr>
            </w:pPr>
          </w:p>
        </w:tc>
      </w:tr>
      <w:tr w:rsidR="00C860A6" w:rsidRPr="005B5418" w14:paraId="35E94D52" w14:textId="77777777" w:rsidTr="008848DA">
        <w:trPr>
          <w:trHeight w:val="1106"/>
        </w:trPr>
        <w:tc>
          <w:tcPr>
            <w:tcW w:w="5655" w:type="dxa"/>
          </w:tcPr>
          <w:p w14:paraId="3AE586EC" w14:textId="733CC780" w:rsidR="00C860A6" w:rsidRPr="005B5418" w:rsidRDefault="00C860A6" w:rsidP="005425ED">
            <w:pPr>
              <w:pStyle w:val="FAM-Table-outline"/>
              <w:numPr>
                <w:ilvl w:val="0"/>
                <w:numId w:val="1"/>
              </w:numPr>
              <w:spacing w:line="240" w:lineRule="auto"/>
              <w:rPr>
                <w:rFonts w:cs="Arial"/>
              </w:rPr>
            </w:pPr>
            <w:r w:rsidRPr="005B5418">
              <w:rPr>
                <w:rFonts w:eastAsia="Arial Unicode MS" w:cs="Arial"/>
                <w:szCs w:val="22"/>
              </w:rPr>
              <w:lastRenderedPageBreak/>
              <w:t>If invoices for goods, for which the entity has accepted title, are not available, does the entity estimate the amount owed? (SFFAS 1, par</w:t>
            </w:r>
            <w:r w:rsidR="007066A8" w:rsidRPr="005B5418">
              <w:rPr>
                <w:rFonts w:eastAsia="Arial Unicode MS" w:cs="Arial"/>
                <w:szCs w:val="22"/>
              </w:rPr>
              <w:t>a</w:t>
            </w:r>
            <w:r w:rsidRPr="005B5418">
              <w:rPr>
                <w:rFonts w:eastAsia="Arial Unicode MS" w:cs="Arial"/>
                <w:szCs w:val="22"/>
              </w:rPr>
              <w:t>. 77)</w:t>
            </w:r>
          </w:p>
        </w:tc>
        <w:tc>
          <w:tcPr>
            <w:tcW w:w="1072" w:type="dxa"/>
          </w:tcPr>
          <w:p w14:paraId="1275E221" w14:textId="77777777" w:rsidR="00C860A6" w:rsidRPr="005B5418" w:rsidRDefault="00C860A6" w:rsidP="008848DA">
            <w:pPr>
              <w:pStyle w:val="Table-Cell-CenterBoldBefore6ptAfter6pt"/>
              <w:spacing w:before="60" w:after="60"/>
              <w:rPr>
                <w:rFonts w:cs="Arial"/>
              </w:rPr>
            </w:pPr>
          </w:p>
        </w:tc>
        <w:tc>
          <w:tcPr>
            <w:tcW w:w="3065" w:type="dxa"/>
          </w:tcPr>
          <w:p w14:paraId="4F70D006" w14:textId="77777777" w:rsidR="00C860A6" w:rsidRPr="005B5418" w:rsidRDefault="00C860A6" w:rsidP="008848DA">
            <w:pPr>
              <w:spacing w:before="60" w:after="60" w:line="240" w:lineRule="auto"/>
              <w:rPr>
                <w:rFonts w:cs="Arial"/>
              </w:rPr>
            </w:pPr>
          </w:p>
        </w:tc>
      </w:tr>
      <w:tr w:rsidR="00C860A6" w:rsidRPr="005B5418" w14:paraId="0F825C80" w14:textId="77777777" w:rsidTr="008848DA">
        <w:trPr>
          <w:trHeight w:val="377"/>
        </w:trPr>
        <w:tc>
          <w:tcPr>
            <w:tcW w:w="5655" w:type="dxa"/>
          </w:tcPr>
          <w:p w14:paraId="52482625" w14:textId="515E000D" w:rsidR="00C860A6" w:rsidRPr="005B5418" w:rsidRDefault="00C860A6" w:rsidP="005425ED">
            <w:pPr>
              <w:pStyle w:val="FAM-Table-outline"/>
              <w:numPr>
                <w:ilvl w:val="0"/>
                <w:numId w:val="1"/>
              </w:numPr>
              <w:spacing w:line="240" w:lineRule="auto"/>
              <w:rPr>
                <w:rFonts w:cs="Arial"/>
              </w:rPr>
            </w:pPr>
            <w:r w:rsidRPr="005B5418">
              <w:rPr>
                <w:rFonts w:eastAsia="Arial Unicode MS" w:cs="Arial"/>
                <w:szCs w:val="22"/>
              </w:rPr>
              <w:t xml:space="preserve">For facilities or equipment </w:t>
            </w:r>
            <w:r w:rsidR="007066A8" w:rsidRPr="005B5418">
              <w:rPr>
                <w:rFonts w:eastAsia="Arial Unicode MS" w:cs="Arial"/>
                <w:szCs w:val="22"/>
              </w:rPr>
              <w:t xml:space="preserve">that contractors or grantees </w:t>
            </w:r>
            <w:r w:rsidRPr="005B5418">
              <w:rPr>
                <w:rFonts w:eastAsia="Arial Unicode MS" w:cs="Arial"/>
                <w:szCs w:val="22"/>
              </w:rPr>
              <w:t>constructed or manufactured according to agreements or contract specifications, are amounts recorded as payable based on an estimate of work completed under the contract or the agreement in accordance with the federal entit</w:t>
            </w:r>
            <w:r w:rsidR="007066A8" w:rsidRPr="005B5418">
              <w:rPr>
                <w:rFonts w:eastAsia="Arial Unicode MS" w:cs="Arial"/>
                <w:szCs w:val="22"/>
              </w:rPr>
              <w:t>y’s</w:t>
            </w:r>
            <w:r w:rsidRPr="005B5418">
              <w:rPr>
                <w:rFonts w:eastAsia="Arial Unicode MS" w:cs="Arial"/>
                <w:szCs w:val="22"/>
              </w:rPr>
              <w:t xml:space="preserve"> engineering and management evaluation of actual performance progress and incurred costs? (SFFAS 1, par</w:t>
            </w:r>
            <w:r w:rsidR="007066A8" w:rsidRPr="005B5418">
              <w:rPr>
                <w:rFonts w:eastAsia="Arial Unicode MS" w:cs="Arial"/>
                <w:szCs w:val="22"/>
              </w:rPr>
              <w:t>as</w:t>
            </w:r>
            <w:r w:rsidRPr="005B5418">
              <w:rPr>
                <w:rFonts w:eastAsia="Arial Unicode MS" w:cs="Arial"/>
                <w:szCs w:val="22"/>
              </w:rPr>
              <w:t>. 78 and 79)</w:t>
            </w:r>
          </w:p>
        </w:tc>
        <w:tc>
          <w:tcPr>
            <w:tcW w:w="1072" w:type="dxa"/>
          </w:tcPr>
          <w:p w14:paraId="34EC2DBD" w14:textId="77777777" w:rsidR="00C860A6" w:rsidRPr="005B5418" w:rsidRDefault="00C860A6" w:rsidP="008848DA">
            <w:pPr>
              <w:pStyle w:val="Table-Cell-CenterBoldBefore6ptAfter6pt"/>
              <w:spacing w:before="60" w:after="60"/>
              <w:rPr>
                <w:rFonts w:cs="Arial"/>
              </w:rPr>
            </w:pPr>
          </w:p>
        </w:tc>
        <w:tc>
          <w:tcPr>
            <w:tcW w:w="3065" w:type="dxa"/>
          </w:tcPr>
          <w:p w14:paraId="63A36C65" w14:textId="77777777" w:rsidR="00C860A6" w:rsidRPr="005B5418" w:rsidRDefault="00C860A6" w:rsidP="008848DA">
            <w:pPr>
              <w:spacing w:before="60" w:after="60" w:line="240" w:lineRule="auto"/>
              <w:rPr>
                <w:rFonts w:cs="Arial"/>
              </w:rPr>
            </w:pPr>
          </w:p>
        </w:tc>
      </w:tr>
      <w:tr w:rsidR="00C860A6" w:rsidRPr="005B5418" w14:paraId="30F6FED9" w14:textId="77777777" w:rsidTr="00452122">
        <w:trPr>
          <w:trHeight w:val="1160"/>
        </w:trPr>
        <w:tc>
          <w:tcPr>
            <w:tcW w:w="5655" w:type="dxa"/>
          </w:tcPr>
          <w:p w14:paraId="17234D01" w14:textId="3AB278BF" w:rsidR="00C860A6" w:rsidRPr="005B5418" w:rsidRDefault="00C860A6" w:rsidP="005425ED">
            <w:pPr>
              <w:pStyle w:val="FAM-Table-outline"/>
              <w:numPr>
                <w:ilvl w:val="0"/>
                <w:numId w:val="1"/>
              </w:numPr>
              <w:spacing w:line="240" w:lineRule="auto"/>
              <w:rPr>
                <w:rFonts w:cs="Arial"/>
              </w:rPr>
            </w:pPr>
            <w:r w:rsidRPr="005B5418">
              <w:rPr>
                <w:rFonts w:eastAsia="Arial Unicode MS" w:cs="Arial"/>
                <w:szCs w:val="22"/>
              </w:rPr>
              <w:t>Is interest incurred but unpaid on borrowed funds, late payments, and refunds recognized as interest payable and reported as a liability at the end of each period? (SFFAS 1, par</w:t>
            </w:r>
            <w:r w:rsidR="00871EF9" w:rsidRPr="005B5418">
              <w:rPr>
                <w:rFonts w:eastAsia="Arial Unicode MS" w:cs="Arial"/>
                <w:szCs w:val="22"/>
              </w:rPr>
              <w:t>a</w:t>
            </w:r>
            <w:r w:rsidRPr="005B5418">
              <w:rPr>
                <w:rFonts w:eastAsia="Arial Unicode MS" w:cs="Arial"/>
                <w:szCs w:val="22"/>
              </w:rPr>
              <w:t>. 81)</w:t>
            </w:r>
          </w:p>
        </w:tc>
        <w:tc>
          <w:tcPr>
            <w:tcW w:w="1072" w:type="dxa"/>
          </w:tcPr>
          <w:p w14:paraId="404DE32C" w14:textId="77777777" w:rsidR="00C860A6" w:rsidRPr="005B5418" w:rsidRDefault="00C860A6" w:rsidP="008848DA">
            <w:pPr>
              <w:pStyle w:val="Table-Cell-CenterBoldBefore6ptAfter6pt"/>
              <w:spacing w:before="60" w:after="60"/>
              <w:rPr>
                <w:rFonts w:cs="Arial"/>
              </w:rPr>
            </w:pPr>
          </w:p>
        </w:tc>
        <w:tc>
          <w:tcPr>
            <w:tcW w:w="3065" w:type="dxa"/>
          </w:tcPr>
          <w:p w14:paraId="0710F797" w14:textId="77777777" w:rsidR="00C860A6" w:rsidRPr="005B5418" w:rsidRDefault="00C860A6" w:rsidP="008848DA">
            <w:pPr>
              <w:spacing w:before="60" w:after="60" w:line="240" w:lineRule="auto"/>
              <w:rPr>
                <w:rFonts w:cs="Arial"/>
              </w:rPr>
            </w:pPr>
          </w:p>
        </w:tc>
      </w:tr>
      <w:tr w:rsidR="00C860A6" w:rsidRPr="005B5418" w14:paraId="5C19F0EA" w14:textId="77777777" w:rsidTr="008848DA">
        <w:trPr>
          <w:trHeight w:val="926"/>
        </w:trPr>
        <w:tc>
          <w:tcPr>
            <w:tcW w:w="5655" w:type="dxa"/>
          </w:tcPr>
          <w:p w14:paraId="0E9B9E01" w14:textId="45D63794" w:rsidR="00C860A6" w:rsidRPr="005B5418" w:rsidRDefault="00C860A6" w:rsidP="005425ED">
            <w:pPr>
              <w:pStyle w:val="FAM-Table-outline"/>
              <w:numPr>
                <w:ilvl w:val="0"/>
                <w:numId w:val="1"/>
              </w:numPr>
              <w:spacing w:line="240" w:lineRule="auto"/>
              <w:rPr>
                <w:rFonts w:cs="Arial"/>
              </w:rPr>
            </w:pPr>
            <w:r w:rsidRPr="005B5418">
              <w:rPr>
                <w:rFonts w:eastAsia="Arial Unicode MS" w:cs="Arial"/>
                <w:szCs w:val="22"/>
              </w:rPr>
              <w:t>Is interest payable to federal entities accounted for separately from interest payable to the public? (SFFAS 1, par</w:t>
            </w:r>
            <w:r w:rsidR="00871EF9" w:rsidRPr="005B5418">
              <w:rPr>
                <w:rFonts w:eastAsia="Arial Unicode MS" w:cs="Arial"/>
                <w:szCs w:val="22"/>
              </w:rPr>
              <w:t>a</w:t>
            </w:r>
            <w:r w:rsidRPr="005B5418">
              <w:rPr>
                <w:rFonts w:eastAsia="Arial Unicode MS" w:cs="Arial"/>
                <w:szCs w:val="22"/>
              </w:rPr>
              <w:t>. 82)</w:t>
            </w:r>
          </w:p>
        </w:tc>
        <w:tc>
          <w:tcPr>
            <w:tcW w:w="1072" w:type="dxa"/>
          </w:tcPr>
          <w:p w14:paraId="030957AC" w14:textId="77777777" w:rsidR="00C860A6" w:rsidRPr="005B5418" w:rsidRDefault="00C860A6" w:rsidP="008848DA">
            <w:pPr>
              <w:pStyle w:val="Table-Cell-CenterBoldBefore6ptAfter6pt"/>
              <w:spacing w:before="60" w:after="60"/>
              <w:rPr>
                <w:rFonts w:cs="Arial"/>
              </w:rPr>
            </w:pPr>
          </w:p>
        </w:tc>
        <w:tc>
          <w:tcPr>
            <w:tcW w:w="3065" w:type="dxa"/>
          </w:tcPr>
          <w:p w14:paraId="187503A8" w14:textId="77777777" w:rsidR="00C860A6" w:rsidRPr="005B5418" w:rsidRDefault="00C860A6" w:rsidP="008848DA">
            <w:pPr>
              <w:spacing w:before="60" w:after="60" w:line="240" w:lineRule="auto"/>
              <w:rPr>
                <w:rFonts w:cs="Arial"/>
              </w:rPr>
            </w:pPr>
          </w:p>
        </w:tc>
      </w:tr>
      <w:tr w:rsidR="00C860A6" w:rsidRPr="005B5418" w14:paraId="4AF19741" w14:textId="77777777" w:rsidTr="008848DA">
        <w:trPr>
          <w:trHeight w:val="1520"/>
        </w:trPr>
        <w:tc>
          <w:tcPr>
            <w:tcW w:w="5655" w:type="dxa"/>
          </w:tcPr>
          <w:p w14:paraId="6A3C2A48" w14:textId="2D03D75C" w:rsidR="00C860A6" w:rsidRPr="005B5418" w:rsidRDefault="00C860A6" w:rsidP="005425ED">
            <w:pPr>
              <w:pStyle w:val="FAM-Table-outline"/>
              <w:numPr>
                <w:ilvl w:val="0"/>
                <w:numId w:val="1"/>
              </w:numPr>
              <w:spacing w:line="240" w:lineRule="auto"/>
              <w:rPr>
                <w:rFonts w:eastAsia="Arial Unicode MS" w:cs="Arial"/>
                <w:szCs w:val="22"/>
              </w:rPr>
            </w:pPr>
            <w:r w:rsidRPr="005B5418">
              <w:rPr>
                <w:rFonts w:eastAsia="Arial Unicode MS" w:cs="Arial"/>
                <w:szCs w:val="22"/>
              </w:rPr>
              <w:t xml:space="preserve">Do liability line items on the face of the </w:t>
            </w:r>
            <w:r w:rsidR="001B5C17" w:rsidRPr="005B5418">
              <w:rPr>
                <w:rFonts w:eastAsia="Arial Unicode MS" w:cs="Arial"/>
                <w:szCs w:val="22"/>
              </w:rPr>
              <w:t>balance sheet</w:t>
            </w:r>
            <w:r w:rsidRPr="005B5418">
              <w:rPr>
                <w:rFonts w:eastAsia="Arial Unicode MS" w:cs="Arial"/>
                <w:szCs w:val="22"/>
              </w:rPr>
              <w:t xml:space="preserve"> aggregate the following</w:t>
            </w:r>
            <w:r w:rsidR="00871EF9" w:rsidRPr="005B5418">
              <w:rPr>
                <w:rFonts w:eastAsia="Arial Unicode MS" w:cs="Arial"/>
                <w:szCs w:val="22"/>
              </w:rPr>
              <w:t>:</w:t>
            </w:r>
            <w:r w:rsidRPr="005B5418">
              <w:rPr>
                <w:rFonts w:eastAsia="Arial Unicode MS" w:cs="Arial"/>
                <w:szCs w:val="22"/>
              </w:rPr>
              <w:t xml:space="preserve"> </w:t>
            </w:r>
          </w:p>
          <w:p w14:paraId="212EEDDD" w14:textId="77777777" w:rsidR="00C860A6" w:rsidRPr="005B5418" w:rsidRDefault="00C860A6" w:rsidP="005425ED">
            <w:pPr>
              <w:pStyle w:val="FAM-Table-outline2"/>
              <w:tabs>
                <w:tab w:val="num" w:pos="1530"/>
              </w:tabs>
              <w:spacing w:line="240" w:lineRule="auto"/>
              <w:ind w:left="1140" w:hanging="443"/>
              <w:rPr>
                <w:rFonts w:eastAsia="Arial Unicode MS"/>
              </w:rPr>
            </w:pPr>
            <w:r w:rsidRPr="005B5418">
              <w:rPr>
                <w:rFonts w:eastAsia="Arial Unicode MS"/>
              </w:rPr>
              <w:t xml:space="preserve">liabilities covered by budgetary resources, </w:t>
            </w:r>
          </w:p>
          <w:p w14:paraId="20680BBB" w14:textId="77777777" w:rsidR="00C860A6" w:rsidRPr="005B5418" w:rsidRDefault="00C860A6" w:rsidP="005425ED">
            <w:pPr>
              <w:pStyle w:val="FAM-Table-outline2"/>
              <w:tabs>
                <w:tab w:val="num" w:pos="1530"/>
              </w:tabs>
              <w:spacing w:line="240" w:lineRule="auto"/>
              <w:ind w:left="1140" w:hanging="443"/>
              <w:rPr>
                <w:rFonts w:eastAsia="Arial Unicode MS"/>
              </w:rPr>
            </w:pPr>
            <w:r w:rsidRPr="005B5418">
              <w:rPr>
                <w:rFonts w:eastAsia="Arial Unicode MS"/>
              </w:rPr>
              <w:t xml:space="preserve">liabilities not covered by budgetary resources, and </w:t>
            </w:r>
          </w:p>
          <w:p w14:paraId="5296D39C" w14:textId="17C7E2E5" w:rsidR="00C860A6" w:rsidRPr="005B5418" w:rsidRDefault="00C860A6" w:rsidP="005425ED">
            <w:pPr>
              <w:pStyle w:val="FAM-Table-outline2"/>
              <w:tabs>
                <w:tab w:val="num" w:pos="1530"/>
              </w:tabs>
              <w:spacing w:line="240" w:lineRule="auto"/>
              <w:ind w:left="1140" w:hanging="443"/>
            </w:pPr>
            <w:r w:rsidRPr="005B5418">
              <w:rPr>
                <w:rFonts w:eastAsia="Arial Unicode MS"/>
              </w:rPr>
              <w:t>liabilities not requiring budgetary resources? (A-136, sections II.3.2.1 &amp; II.3.2.4)</w:t>
            </w:r>
          </w:p>
        </w:tc>
        <w:tc>
          <w:tcPr>
            <w:tcW w:w="1072" w:type="dxa"/>
          </w:tcPr>
          <w:p w14:paraId="7F40D6DE" w14:textId="77777777" w:rsidR="00C860A6" w:rsidRPr="005B5418" w:rsidRDefault="00C860A6" w:rsidP="008848DA">
            <w:pPr>
              <w:pStyle w:val="Table-Cell-CenterBoldBefore6ptAfter6pt"/>
              <w:spacing w:before="60" w:after="60"/>
              <w:rPr>
                <w:rFonts w:cs="Arial"/>
              </w:rPr>
            </w:pPr>
          </w:p>
        </w:tc>
        <w:tc>
          <w:tcPr>
            <w:tcW w:w="3065" w:type="dxa"/>
          </w:tcPr>
          <w:p w14:paraId="7580029F" w14:textId="77777777" w:rsidR="00C860A6" w:rsidRPr="005B5418" w:rsidRDefault="00C860A6" w:rsidP="008848DA">
            <w:pPr>
              <w:spacing w:before="60" w:after="60" w:line="240" w:lineRule="auto"/>
              <w:rPr>
                <w:rFonts w:cs="Arial"/>
              </w:rPr>
            </w:pPr>
          </w:p>
        </w:tc>
      </w:tr>
      <w:tr w:rsidR="00C860A6" w:rsidRPr="005B5418" w14:paraId="1B3C3850" w14:textId="77777777" w:rsidTr="008848DA">
        <w:trPr>
          <w:trHeight w:val="1232"/>
        </w:trPr>
        <w:tc>
          <w:tcPr>
            <w:tcW w:w="5655" w:type="dxa"/>
          </w:tcPr>
          <w:p w14:paraId="31447E71" w14:textId="1687F3E0" w:rsidR="00C860A6" w:rsidRPr="005B5418" w:rsidRDefault="00C860A6" w:rsidP="005425ED">
            <w:pPr>
              <w:pStyle w:val="FAM-Table-outline"/>
              <w:numPr>
                <w:ilvl w:val="0"/>
                <w:numId w:val="1"/>
              </w:numPr>
              <w:spacing w:line="240" w:lineRule="auto"/>
              <w:rPr>
                <w:rFonts w:cs="Arial"/>
              </w:rPr>
            </w:pPr>
            <w:r w:rsidRPr="005B5418">
              <w:rPr>
                <w:rFonts w:eastAsia="Arial Unicode MS" w:cs="Arial"/>
                <w:szCs w:val="22"/>
              </w:rPr>
              <w:t>Is interest payable incurred but unpaid on liabilities reported as a component of the appropriate liability accounts? (A-136, section II.3.2.4)</w:t>
            </w:r>
          </w:p>
        </w:tc>
        <w:tc>
          <w:tcPr>
            <w:tcW w:w="1072" w:type="dxa"/>
          </w:tcPr>
          <w:p w14:paraId="2BB3891F" w14:textId="77777777" w:rsidR="00C860A6" w:rsidRPr="005B5418" w:rsidRDefault="00C860A6" w:rsidP="008848DA">
            <w:pPr>
              <w:pStyle w:val="Table-Cell-CenterBoldBefore6ptAfter6pt"/>
              <w:spacing w:before="60" w:after="60"/>
              <w:rPr>
                <w:rFonts w:cs="Arial"/>
              </w:rPr>
            </w:pPr>
          </w:p>
        </w:tc>
        <w:tc>
          <w:tcPr>
            <w:tcW w:w="3065" w:type="dxa"/>
          </w:tcPr>
          <w:p w14:paraId="21A03C76" w14:textId="77777777" w:rsidR="00C860A6" w:rsidRPr="005B5418" w:rsidRDefault="00C860A6" w:rsidP="008848DA">
            <w:pPr>
              <w:spacing w:before="60" w:after="60" w:line="240" w:lineRule="auto"/>
              <w:rPr>
                <w:rFonts w:cs="Arial"/>
              </w:rPr>
            </w:pPr>
          </w:p>
        </w:tc>
      </w:tr>
      <w:tr w:rsidR="00C860A6" w:rsidRPr="005B5418" w14:paraId="3BB1305C" w14:textId="77777777" w:rsidTr="008848DA">
        <w:trPr>
          <w:trHeight w:val="1277"/>
        </w:trPr>
        <w:tc>
          <w:tcPr>
            <w:tcW w:w="5655" w:type="dxa"/>
          </w:tcPr>
          <w:p w14:paraId="70490670" w14:textId="595C47F8" w:rsidR="00C860A6" w:rsidRPr="005B5418" w:rsidRDefault="00C860A6" w:rsidP="005425ED">
            <w:pPr>
              <w:pStyle w:val="FAM-Table-outline"/>
              <w:numPr>
                <w:ilvl w:val="0"/>
                <w:numId w:val="1"/>
              </w:numPr>
              <w:spacing w:line="240" w:lineRule="auto"/>
            </w:pPr>
            <w:r w:rsidRPr="005B5418">
              <w:rPr>
                <w:rFonts w:eastAsia="Arial Unicode MS" w:cs="Arial"/>
                <w:szCs w:val="22"/>
              </w:rPr>
              <w:t>Do liabilities for loan guarantees for post-1991 reflect the present value of estimated net cash flows to be paid as a result of loan guarantees? (A-136, section II 3.2.4)</w:t>
            </w:r>
          </w:p>
        </w:tc>
        <w:tc>
          <w:tcPr>
            <w:tcW w:w="1072" w:type="dxa"/>
          </w:tcPr>
          <w:p w14:paraId="3C88EB6D" w14:textId="77777777" w:rsidR="00C860A6" w:rsidRPr="005B5418" w:rsidRDefault="00C860A6" w:rsidP="008848DA">
            <w:pPr>
              <w:pStyle w:val="Table-Cell-CenterBoldBefore6ptAfter6pt"/>
              <w:spacing w:before="60" w:after="60"/>
              <w:rPr>
                <w:rFonts w:cs="Arial"/>
              </w:rPr>
            </w:pPr>
          </w:p>
        </w:tc>
        <w:tc>
          <w:tcPr>
            <w:tcW w:w="3065" w:type="dxa"/>
          </w:tcPr>
          <w:p w14:paraId="6BBC8E6F" w14:textId="77777777" w:rsidR="00C860A6" w:rsidRPr="005B5418" w:rsidRDefault="00C860A6" w:rsidP="008848DA">
            <w:pPr>
              <w:spacing w:before="60" w:after="60" w:line="240" w:lineRule="auto"/>
              <w:rPr>
                <w:rFonts w:cs="Arial"/>
              </w:rPr>
            </w:pPr>
          </w:p>
        </w:tc>
      </w:tr>
      <w:tr w:rsidR="00C860A6" w:rsidRPr="005B5418" w14:paraId="5A3EB319" w14:textId="77777777" w:rsidTr="008848DA">
        <w:trPr>
          <w:trHeight w:val="1250"/>
        </w:trPr>
        <w:tc>
          <w:tcPr>
            <w:tcW w:w="5655" w:type="dxa"/>
          </w:tcPr>
          <w:p w14:paraId="179912F7" w14:textId="00F21FB3" w:rsidR="00C860A6" w:rsidRPr="005B5418" w:rsidRDefault="00C860A6" w:rsidP="005425ED">
            <w:pPr>
              <w:pStyle w:val="FAM-Table-outline"/>
              <w:numPr>
                <w:ilvl w:val="0"/>
                <w:numId w:val="1"/>
              </w:numPr>
              <w:spacing w:line="240" w:lineRule="auto"/>
            </w:pPr>
            <w:r w:rsidRPr="005B5418">
              <w:rPr>
                <w:rFonts w:eastAsia="Arial Unicode MS" w:cs="Arial"/>
                <w:szCs w:val="22"/>
              </w:rPr>
              <w:t>Do liabilities for loan guarantees for pre-1992 guarantees reflect the amount of known and estimated losses payable? (A-136, section II.3.2.4)</w:t>
            </w:r>
          </w:p>
        </w:tc>
        <w:tc>
          <w:tcPr>
            <w:tcW w:w="1072" w:type="dxa"/>
          </w:tcPr>
          <w:p w14:paraId="66794387" w14:textId="77777777" w:rsidR="00C860A6" w:rsidRPr="005B5418" w:rsidRDefault="00C860A6" w:rsidP="008848DA">
            <w:pPr>
              <w:pStyle w:val="Table-Cell-CenterBoldBefore6ptAfter6pt"/>
              <w:spacing w:before="60" w:after="60"/>
              <w:rPr>
                <w:rFonts w:cs="Arial"/>
              </w:rPr>
            </w:pPr>
          </w:p>
        </w:tc>
        <w:tc>
          <w:tcPr>
            <w:tcW w:w="3065" w:type="dxa"/>
          </w:tcPr>
          <w:p w14:paraId="55207BEA" w14:textId="77777777" w:rsidR="00C860A6" w:rsidRPr="005B5418" w:rsidRDefault="00C860A6" w:rsidP="008848DA">
            <w:pPr>
              <w:spacing w:before="60" w:after="60" w:line="240" w:lineRule="auto"/>
              <w:rPr>
                <w:rFonts w:cs="Arial"/>
              </w:rPr>
            </w:pPr>
          </w:p>
        </w:tc>
      </w:tr>
      <w:tr w:rsidR="00C860A6" w:rsidRPr="005B5418" w14:paraId="36B1BB36" w14:textId="77777777" w:rsidTr="008848DA">
        <w:trPr>
          <w:trHeight w:val="1253"/>
        </w:trPr>
        <w:tc>
          <w:tcPr>
            <w:tcW w:w="5655" w:type="dxa"/>
          </w:tcPr>
          <w:p w14:paraId="32699FEC" w14:textId="362A0A0C" w:rsidR="00C860A6" w:rsidRPr="005B5418" w:rsidRDefault="00C860A6" w:rsidP="005425ED">
            <w:pPr>
              <w:pStyle w:val="FAM-Table-outline"/>
              <w:numPr>
                <w:ilvl w:val="0"/>
                <w:numId w:val="1"/>
              </w:numPr>
              <w:spacing w:line="240" w:lineRule="auto"/>
            </w:pPr>
            <w:r w:rsidRPr="005B5418">
              <w:rPr>
                <w:rFonts w:eastAsia="Arial Unicode MS" w:cs="Arial"/>
                <w:szCs w:val="22"/>
              </w:rPr>
              <w:lastRenderedPageBreak/>
              <w:t xml:space="preserve">If the </w:t>
            </w:r>
            <w:r w:rsidR="00DD63AD" w:rsidRPr="005B5418">
              <w:rPr>
                <w:rFonts w:eastAsia="Arial Unicode MS" w:cs="Arial"/>
                <w:szCs w:val="22"/>
              </w:rPr>
              <w:t>net</w:t>
            </w:r>
            <w:r w:rsidRPr="005B5418">
              <w:rPr>
                <w:rFonts w:eastAsia="Arial Unicode MS" w:cs="Arial"/>
                <w:szCs w:val="22"/>
              </w:rPr>
              <w:t xml:space="preserve"> loan guarantee liability for all credit programs of a reporting entity is negative, is the amount reported as an asset? (A-136, section II.3.2.4)</w:t>
            </w:r>
          </w:p>
        </w:tc>
        <w:tc>
          <w:tcPr>
            <w:tcW w:w="1072" w:type="dxa"/>
          </w:tcPr>
          <w:p w14:paraId="1928F269" w14:textId="77777777" w:rsidR="00C860A6" w:rsidRPr="005B5418" w:rsidRDefault="00C860A6" w:rsidP="008848DA">
            <w:pPr>
              <w:pStyle w:val="Table-Cell-CenterBoldBefore6ptAfter6pt"/>
              <w:spacing w:before="60" w:after="60"/>
              <w:rPr>
                <w:rFonts w:cs="Arial"/>
              </w:rPr>
            </w:pPr>
          </w:p>
        </w:tc>
        <w:tc>
          <w:tcPr>
            <w:tcW w:w="3065" w:type="dxa"/>
          </w:tcPr>
          <w:p w14:paraId="52E8592B" w14:textId="77777777" w:rsidR="00C860A6" w:rsidRPr="005B5418" w:rsidRDefault="00C860A6" w:rsidP="008848DA">
            <w:pPr>
              <w:spacing w:before="60" w:after="60" w:line="240" w:lineRule="auto"/>
              <w:rPr>
                <w:rFonts w:cs="Arial"/>
              </w:rPr>
            </w:pPr>
          </w:p>
        </w:tc>
      </w:tr>
      <w:tr w:rsidR="00C860A6" w:rsidRPr="005B5418" w14:paraId="56F41FC4" w14:textId="77777777" w:rsidTr="008848DA">
        <w:trPr>
          <w:trHeight w:val="2160"/>
        </w:trPr>
        <w:tc>
          <w:tcPr>
            <w:tcW w:w="5655" w:type="dxa"/>
          </w:tcPr>
          <w:p w14:paraId="5A79A64E" w14:textId="77777777" w:rsidR="00BC4C5B" w:rsidRPr="005B5418" w:rsidRDefault="00C860A6" w:rsidP="005425ED">
            <w:pPr>
              <w:pStyle w:val="FAM-Table-outline"/>
              <w:numPr>
                <w:ilvl w:val="0"/>
                <w:numId w:val="1"/>
              </w:numPr>
              <w:spacing w:line="240" w:lineRule="auto"/>
              <w:rPr>
                <w:rFonts w:eastAsia="Arial Unicode MS" w:cs="Arial"/>
                <w:szCs w:val="22"/>
              </w:rPr>
            </w:pPr>
            <w:r w:rsidRPr="005B5418">
              <w:rPr>
                <w:rFonts w:eastAsia="Arial Unicode MS" w:cs="Arial"/>
                <w:szCs w:val="22"/>
              </w:rPr>
              <w:t xml:space="preserve">Do liabilities for federal employee </w:t>
            </w:r>
            <w:r w:rsidR="00BC4C5B" w:rsidRPr="005B5418">
              <w:rPr>
                <w:rFonts w:eastAsia="Arial Unicode MS" w:cs="Arial"/>
                <w:szCs w:val="22"/>
              </w:rPr>
              <w:t>salary, leave, and benefits payable include the following:</w:t>
            </w:r>
          </w:p>
          <w:p w14:paraId="6ED6E431" w14:textId="0769B460" w:rsidR="00BC4C5B" w:rsidRPr="005B5418" w:rsidRDefault="00BC4C5B" w:rsidP="005425ED">
            <w:pPr>
              <w:pStyle w:val="FAM-Table-outline2"/>
              <w:tabs>
                <w:tab w:val="num" w:pos="1530"/>
              </w:tabs>
              <w:spacing w:line="240" w:lineRule="auto"/>
              <w:ind w:left="1140" w:hanging="443"/>
              <w:rPr>
                <w:rFonts w:eastAsia="Arial Unicode MS"/>
              </w:rPr>
            </w:pPr>
            <w:r w:rsidRPr="005B5418">
              <w:rPr>
                <w:rFonts w:eastAsia="Arial Unicode MS"/>
              </w:rPr>
              <w:t>salaries</w:t>
            </w:r>
            <w:r w:rsidR="00297A55" w:rsidRPr="005B5418">
              <w:rPr>
                <w:rFonts w:eastAsia="Arial Unicode MS"/>
              </w:rPr>
              <w:t>;</w:t>
            </w:r>
          </w:p>
          <w:p w14:paraId="69112308" w14:textId="7D397314" w:rsidR="00BC4C5B" w:rsidRPr="005B5418" w:rsidRDefault="00BC4C5B" w:rsidP="005425ED">
            <w:pPr>
              <w:pStyle w:val="FAM-Table-outline2"/>
              <w:tabs>
                <w:tab w:val="num" w:pos="1530"/>
              </w:tabs>
              <w:spacing w:line="240" w:lineRule="auto"/>
              <w:ind w:left="1140" w:hanging="443"/>
              <w:rPr>
                <w:rFonts w:eastAsia="Arial Unicode MS"/>
              </w:rPr>
            </w:pPr>
            <w:r w:rsidRPr="005B5418">
              <w:rPr>
                <w:rFonts w:eastAsia="Arial Unicode MS"/>
              </w:rPr>
              <w:t>wages</w:t>
            </w:r>
            <w:r w:rsidR="00297A55" w:rsidRPr="005B5418">
              <w:rPr>
                <w:rFonts w:eastAsia="Arial Unicode MS"/>
              </w:rPr>
              <w:t>;</w:t>
            </w:r>
          </w:p>
          <w:p w14:paraId="22628779" w14:textId="2000CCEA" w:rsidR="00BC4C5B" w:rsidRPr="005B5418" w:rsidRDefault="00BC4C5B" w:rsidP="005425ED">
            <w:pPr>
              <w:pStyle w:val="FAM-Table-outline2"/>
              <w:tabs>
                <w:tab w:val="num" w:pos="1530"/>
              </w:tabs>
              <w:spacing w:line="240" w:lineRule="auto"/>
              <w:ind w:left="1140" w:hanging="443"/>
              <w:rPr>
                <w:rFonts w:eastAsia="Arial Unicode MS"/>
              </w:rPr>
            </w:pPr>
            <w:r w:rsidRPr="005B5418">
              <w:rPr>
                <w:rFonts w:eastAsia="Arial Unicode MS"/>
              </w:rPr>
              <w:t>funded and unfunded annual leave</w:t>
            </w:r>
            <w:r w:rsidR="00297A55" w:rsidRPr="005B5418">
              <w:rPr>
                <w:rFonts w:eastAsia="Arial Unicode MS"/>
              </w:rPr>
              <w:t>;</w:t>
            </w:r>
          </w:p>
          <w:p w14:paraId="6AE9B94A" w14:textId="59C1F038" w:rsidR="00BC4C5B" w:rsidRPr="005B5418" w:rsidRDefault="00BC4C5B" w:rsidP="005425ED">
            <w:pPr>
              <w:pStyle w:val="FAM-Table-outline2"/>
              <w:tabs>
                <w:tab w:val="num" w:pos="1530"/>
              </w:tabs>
              <w:spacing w:line="240" w:lineRule="auto"/>
              <w:ind w:left="1140" w:hanging="443"/>
              <w:rPr>
                <w:rFonts w:eastAsia="Arial Unicode MS"/>
              </w:rPr>
            </w:pPr>
            <w:r w:rsidRPr="005B5418">
              <w:rPr>
                <w:rFonts w:eastAsia="Arial Unicode MS"/>
              </w:rPr>
              <w:t>sick leave</w:t>
            </w:r>
            <w:r w:rsidR="00297A55" w:rsidRPr="005B5418">
              <w:rPr>
                <w:rFonts w:eastAsia="Arial Unicode MS"/>
              </w:rPr>
              <w:t>;</w:t>
            </w:r>
          </w:p>
          <w:p w14:paraId="734565DD" w14:textId="22299D3E" w:rsidR="00BC4C5B" w:rsidRPr="005B5418" w:rsidRDefault="00BC4C5B" w:rsidP="005425ED">
            <w:pPr>
              <w:pStyle w:val="FAM-Table-outline2"/>
              <w:tabs>
                <w:tab w:val="num" w:pos="1530"/>
              </w:tabs>
              <w:spacing w:line="240" w:lineRule="auto"/>
              <w:ind w:left="1140" w:hanging="443"/>
              <w:rPr>
                <w:rFonts w:eastAsia="Arial Unicode MS"/>
              </w:rPr>
            </w:pPr>
            <w:r w:rsidRPr="005B5418">
              <w:rPr>
                <w:rFonts w:eastAsia="Arial Unicode MS"/>
              </w:rPr>
              <w:t xml:space="preserve">employer portion of payroll taxes and benefit contributions </w:t>
            </w:r>
            <w:r w:rsidR="005E4479" w:rsidRPr="005B5418">
              <w:rPr>
                <w:rFonts w:eastAsia="Arial Unicode MS"/>
              </w:rPr>
              <w:t>(e.g., employer contributions to the Thrift Savings Plan)</w:t>
            </w:r>
            <w:r w:rsidR="00AA5C33" w:rsidRPr="005B5418">
              <w:rPr>
                <w:rFonts w:eastAsia="Arial Unicode MS"/>
              </w:rPr>
              <w:t xml:space="preserve"> that </w:t>
            </w:r>
            <w:r w:rsidR="00DC0055">
              <w:rPr>
                <w:rFonts w:eastAsia="Arial Unicode MS"/>
              </w:rPr>
              <w:t>are</w:t>
            </w:r>
            <w:r w:rsidR="00AA5C33" w:rsidRPr="005B5418">
              <w:rPr>
                <w:rFonts w:eastAsia="Arial Unicode MS"/>
              </w:rPr>
              <w:t xml:space="preserve"> not intragovernmental </w:t>
            </w:r>
            <w:r w:rsidR="00297A55" w:rsidRPr="005B5418">
              <w:rPr>
                <w:rFonts w:eastAsia="Arial Unicode MS"/>
              </w:rPr>
              <w:t>;</w:t>
            </w:r>
          </w:p>
          <w:p w14:paraId="73F2AB9D" w14:textId="31821204" w:rsidR="00BC4C5B" w:rsidRPr="005B5418" w:rsidRDefault="00BC4C5B" w:rsidP="005425ED">
            <w:pPr>
              <w:pStyle w:val="FAM-Table-outline2"/>
              <w:tabs>
                <w:tab w:val="num" w:pos="1530"/>
              </w:tabs>
              <w:spacing w:line="240" w:lineRule="auto"/>
              <w:ind w:left="1140" w:hanging="443"/>
              <w:rPr>
                <w:rFonts w:eastAsia="Arial Unicode MS"/>
              </w:rPr>
            </w:pPr>
            <w:r w:rsidRPr="005B5418">
              <w:rPr>
                <w:rFonts w:eastAsia="Arial Unicode MS"/>
              </w:rPr>
              <w:t xml:space="preserve">employer share of </w:t>
            </w:r>
            <w:r w:rsidR="005E4479" w:rsidRPr="005B5418">
              <w:rPr>
                <w:rFonts w:eastAsia="Arial Unicode MS"/>
              </w:rPr>
              <w:t>benefit premium payables</w:t>
            </w:r>
            <w:r w:rsidRPr="005B5418">
              <w:rPr>
                <w:rFonts w:eastAsia="Arial Unicode MS"/>
              </w:rPr>
              <w:t xml:space="preserve"> due to benefit carriers</w:t>
            </w:r>
            <w:r w:rsidR="00297A55" w:rsidRPr="005B5418">
              <w:rPr>
                <w:rFonts w:eastAsia="Arial Unicode MS"/>
              </w:rPr>
              <w:t>;</w:t>
            </w:r>
            <w:r w:rsidR="00FB5648" w:rsidRPr="005B5418">
              <w:rPr>
                <w:rFonts w:eastAsia="Arial Unicode MS"/>
              </w:rPr>
              <w:t xml:space="preserve"> and</w:t>
            </w:r>
          </w:p>
          <w:p w14:paraId="101FF09F" w14:textId="2596A4A9" w:rsidR="00BC4C5B" w:rsidRPr="005B5418" w:rsidRDefault="00BC4C5B" w:rsidP="005425ED">
            <w:pPr>
              <w:pStyle w:val="FAM-Table-outline2"/>
              <w:tabs>
                <w:tab w:val="num" w:pos="1530"/>
              </w:tabs>
              <w:spacing w:line="240" w:lineRule="auto"/>
              <w:ind w:left="1140" w:hanging="443"/>
              <w:rPr>
                <w:rFonts w:eastAsia="Arial Unicode MS"/>
              </w:rPr>
            </w:pPr>
            <w:r w:rsidRPr="005B5418">
              <w:rPr>
                <w:rFonts w:eastAsia="Arial Unicode MS"/>
              </w:rPr>
              <w:t>employment-related liabilities not included in pension, post-employment, and veterans benefits payable?</w:t>
            </w:r>
          </w:p>
          <w:p w14:paraId="5B67D25E" w14:textId="34DEE499" w:rsidR="00C860A6" w:rsidRPr="005B5418" w:rsidRDefault="00C860A6" w:rsidP="008E261A">
            <w:pPr>
              <w:pStyle w:val="FAM-Table-outline"/>
              <w:numPr>
                <w:ilvl w:val="0"/>
                <w:numId w:val="0"/>
              </w:numPr>
              <w:spacing w:line="240" w:lineRule="auto"/>
              <w:ind w:left="666"/>
            </w:pPr>
            <w:r w:rsidRPr="005B5418">
              <w:t>(A-136, section II.3.2.4)</w:t>
            </w:r>
          </w:p>
        </w:tc>
        <w:tc>
          <w:tcPr>
            <w:tcW w:w="1072" w:type="dxa"/>
          </w:tcPr>
          <w:p w14:paraId="38FE527D" w14:textId="77777777" w:rsidR="00C860A6" w:rsidRPr="005B5418" w:rsidRDefault="00C860A6" w:rsidP="008848DA">
            <w:pPr>
              <w:pStyle w:val="Table-Cell-CenterBoldBefore6ptAfter6pt"/>
              <w:spacing w:before="60" w:after="60"/>
              <w:rPr>
                <w:rFonts w:cs="Arial"/>
              </w:rPr>
            </w:pPr>
          </w:p>
        </w:tc>
        <w:tc>
          <w:tcPr>
            <w:tcW w:w="3065" w:type="dxa"/>
          </w:tcPr>
          <w:p w14:paraId="0FAF664C" w14:textId="77777777" w:rsidR="00C860A6" w:rsidRPr="005B5418" w:rsidRDefault="00C860A6" w:rsidP="008848DA">
            <w:pPr>
              <w:spacing w:before="60" w:after="60" w:line="240" w:lineRule="auto"/>
              <w:rPr>
                <w:rFonts w:cs="Arial"/>
              </w:rPr>
            </w:pPr>
          </w:p>
        </w:tc>
      </w:tr>
      <w:tr w:rsidR="00BC4C5B" w:rsidRPr="005B5418" w14:paraId="0F8B2A22" w14:textId="77777777" w:rsidTr="008848DA">
        <w:trPr>
          <w:trHeight w:val="2160"/>
        </w:trPr>
        <w:tc>
          <w:tcPr>
            <w:tcW w:w="5655" w:type="dxa"/>
          </w:tcPr>
          <w:p w14:paraId="18DE4B23" w14:textId="6FCA63F2" w:rsidR="00BC4C5B" w:rsidRPr="005B5418" w:rsidRDefault="00BC4C5B" w:rsidP="005425ED">
            <w:pPr>
              <w:pStyle w:val="FAM-Table-outline"/>
              <w:numPr>
                <w:ilvl w:val="0"/>
                <w:numId w:val="1"/>
              </w:numPr>
              <w:spacing w:line="240" w:lineRule="auto"/>
              <w:rPr>
                <w:rFonts w:eastAsia="Arial Unicode MS" w:cs="Arial"/>
                <w:szCs w:val="22"/>
              </w:rPr>
            </w:pPr>
            <w:r w:rsidRPr="005B5418">
              <w:rPr>
                <w:rFonts w:eastAsia="Arial Unicode MS" w:cs="Arial"/>
                <w:szCs w:val="22"/>
              </w:rPr>
              <w:t>Do liabilities for pension, post-employment, and veterans benefits payable include the following:</w:t>
            </w:r>
          </w:p>
          <w:p w14:paraId="097C3FC8" w14:textId="744BCC48" w:rsidR="00BC4C5B" w:rsidRPr="005B5418" w:rsidRDefault="00297A55" w:rsidP="005425ED">
            <w:pPr>
              <w:pStyle w:val="FAM-Table-outline2"/>
              <w:tabs>
                <w:tab w:val="num" w:pos="1530"/>
              </w:tabs>
              <w:spacing w:line="240" w:lineRule="auto"/>
              <w:ind w:left="1140" w:hanging="443"/>
              <w:rPr>
                <w:rFonts w:eastAsia="Arial Unicode MS"/>
              </w:rPr>
            </w:pPr>
            <w:r w:rsidRPr="005B5418">
              <w:rPr>
                <w:rFonts w:eastAsia="Arial Unicode MS"/>
              </w:rPr>
              <w:t>p</w:t>
            </w:r>
            <w:r w:rsidR="00244DE4" w:rsidRPr="005B5418">
              <w:rPr>
                <w:rFonts w:eastAsia="Arial Unicode MS"/>
              </w:rPr>
              <w:t>ensions</w:t>
            </w:r>
            <w:r w:rsidRPr="005B5418">
              <w:rPr>
                <w:rFonts w:eastAsia="Arial Unicode MS"/>
              </w:rPr>
              <w:t>;</w:t>
            </w:r>
          </w:p>
          <w:p w14:paraId="01873B63" w14:textId="73BD6A76" w:rsidR="00244DE4" w:rsidRPr="005B5418" w:rsidRDefault="00C46736" w:rsidP="005425ED">
            <w:pPr>
              <w:pStyle w:val="FAM-Table-outline2"/>
              <w:tabs>
                <w:tab w:val="num" w:pos="1530"/>
              </w:tabs>
              <w:spacing w:line="240" w:lineRule="auto"/>
              <w:ind w:left="1140" w:hanging="443"/>
              <w:rPr>
                <w:rFonts w:eastAsia="Arial Unicode MS"/>
              </w:rPr>
            </w:pPr>
            <w:r w:rsidRPr="005B5418">
              <w:rPr>
                <w:rFonts w:eastAsia="Arial Unicode MS"/>
              </w:rPr>
              <w:t>post-employment benefits (including benefits, including other retirement benefits (ORB) and other post-employment benefits (OPEB))</w:t>
            </w:r>
            <w:r w:rsidR="00297A55" w:rsidRPr="005B5418">
              <w:rPr>
                <w:rFonts w:eastAsia="Arial Unicode MS"/>
              </w:rPr>
              <w:t>;</w:t>
            </w:r>
          </w:p>
          <w:p w14:paraId="345ED63A" w14:textId="4BD0E342" w:rsidR="004817C9" w:rsidRPr="005B5418" w:rsidRDefault="00244DE4" w:rsidP="005425ED">
            <w:pPr>
              <w:pStyle w:val="FAM-Table-outline2"/>
              <w:tabs>
                <w:tab w:val="num" w:pos="1530"/>
              </w:tabs>
              <w:spacing w:line="240" w:lineRule="auto"/>
              <w:ind w:left="1140" w:hanging="443"/>
              <w:rPr>
                <w:rFonts w:eastAsia="Arial Unicode MS"/>
              </w:rPr>
            </w:pPr>
            <w:r w:rsidRPr="005B5418">
              <w:rPr>
                <w:rFonts w:eastAsia="Arial Unicode MS"/>
              </w:rPr>
              <w:t xml:space="preserve">veterans </w:t>
            </w:r>
            <w:r w:rsidR="005E6705" w:rsidRPr="005B5418">
              <w:rPr>
                <w:rFonts w:eastAsia="Arial Unicode MS"/>
              </w:rPr>
              <w:t>benefits</w:t>
            </w:r>
            <w:r w:rsidRPr="005B5418">
              <w:rPr>
                <w:rFonts w:eastAsia="Arial Unicode MS"/>
              </w:rPr>
              <w:t xml:space="preserve"> (including veterans compensation, burial, education, and training benefits)</w:t>
            </w:r>
            <w:r w:rsidR="00297A55" w:rsidRPr="005B5418">
              <w:rPr>
                <w:rFonts w:eastAsia="Arial Unicode MS"/>
              </w:rPr>
              <w:t>;</w:t>
            </w:r>
          </w:p>
          <w:p w14:paraId="0096F681" w14:textId="27AB4A52" w:rsidR="00244DE4" w:rsidRPr="005B5418" w:rsidRDefault="004817C9" w:rsidP="005425ED">
            <w:pPr>
              <w:pStyle w:val="FAM-Table-outline2"/>
              <w:tabs>
                <w:tab w:val="num" w:pos="1530"/>
              </w:tabs>
              <w:spacing w:line="240" w:lineRule="auto"/>
              <w:ind w:left="1140" w:hanging="443"/>
              <w:rPr>
                <w:rFonts w:eastAsia="Arial Unicode MS"/>
              </w:rPr>
            </w:pPr>
            <w:r w:rsidRPr="005B5418">
              <w:rPr>
                <w:rFonts w:eastAsia="Arial Unicode MS"/>
              </w:rPr>
              <w:t>life insurance actuarial liability</w:t>
            </w:r>
            <w:r w:rsidR="00297A55" w:rsidRPr="005B5418">
              <w:rPr>
                <w:rFonts w:eastAsia="Arial Unicode MS"/>
              </w:rPr>
              <w:t xml:space="preserve">; </w:t>
            </w:r>
            <w:r w:rsidR="00244DE4" w:rsidRPr="005B5418">
              <w:rPr>
                <w:rFonts w:eastAsia="Arial Unicode MS"/>
              </w:rPr>
              <w:t xml:space="preserve">and </w:t>
            </w:r>
          </w:p>
          <w:p w14:paraId="55B97E7C" w14:textId="714F027A" w:rsidR="00244DE4" w:rsidRPr="005B5418" w:rsidRDefault="00244DE4" w:rsidP="005425ED">
            <w:pPr>
              <w:pStyle w:val="FAM-Table-outline2"/>
              <w:tabs>
                <w:tab w:val="num" w:pos="1530"/>
              </w:tabs>
              <w:spacing w:line="240" w:lineRule="auto"/>
              <w:ind w:left="1140" w:hanging="443"/>
            </w:pPr>
            <w:r w:rsidRPr="005B5418">
              <w:rPr>
                <w:rFonts w:eastAsia="Arial Unicode MS"/>
              </w:rPr>
              <w:t>the Federal Employees’ Compensation Act actuarial liability? (A-136, section II.3.2.4)</w:t>
            </w:r>
          </w:p>
        </w:tc>
        <w:tc>
          <w:tcPr>
            <w:tcW w:w="1072" w:type="dxa"/>
          </w:tcPr>
          <w:p w14:paraId="48362CA5" w14:textId="77777777" w:rsidR="00BC4C5B" w:rsidRPr="005B5418" w:rsidRDefault="00BC4C5B" w:rsidP="008848DA">
            <w:pPr>
              <w:pStyle w:val="Table-Cell-CenterBoldBefore6ptAfter6pt"/>
              <w:spacing w:before="60" w:after="60"/>
              <w:rPr>
                <w:rFonts w:cs="Arial"/>
              </w:rPr>
            </w:pPr>
          </w:p>
        </w:tc>
        <w:tc>
          <w:tcPr>
            <w:tcW w:w="3065" w:type="dxa"/>
          </w:tcPr>
          <w:p w14:paraId="615B885C" w14:textId="77777777" w:rsidR="00BC4C5B" w:rsidRPr="005B5418" w:rsidRDefault="00BC4C5B" w:rsidP="008848DA">
            <w:pPr>
              <w:spacing w:before="60" w:after="60" w:line="240" w:lineRule="auto"/>
              <w:rPr>
                <w:rFonts w:cs="Arial"/>
              </w:rPr>
            </w:pPr>
          </w:p>
        </w:tc>
      </w:tr>
      <w:tr w:rsidR="00735A44" w:rsidRPr="005B5418" w14:paraId="4CCBE4C1" w14:textId="77777777" w:rsidTr="00BA2247">
        <w:trPr>
          <w:trHeight w:val="1790"/>
        </w:trPr>
        <w:tc>
          <w:tcPr>
            <w:tcW w:w="9792" w:type="dxa"/>
            <w:gridSpan w:val="3"/>
          </w:tcPr>
          <w:p w14:paraId="3B9135DB" w14:textId="649975E0" w:rsidR="00735A44" w:rsidRPr="005B5418" w:rsidRDefault="00FC3CB1" w:rsidP="009817B2">
            <w:pPr>
              <w:pStyle w:val="Table-Cell-Center"/>
              <w:spacing w:before="60" w:after="60" w:line="240" w:lineRule="auto"/>
              <w:jc w:val="left"/>
              <w:rPr>
                <w:rFonts w:cs="Arial"/>
              </w:rPr>
            </w:pPr>
            <w:r w:rsidRPr="005B5418">
              <w:rPr>
                <w:sz w:val="22"/>
                <w:szCs w:val="22"/>
              </w:rPr>
              <w:t xml:space="preserve">Significant entities must show separately, on </w:t>
            </w:r>
            <w:r w:rsidR="004904F4" w:rsidRPr="005B5418">
              <w:rPr>
                <w:sz w:val="22"/>
                <w:szCs w:val="22"/>
              </w:rPr>
              <w:t xml:space="preserve">a </w:t>
            </w:r>
            <w:r w:rsidRPr="005B5418">
              <w:rPr>
                <w:sz w:val="22"/>
                <w:szCs w:val="22"/>
              </w:rPr>
              <w:t>consolidated basis, the</w:t>
            </w:r>
            <w:r w:rsidR="00735A44" w:rsidRPr="005B5418">
              <w:rPr>
                <w:spacing w:val="-4"/>
                <w:sz w:val="22"/>
                <w:szCs w:val="22"/>
              </w:rPr>
              <w:t xml:space="preserve"> </w:t>
            </w:r>
            <w:r w:rsidR="00735A44" w:rsidRPr="005B5418">
              <w:rPr>
                <w:spacing w:val="-2"/>
                <w:sz w:val="22"/>
                <w:szCs w:val="22"/>
              </w:rPr>
              <w:t>portion</w:t>
            </w:r>
            <w:r w:rsidR="00735A44" w:rsidRPr="005B5418">
              <w:rPr>
                <w:spacing w:val="-3"/>
                <w:sz w:val="22"/>
                <w:szCs w:val="22"/>
              </w:rPr>
              <w:t xml:space="preserve"> </w:t>
            </w:r>
            <w:r w:rsidR="00735A44" w:rsidRPr="005B5418">
              <w:rPr>
                <w:sz w:val="22"/>
                <w:szCs w:val="22"/>
              </w:rPr>
              <w:t>of</w:t>
            </w:r>
            <w:r w:rsidR="00735A44" w:rsidRPr="005B5418">
              <w:rPr>
                <w:spacing w:val="-1"/>
                <w:sz w:val="22"/>
                <w:szCs w:val="22"/>
              </w:rPr>
              <w:t xml:space="preserve"> cumulative</w:t>
            </w:r>
            <w:r w:rsidR="00735A44" w:rsidRPr="005B5418">
              <w:rPr>
                <w:sz w:val="22"/>
                <w:szCs w:val="22"/>
              </w:rPr>
              <w:t xml:space="preserve"> </w:t>
            </w:r>
            <w:r w:rsidR="00735A44" w:rsidRPr="005B5418">
              <w:rPr>
                <w:spacing w:val="-2"/>
                <w:sz w:val="22"/>
                <w:szCs w:val="22"/>
              </w:rPr>
              <w:t>results</w:t>
            </w:r>
            <w:r w:rsidR="00735A44" w:rsidRPr="005B5418">
              <w:rPr>
                <w:spacing w:val="1"/>
                <w:sz w:val="22"/>
                <w:szCs w:val="22"/>
              </w:rPr>
              <w:t xml:space="preserve"> </w:t>
            </w:r>
            <w:r w:rsidR="00735A44" w:rsidRPr="005B5418">
              <w:rPr>
                <w:sz w:val="22"/>
                <w:szCs w:val="22"/>
              </w:rPr>
              <w:t>of</w:t>
            </w:r>
            <w:r w:rsidR="00735A44" w:rsidRPr="005B5418">
              <w:rPr>
                <w:spacing w:val="-5"/>
                <w:sz w:val="22"/>
                <w:szCs w:val="22"/>
              </w:rPr>
              <w:t xml:space="preserve"> </w:t>
            </w:r>
            <w:r w:rsidR="00735A44" w:rsidRPr="005B5418">
              <w:rPr>
                <w:spacing w:val="-2"/>
                <w:sz w:val="22"/>
                <w:szCs w:val="22"/>
              </w:rPr>
              <w:t>operations</w:t>
            </w:r>
            <w:r w:rsidR="00735A44" w:rsidRPr="005B5418">
              <w:rPr>
                <w:spacing w:val="1"/>
                <w:sz w:val="22"/>
                <w:szCs w:val="22"/>
              </w:rPr>
              <w:t xml:space="preserve"> </w:t>
            </w:r>
            <w:r w:rsidR="00735A44" w:rsidRPr="005B5418">
              <w:rPr>
                <w:spacing w:val="-2"/>
                <w:sz w:val="22"/>
                <w:szCs w:val="22"/>
              </w:rPr>
              <w:t>and</w:t>
            </w:r>
            <w:r w:rsidR="00735A44" w:rsidRPr="005B5418">
              <w:rPr>
                <w:sz w:val="22"/>
                <w:szCs w:val="22"/>
              </w:rPr>
              <w:t xml:space="preserve"> </w:t>
            </w:r>
            <w:r w:rsidR="00735A44" w:rsidRPr="005B5418">
              <w:rPr>
                <w:spacing w:val="-1"/>
                <w:sz w:val="22"/>
                <w:szCs w:val="22"/>
              </w:rPr>
              <w:t>unexpended</w:t>
            </w:r>
            <w:r w:rsidR="00735A44" w:rsidRPr="005B5418">
              <w:rPr>
                <w:sz w:val="22"/>
                <w:szCs w:val="22"/>
              </w:rPr>
              <w:t xml:space="preserve"> </w:t>
            </w:r>
            <w:r w:rsidR="00735A44" w:rsidRPr="005B5418">
              <w:rPr>
                <w:spacing w:val="-2"/>
                <w:sz w:val="22"/>
                <w:szCs w:val="22"/>
              </w:rPr>
              <w:t>appropriations</w:t>
            </w:r>
            <w:r w:rsidR="00735A44" w:rsidRPr="005B5418">
              <w:rPr>
                <w:sz w:val="22"/>
                <w:szCs w:val="22"/>
              </w:rPr>
              <w:t xml:space="preserve"> </w:t>
            </w:r>
            <w:r w:rsidR="00735A44" w:rsidRPr="005B5418">
              <w:rPr>
                <w:spacing w:val="-2"/>
                <w:sz w:val="22"/>
                <w:szCs w:val="22"/>
              </w:rPr>
              <w:t>attributable</w:t>
            </w:r>
            <w:r w:rsidR="00735A44" w:rsidRPr="005B5418">
              <w:rPr>
                <w:sz w:val="22"/>
                <w:szCs w:val="22"/>
              </w:rPr>
              <w:t xml:space="preserve"> to </w:t>
            </w:r>
            <w:r w:rsidR="00735A44" w:rsidRPr="005B5418">
              <w:rPr>
                <w:spacing w:val="-2"/>
                <w:sz w:val="22"/>
                <w:szCs w:val="22"/>
              </w:rPr>
              <w:t>Funds</w:t>
            </w:r>
            <w:r w:rsidR="00735A44" w:rsidRPr="005B5418">
              <w:rPr>
                <w:spacing w:val="-1"/>
                <w:sz w:val="22"/>
                <w:szCs w:val="22"/>
              </w:rPr>
              <w:t xml:space="preserve"> from</w:t>
            </w:r>
            <w:r w:rsidR="00735A44" w:rsidRPr="005B5418">
              <w:rPr>
                <w:spacing w:val="1"/>
                <w:sz w:val="22"/>
                <w:szCs w:val="22"/>
              </w:rPr>
              <w:t xml:space="preserve"> </w:t>
            </w:r>
            <w:r w:rsidR="00735A44" w:rsidRPr="005B5418">
              <w:rPr>
                <w:spacing w:val="-2"/>
                <w:sz w:val="22"/>
                <w:szCs w:val="22"/>
              </w:rPr>
              <w:t>Dedicated</w:t>
            </w:r>
            <w:r w:rsidR="00735A44" w:rsidRPr="005B5418">
              <w:rPr>
                <w:sz w:val="22"/>
                <w:szCs w:val="22"/>
              </w:rPr>
              <w:t xml:space="preserve"> </w:t>
            </w:r>
            <w:r w:rsidR="00735A44" w:rsidRPr="005B5418">
              <w:rPr>
                <w:spacing w:val="-2"/>
                <w:sz w:val="22"/>
                <w:szCs w:val="22"/>
              </w:rPr>
              <w:t>Collections</w:t>
            </w:r>
            <w:r w:rsidR="00735A44" w:rsidRPr="005B5418">
              <w:rPr>
                <w:sz w:val="22"/>
                <w:szCs w:val="22"/>
              </w:rPr>
              <w:t>, if material</w:t>
            </w:r>
            <w:r w:rsidR="009817B2" w:rsidRPr="005B5418">
              <w:rPr>
                <w:sz w:val="22"/>
                <w:szCs w:val="22"/>
              </w:rPr>
              <w:t xml:space="preserve">. </w:t>
            </w:r>
            <w:r w:rsidR="009817B2" w:rsidRPr="005B5418">
              <w:rPr>
                <w:spacing w:val="-1"/>
                <w:sz w:val="22"/>
                <w:szCs w:val="22"/>
              </w:rPr>
              <w:t xml:space="preserve">These amounts </w:t>
            </w:r>
            <w:r w:rsidRPr="005B5418">
              <w:rPr>
                <w:spacing w:val="-1"/>
                <w:sz w:val="22"/>
                <w:szCs w:val="22"/>
              </w:rPr>
              <w:t>must</w:t>
            </w:r>
            <w:r w:rsidR="00735A44" w:rsidRPr="005B5418">
              <w:rPr>
                <w:spacing w:val="-1"/>
                <w:sz w:val="22"/>
                <w:szCs w:val="22"/>
              </w:rPr>
              <w:t xml:space="preserve"> match the consolidated amounts in </w:t>
            </w:r>
            <w:r w:rsidR="00C2289E" w:rsidRPr="005B5418">
              <w:rPr>
                <w:spacing w:val="-1"/>
                <w:sz w:val="22"/>
                <w:szCs w:val="22"/>
              </w:rPr>
              <w:t xml:space="preserve">the Funds from Dedicated Collections </w:t>
            </w:r>
            <w:r w:rsidR="00ED0A84" w:rsidRPr="005B5418">
              <w:rPr>
                <w:spacing w:val="-1"/>
                <w:sz w:val="22"/>
                <w:szCs w:val="22"/>
              </w:rPr>
              <w:t>note</w:t>
            </w:r>
            <w:r w:rsidR="00735A44" w:rsidRPr="005B5418">
              <w:rPr>
                <w:spacing w:val="-1"/>
                <w:sz w:val="22"/>
                <w:szCs w:val="22"/>
              </w:rPr>
              <w:t>.</w:t>
            </w:r>
            <w:r w:rsidR="00735A44" w:rsidRPr="005B5418">
              <w:rPr>
                <w:spacing w:val="-2"/>
                <w:sz w:val="22"/>
                <w:szCs w:val="22"/>
              </w:rPr>
              <w:t xml:space="preserve"> This consolidated reporting requires that transactions among Funds from Dedicated Collections be eliminated. Similarly, balances and transactions among Funds from Other than Dedicated Collections must be eliminated. (A-136, section II.3.2.1)</w:t>
            </w:r>
          </w:p>
        </w:tc>
      </w:tr>
      <w:tr w:rsidR="00C860A6" w:rsidRPr="005B5418" w14:paraId="012811D6" w14:textId="77777777" w:rsidTr="008848DA">
        <w:trPr>
          <w:trHeight w:val="1757"/>
        </w:trPr>
        <w:tc>
          <w:tcPr>
            <w:tcW w:w="5655" w:type="dxa"/>
            <w:tcBorders>
              <w:top w:val="single" w:sz="4" w:space="0" w:color="auto"/>
              <w:left w:val="single" w:sz="4" w:space="0" w:color="auto"/>
              <w:bottom w:val="single" w:sz="4" w:space="0" w:color="auto"/>
              <w:right w:val="single" w:sz="4" w:space="0" w:color="auto"/>
            </w:tcBorders>
          </w:tcPr>
          <w:p w14:paraId="3BC2B7F2" w14:textId="7BACEE7F" w:rsidR="00C860A6" w:rsidRPr="005B5418" w:rsidDel="00672496" w:rsidRDefault="00744B13" w:rsidP="0016211C">
            <w:pPr>
              <w:pStyle w:val="FAM-Table-outline"/>
              <w:widowControl/>
              <w:adjustRightInd/>
              <w:spacing w:line="240" w:lineRule="auto"/>
              <w:ind w:left="600" w:hanging="600"/>
              <w:textAlignment w:val="auto"/>
              <w:rPr>
                <w:rFonts w:cs="Arial"/>
              </w:rPr>
            </w:pPr>
            <w:r w:rsidRPr="005B5418">
              <w:rPr>
                <w:rFonts w:cs="Arial"/>
              </w:rPr>
              <w:lastRenderedPageBreak/>
              <w:t>I</w:t>
            </w:r>
            <w:r w:rsidR="00C860A6" w:rsidRPr="005B5418">
              <w:rPr>
                <w:rFonts w:cs="Arial"/>
              </w:rPr>
              <w:t xml:space="preserve">s the portion of cumulative results of operations and unexpended appropriations attributable to Funds from Dedicated Collections shown separately on the face of the </w:t>
            </w:r>
            <w:r w:rsidR="001B5C17" w:rsidRPr="005B5418">
              <w:rPr>
                <w:rFonts w:cs="Arial"/>
              </w:rPr>
              <w:t>balance sheet</w:t>
            </w:r>
            <w:r w:rsidR="00C860A6" w:rsidRPr="005B5418">
              <w:rPr>
                <w:rFonts w:cs="Arial"/>
              </w:rPr>
              <w:t>, if material</w:t>
            </w:r>
            <w:r w:rsidR="00FE0BA8" w:rsidRPr="005B5418">
              <w:rPr>
                <w:rFonts w:cs="Arial"/>
              </w:rPr>
              <w:t>?</w:t>
            </w:r>
            <w:r w:rsidR="00C860A6" w:rsidRPr="005B5418">
              <w:rPr>
                <w:rFonts w:cs="Arial"/>
              </w:rPr>
              <w:t xml:space="preserve"> (SFFAS 27, par</w:t>
            </w:r>
            <w:r w:rsidR="00E5168B" w:rsidRPr="005B5418">
              <w:rPr>
                <w:rFonts w:cs="Arial"/>
              </w:rPr>
              <w:t>a</w:t>
            </w:r>
            <w:r w:rsidR="00C860A6" w:rsidRPr="005B5418">
              <w:rPr>
                <w:rFonts w:cs="Arial"/>
              </w:rPr>
              <w:t xml:space="preserve">. </w:t>
            </w:r>
            <w:r w:rsidRPr="005B5418">
              <w:rPr>
                <w:rFonts w:cs="Arial"/>
              </w:rPr>
              <w:t>19</w:t>
            </w:r>
            <w:r w:rsidR="00C860A6" w:rsidRPr="005B5418">
              <w:rPr>
                <w:rFonts w:cs="Arial"/>
              </w:rPr>
              <w:t>)</w:t>
            </w:r>
          </w:p>
        </w:tc>
        <w:tc>
          <w:tcPr>
            <w:tcW w:w="1072" w:type="dxa"/>
            <w:tcBorders>
              <w:top w:val="single" w:sz="4" w:space="0" w:color="auto"/>
              <w:left w:val="single" w:sz="4" w:space="0" w:color="auto"/>
              <w:bottom w:val="single" w:sz="4" w:space="0" w:color="auto"/>
              <w:right w:val="single" w:sz="4" w:space="0" w:color="auto"/>
            </w:tcBorders>
          </w:tcPr>
          <w:p w14:paraId="38179C93" w14:textId="77777777" w:rsidR="00C860A6" w:rsidRPr="005B5418" w:rsidRDefault="00C860A6" w:rsidP="008848DA">
            <w:pPr>
              <w:pStyle w:val="Table-Cell-CenterBoldBefore6ptAfter6pt"/>
              <w:spacing w:before="60" w:after="60"/>
              <w:rPr>
                <w:rFonts w:cs="Arial"/>
              </w:rPr>
            </w:pPr>
          </w:p>
        </w:tc>
        <w:tc>
          <w:tcPr>
            <w:tcW w:w="3065" w:type="dxa"/>
            <w:tcBorders>
              <w:top w:val="single" w:sz="4" w:space="0" w:color="auto"/>
              <w:left w:val="single" w:sz="4" w:space="0" w:color="auto"/>
              <w:bottom w:val="single" w:sz="4" w:space="0" w:color="auto"/>
              <w:right w:val="single" w:sz="4" w:space="0" w:color="auto"/>
            </w:tcBorders>
          </w:tcPr>
          <w:p w14:paraId="7CDE8F30" w14:textId="77777777" w:rsidR="00C860A6" w:rsidRPr="005B5418" w:rsidRDefault="00C860A6" w:rsidP="008848DA">
            <w:pPr>
              <w:pStyle w:val="Table-Cell-Center"/>
              <w:spacing w:before="60" w:after="60" w:line="240" w:lineRule="auto"/>
              <w:rPr>
                <w:rFonts w:cs="Arial"/>
              </w:rPr>
            </w:pPr>
          </w:p>
        </w:tc>
      </w:tr>
      <w:tr w:rsidR="00735A44" w:rsidRPr="005B5418" w14:paraId="108B31D5" w14:textId="77777777" w:rsidTr="008848DA">
        <w:trPr>
          <w:trHeight w:val="1757"/>
        </w:trPr>
        <w:tc>
          <w:tcPr>
            <w:tcW w:w="5655" w:type="dxa"/>
            <w:tcBorders>
              <w:top w:val="single" w:sz="4" w:space="0" w:color="auto"/>
              <w:left w:val="single" w:sz="4" w:space="0" w:color="auto"/>
              <w:bottom w:val="single" w:sz="4" w:space="0" w:color="auto"/>
              <w:right w:val="single" w:sz="4" w:space="0" w:color="auto"/>
            </w:tcBorders>
          </w:tcPr>
          <w:p w14:paraId="75415315" w14:textId="34467EDD" w:rsidR="00735A44" w:rsidRPr="005B5418" w:rsidRDefault="008D4BCC" w:rsidP="009817B2">
            <w:pPr>
              <w:pStyle w:val="FAM-Table-outline"/>
            </w:pPr>
            <w:r w:rsidRPr="005B5418">
              <w:t>Are cumulative</w:t>
            </w:r>
            <w:r w:rsidR="00735A44" w:rsidRPr="005B5418">
              <w:t xml:space="preserve"> results of operations and unexpended appropriations attributable to Funds from Dedicated Collections presented on a consolidated basis on the face of the </w:t>
            </w:r>
            <w:r w:rsidR="001B5C17" w:rsidRPr="005B5418">
              <w:t>balance sheet</w:t>
            </w:r>
            <w:r w:rsidR="00870DEC" w:rsidRPr="005B5418">
              <w:rPr>
                <w:rFonts w:cs="Arial"/>
              </w:rPr>
              <w:t xml:space="preserve"> and labeled as “consolidated</w:t>
            </w:r>
            <w:r w:rsidR="00870DEC" w:rsidRPr="005B5418">
              <w:t>”</w:t>
            </w:r>
            <w:r w:rsidR="009817B2" w:rsidRPr="005B5418">
              <w:t>?</w:t>
            </w:r>
            <w:r w:rsidRPr="005B5418">
              <w:rPr>
                <w:rStyle w:val="FootnoteReference"/>
              </w:rPr>
              <w:t xml:space="preserve"> </w:t>
            </w:r>
            <w:r w:rsidRPr="005B5418">
              <w:rPr>
                <w:rStyle w:val="FootnoteReference"/>
              </w:rPr>
              <w:footnoteReference w:id="46"/>
            </w:r>
            <w:r w:rsidR="00735A44" w:rsidRPr="005B5418">
              <w:t xml:space="preserve"> (</w:t>
            </w:r>
            <w:r w:rsidR="00870DEC" w:rsidRPr="005B5418">
              <w:t>SFFAS 27, para</w:t>
            </w:r>
            <w:r w:rsidR="003B2304" w:rsidRPr="005B5418">
              <w:t>.</w:t>
            </w:r>
            <w:r w:rsidR="00870DEC" w:rsidRPr="005B5418">
              <w:t xml:space="preserve"> 19a; </w:t>
            </w:r>
            <w:r w:rsidR="00735A44" w:rsidRPr="005B5418">
              <w:t>A-136, section II.3.2.</w:t>
            </w:r>
            <w:r w:rsidR="004B7126" w:rsidRPr="005B5418">
              <w:t>2</w:t>
            </w:r>
            <w:r w:rsidR="00735A44" w:rsidRPr="005B5418">
              <w:t>)</w:t>
            </w:r>
          </w:p>
        </w:tc>
        <w:tc>
          <w:tcPr>
            <w:tcW w:w="1072" w:type="dxa"/>
            <w:tcBorders>
              <w:top w:val="single" w:sz="4" w:space="0" w:color="auto"/>
              <w:left w:val="single" w:sz="4" w:space="0" w:color="auto"/>
              <w:bottom w:val="single" w:sz="4" w:space="0" w:color="auto"/>
              <w:right w:val="single" w:sz="4" w:space="0" w:color="auto"/>
            </w:tcBorders>
          </w:tcPr>
          <w:p w14:paraId="661D5479" w14:textId="77777777" w:rsidR="00735A44" w:rsidRPr="005B5418" w:rsidRDefault="00735A44" w:rsidP="008848DA">
            <w:pPr>
              <w:pStyle w:val="Table-Cell-CenterBoldBefore6ptAfter6pt"/>
              <w:spacing w:before="60" w:after="60"/>
              <w:rPr>
                <w:rFonts w:cs="Arial"/>
              </w:rPr>
            </w:pPr>
          </w:p>
        </w:tc>
        <w:tc>
          <w:tcPr>
            <w:tcW w:w="3065" w:type="dxa"/>
            <w:tcBorders>
              <w:top w:val="single" w:sz="4" w:space="0" w:color="auto"/>
              <w:left w:val="single" w:sz="4" w:space="0" w:color="auto"/>
              <w:bottom w:val="single" w:sz="4" w:space="0" w:color="auto"/>
              <w:right w:val="single" w:sz="4" w:space="0" w:color="auto"/>
            </w:tcBorders>
          </w:tcPr>
          <w:p w14:paraId="0E3E8BF0" w14:textId="77777777" w:rsidR="00735A44" w:rsidRPr="005B5418" w:rsidRDefault="00735A44" w:rsidP="008848DA">
            <w:pPr>
              <w:pStyle w:val="Table-Cell-Center"/>
              <w:spacing w:before="60" w:after="60" w:line="240" w:lineRule="auto"/>
              <w:rPr>
                <w:rFonts w:cs="Arial"/>
              </w:rPr>
            </w:pPr>
          </w:p>
        </w:tc>
      </w:tr>
      <w:tr w:rsidR="00C860A6" w:rsidRPr="005B5418" w:rsidDel="00B737BD" w14:paraId="015FB70F" w14:textId="77777777" w:rsidTr="008848DA">
        <w:trPr>
          <w:trHeight w:val="1538"/>
        </w:trPr>
        <w:tc>
          <w:tcPr>
            <w:tcW w:w="5655" w:type="dxa"/>
            <w:tcBorders>
              <w:top w:val="single" w:sz="4" w:space="0" w:color="auto"/>
              <w:left w:val="single" w:sz="4" w:space="0" w:color="auto"/>
              <w:bottom w:val="single" w:sz="4" w:space="0" w:color="auto"/>
              <w:right w:val="single" w:sz="4" w:space="0" w:color="auto"/>
            </w:tcBorders>
          </w:tcPr>
          <w:p w14:paraId="7940F9B5" w14:textId="7E14F8B6" w:rsidR="00C860A6" w:rsidRPr="005B5418" w:rsidDel="00B737BD" w:rsidRDefault="00C860A6" w:rsidP="008848DA">
            <w:pPr>
              <w:pStyle w:val="FAM-Table-outline"/>
              <w:spacing w:line="240" w:lineRule="auto"/>
            </w:pPr>
            <w:r w:rsidRPr="005B5418">
              <w:t xml:space="preserve">Do unexpended appropriations, as reported on the face of the </w:t>
            </w:r>
            <w:r w:rsidR="001B5C17" w:rsidRPr="005B5418">
              <w:t>balance sheet</w:t>
            </w:r>
            <w:r w:rsidRPr="005B5418">
              <w:t xml:space="preserve">, equal unexpended appropriations on the </w:t>
            </w:r>
            <w:r w:rsidR="001959D3" w:rsidRPr="005B5418">
              <w:t>S</w:t>
            </w:r>
            <w:r w:rsidRPr="005B5418">
              <w:t xml:space="preserve">tatement of </w:t>
            </w:r>
            <w:r w:rsidR="001959D3" w:rsidRPr="005B5418">
              <w:t>C</w:t>
            </w:r>
            <w:r w:rsidRPr="005B5418">
              <w:t xml:space="preserve">hanges in </w:t>
            </w:r>
            <w:r w:rsidR="001959D3" w:rsidRPr="005B5418">
              <w:t>N</w:t>
            </w:r>
            <w:r w:rsidRPr="005B5418">
              <w:t xml:space="preserve">et </w:t>
            </w:r>
            <w:r w:rsidR="001959D3" w:rsidRPr="005B5418">
              <w:t>P</w:t>
            </w:r>
            <w:r w:rsidRPr="005B5418">
              <w:t>osition? (A-136, section II.3.2.5)</w:t>
            </w:r>
          </w:p>
        </w:tc>
        <w:tc>
          <w:tcPr>
            <w:tcW w:w="1072" w:type="dxa"/>
            <w:tcBorders>
              <w:top w:val="single" w:sz="4" w:space="0" w:color="auto"/>
              <w:left w:val="single" w:sz="4" w:space="0" w:color="auto"/>
              <w:bottom w:val="single" w:sz="4" w:space="0" w:color="auto"/>
              <w:right w:val="single" w:sz="4" w:space="0" w:color="auto"/>
            </w:tcBorders>
          </w:tcPr>
          <w:p w14:paraId="4CB89315" w14:textId="77777777" w:rsidR="00C860A6" w:rsidRPr="005B5418" w:rsidDel="00B737BD" w:rsidRDefault="00C860A6" w:rsidP="008848DA">
            <w:pPr>
              <w:pStyle w:val="Table-Cell-CenterBoldBefore6ptAfter6pt"/>
              <w:spacing w:before="60" w:after="60"/>
              <w:rPr>
                <w:rFonts w:cs="Arial"/>
              </w:rPr>
            </w:pPr>
          </w:p>
        </w:tc>
        <w:tc>
          <w:tcPr>
            <w:tcW w:w="3065" w:type="dxa"/>
            <w:tcBorders>
              <w:top w:val="single" w:sz="4" w:space="0" w:color="auto"/>
              <w:left w:val="single" w:sz="4" w:space="0" w:color="auto"/>
              <w:bottom w:val="single" w:sz="4" w:space="0" w:color="auto"/>
              <w:right w:val="single" w:sz="4" w:space="0" w:color="auto"/>
            </w:tcBorders>
          </w:tcPr>
          <w:p w14:paraId="5FEF7B72" w14:textId="77777777" w:rsidR="00C860A6" w:rsidRPr="005B5418" w:rsidDel="00B737BD" w:rsidRDefault="00C860A6" w:rsidP="008848DA">
            <w:pPr>
              <w:pStyle w:val="Table-Cell-Center"/>
              <w:spacing w:before="60" w:after="60" w:line="240" w:lineRule="auto"/>
              <w:rPr>
                <w:rFonts w:cs="Arial"/>
              </w:rPr>
            </w:pPr>
          </w:p>
        </w:tc>
      </w:tr>
      <w:tr w:rsidR="00C860A6" w:rsidRPr="005B5418" w:rsidDel="00B737BD" w14:paraId="4C5EEC1D" w14:textId="77777777" w:rsidTr="008848DA">
        <w:trPr>
          <w:trHeight w:val="1520"/>
        </w:trPr>
        <w:tc>
          <w:tcPr>
            <w:tcW w:w="5655" w:type="dxa"/>
            <w:tcBorders>
              <w:top w:val="single" w:sz="4" w:space="0" w:color="auto"/>
              <w:left w:val="single" w:sz="4" w:space="0" w:color="auto"/>
              <w:bottom w:val="single" w:sz="4" w:space="0" w:color="auto"/>
              <w:right w:val="single" w:sz="4" w:space="0" w:color="auto"/>
            </w:tcBorders>
          </w:tcPr>
          <w:p w14:paraId="4FFE6A7A" w14:textId="6D28AD9C" w:rsidR="00C860A6" w:rsidRPr="005B5418" w:rsidRDefault="00C860A6" w:rsidP="008D614A">
            <w:pPr>
              <w:pStyle w:val="FAM-Table-outline"/>
              <w:spacing w:line="240" w:lineRule="auto"/>
            </w:pPr>
            <w:r w:rsidRPr="005B5418">
              <w:t xml:space="preserve">Do cumulative results of operations, as </w:t>
            </w:r>
            <w:r w:rsidR="008D614A" w:rsidRPr="005B5418">
              <w:t>r</w:t>
            </w:r>
            <w:r w:rsidRPr="005B5418">
              <w:t xml:space="preserve">eported on the face of the </w:t>
            </w:r>
            <w:r w:rsidR="001B5C17" w:rsidRPr="005B5418">
              <w:t>balance sheet</w:t>
            </w:r>
            <w:r w:rsidRPr="005B5418">
              <w:t xml:space="preserve">, equal cumulative results of operations on the </w:t>
            </w:r>
            <w:r w:rsidR="001959D3" w:rsidRPr="005B5418">
              <w:t>S</w:t>
            </w:r>
            <w:r w:rsidRPr="005B5418">
              <w:t xml:space="preserve">tatement of </w:t>
            </w:r>
            <w:r w:rsidR="001959D3" w:rsidRPr="005B5418">
              <w:t>C</w:t>
            </w:r>
            <w:r w:rsidRPr="005B5418">
              <w:t xml:space="preserve">hanges in </w:t>
            </w:r>
            <w:r w:rsidR="001959D3" w:rsidRPr="005B5418">
              <w:t>N</w:t>
            </w:r>
            <w:r w:rsidRPr="005B5418">
              <w:t xml:space="preserve">et </w:t>
            </w:r>
            <w:r w:rsidR="001959D3" w:rsidRPr="005B5418">
              <w:t>P</w:t>
            </w:r>
            <w:r w:rsidRPr="005B5418">
              <w:t>osition? (A-136, section II.3.2.5)</w:t>
            </w:r>
          </w:p>
        </w:tc>
        <w:tc>
          <w:tcPr>
            <w:tcW w:w="1072" w:type="dxa"/>
            <w:tcBorders>
              <w:top w:val="single" w:sz="4" w:space="0" w:color="auto"/>
              <w:left w:val="single" w:sz="4" w:space="0" w:color="auto"/>
              <w:bottom w:val="single" w:sz="4" w:space="0" w:color="auto"/>
              <w:right w:val="single" w:sz="4" w:space="0" w:color="auto"/>
            </w:tcBorders>
          </w:tcPr>
          <w:p w14:paraId="6E47B4B8" w14:textId="77777777" w:rsidR="00C860A6" w:rsidRPr="005B5418" w:rsidDel="00B737BD" w:rsidRDefault="00C860A6" w:rsidP="008848DA">
            <w:pPr>
              <w:pStyle w:val="Table-Cell-CenterBoldBefore6ptAfter6pt"/>
              <w:spacing w:before="60" w:after="60"/>
              <w:rPr>
                <w:rFonts w:cs="Arial"/>
              </w:rPr>
            </w:pPr>
          </w:p>
        </w:tc>
        <w:tc>
          <w:tcPr>
            <w:tcW w:w="3065" w:type="dxa"/>
            <w:tcBorders>
              <w:top w:val="single" w:sz="4" w:space="0" w:color="auto"/>
              <w:left w:val="single" w:sz="4" w:space="0" w:color="auto"/>
              <w:bottom w:val="single" w:sz="4" w:space="0" w:color="auto"/>
              <w:right w:val="single" w:sz="4" w:space="0" w:color="auto"/>
            </w:tcBorders>
          </w:tcPr>
          <w:p w14:paraId="4FECD973" w14:textId="77777777" w:rsidR="00C860A6" w:rsidRPr="005B5418" w:rsidDel="00B737BD" w:rsidRDefault="00C860A6" w:rsidP="008848DA">
            <w:pPr>
              <w:pStyle w:val="Table-Cell-Center"/>
              <w:spacing w:before="60" w:after="60" w:line="240" w:lineRule="auto"/>
              <w:rPr>
                <w:rFonts w:cs="Arial"/>
              </w:rPr>
            </w:pPr>
          </w:p>
        </w:tc>
      </w:tr>
    </w:tbl>
    <w:p w14:paraId="058384D2" w14:textId="77777777" w:rsidR="00CE1944" w:rsidRPr="005B5418" w:rsidRDefault="00CE1944">
      <w:pPr>
        <w:rPr>
          <w:rFonts w:eastAsia="Arial Unicode MS" w:cs="Arial"/>
        </w:rPr>
      </w:pPr>
      <w:bookmarkStart w:id="65" w:name="_II.3.2_Balance_Sheet"/>
      <w:bookmarkEnd w:id="65"/>
      <w:r w:rsidRPr="005B5418">
        <w:rPr>
          <w:rFonts w:eastAsia="Arial Unicode M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576"/>
      </w:tblGrid>
      <w:tr w:rsidR="00CE1944" w:rsidRPr="005B5418" w14:paraId="712ED54B" w14:textId="77777777" w:rsidTr="00F20DDD">
        <w:trPr>
          <w:tblHeader/>
        </w:trPr>
        <w:tc>
          <w:tcPr>
            <w:tcW w:w="9576" w:type="dxa"/>
          </w:tcPr>
          <w:p w14:paraId="218B1EF1" w14:textId="77777777" w:rsidR="00CE1944" w:rsidRPr="005B5418" w:rsidRDefault="00CE1944" w:rsidP="008848DA">
            <w:pPr>
              <w:pStyle w:val="Heading4"/>
              <w:spacing w:before="60" w:after="60" w:line="240" w:lineRule="auto"/>
              <w:jc w:val="left"/>
              <w:rPr>
                <w:b/>
                <w:u w:val="none"/>
              </w:rPr>
            </w:pPr>
            <w:bookmarkStart w:id="66" w:name="_II.3.3_Statement_of_1"/>
            <w:bookmarkEnd w:id="66"/>
            <w:r w:rsidRPr="005B5418">
              <w:rPr>
                <w:b/>
                <w:u w:val="none"/>
              </w:rPr>
              <w:lastRenderedPageBreak/>
              <w:t>II.3.3 Statement of Net Cost</w:t>
            </w:r>
          </w:p>
        </w:tc>
      </w:tr>
      <w:tr w:rsidR="00CE1944" w:rsidRPr="005B5418" w14:paraId="1A381EDC" w14:textId="77777777" w:rsidTr="00F20DDD">
        <w:tc>
          <w:tcPr>
            <w:tcW w:w="9576" w:type="dxa"/>
          </w:tcPr>
          <w:p w14:paraId="2CB9A4F8" w14:textId="77777777" w:rsidR="00CE1944" w:rsidRPr="005B5418" w:rsidRDefault="00CE1944" w:rsidP="008848DA">
            <w:pPr>
              <w:autoSpaceDE w:val="0"/>
              <w:autoSpaceDN w:val="0"/>
              <w:spacing w:before="60" w:after="60" w:line="240" w:lineRule="auto"/>
              <w:rPr>
                <w:rFonts w:ascii="Arial" w:eastAsia="Arial Unicode MS" w:hAnsi="Arial" w:cs="Arial"/>
              </w:rPr>
            </w:pPr>
            <w:r w:rsidRPr="005B5418">
              <w:rPr>
                <w:rFonts w:ascii="Arial" w:eastAsia="Arial Unicode MS" w:hAnsi="Arial" w:cs="Arial"/>
              </w:rPr>
              <w:t xml:space="preserve">The </w:t>
            </w:r>
            <w:r w:rsidR="005E22DE" w:rsidRPr="005B5418">
              <w:rPr>
                <w:rFonts w:ascii="Arial" w:eastAsia="Arial Unicode MS" w:hAnsi="Arial" w:cs="Arial"/>
              </w:rPr>
              <w:t>Statement of</w:t>
            </w:r>
            <w:r w:rsidRPr="005B5418">
              <w:rPr>
                <w:rFonts w:ascii="Arial" w:eastAsia="Arial Unicode MS" w:hAnsi="Arial" w:cs="Arial"/>
              </w:rPr>
              <w:t xml:space="preserve"> Net </w:t>
            </w:r>
            <w:r w:rsidR="005E22DE" w:rsidRPr="005B5418">
              <w:rPr>
                <w:rFonts w:ascii="Arial" w:eastAsia="Arial Unicode MS" w:hAnsi="Arial" w:cs="Arial"/>
              </w:rPr>
              <w:t>Cost (SNC) section</w:t>
            </w:r>
            <w:r w:rsidRPr="005B5418">
              <w:rPr>
                <w:rFonts w:ascii="Arial" w:eastAsia="Arial Unicode MS" w:hAnsi="Arial" w:cs="Arial"/>
              </w:rPr>
              <w:t xml:space="preserve"> is subdivided into the following </w:t>
            </w:r>
            <w:r w:rsidR="003B6E64" w:rsidRPr="005B5418">
              <w:rPr>
                <w:rFonts w:ascii="Arial" w:eastAsia="Arial Unicode MS" w:hAnsi="Arial" w:cs="Arial"/>
              </w:rPr>
              <w:t xml:space="preserve">four </w:t>
            </w:r>
            <w:r w:rsidRPr="005B5418">
              <w:rPr>
                <w:rFonts w:ascii="Arial" w:eastAsia="Arial Unicode MS" w:hAnsi="Arial" w:cs="Arial"/>
              </w:rPr>
              <w:t>subtopics:</w:t>
            </w:r>
          </w:p>
          <w:p w14:paraId="68FA8858" w14:textId="77777777" w:rsidR="00CE1944" w:rsidRPr="005B5418" w:rsidRDefault="005E22DE" w:rsidP="00825C76">
            <w:pPr>
              <w:pStyle w:val="ListParagraph"/>
              <w:numPr>
                <w:ilvl w:val="0"/>
                <w:numId w:val="70"/>
              </w:numPr>
              <w:autoSpaceDE w:val="0"/>
              <w:autoSpaceDN w:val="0"/>
              <w:spacing w:line="240" w:lineRule="auto"/>
              <w:jc w:val="left"/>
              <w:rPr>
                <w:rFonts w:eastAsia="Arial Unicode MS" w:cs="Arial"/>
              </w:rPr>
            </w:pPr>
            <w:r w:rsidRPr="005B5418">
              <w:rPr>
                <w:rFonts w:eastAsia="Arial Unicode MS" w:cs="Arial"/>
                <w:sz w:val="22"/>
                <w:szCs w:val="22"/>
              </w:rPr>
              <w:t xml:space="preserve">SNC </w:t>
            </w:r>
            <w:r w:rsidR="003B6E64" w:rsidRPr="005B5418">
              <w:rPr>
                <w:rFonts w:eastAsia="Arial Unicode MS" w:cs="Arial"/>
                <w:sz w:val="22"/>
                <w:szCs w:val="22"/>
              </w:rPr>
              <w:t>–</w:t>
            </w:r>
            <w:r w:rsidRPr="005B5418">
              <w:rPr>
                <w:rFonts w:eastAsia="Arial Unicode MS" w:cs="Arial"/>
                <w:sz w:val="22"/>
                <w:szCs w:val="22"/>
              </w:rPr>
              <w:t xml:space="preserve"> </w:t>
            </w:r>
            <w:r w:rsidR="003B6E64" w:rsidRPr="005B5418">
              <w:rPr>
                <w:rFonts w:eastAsia="Arial Unicode MS" w:cs="Arial"/>
                <w:sz w:val="22"/>
                <w:szCs w:val="22"/>
              </w:rPr>
              <w:t>Presentation</w:t>
            </w:r>
          </w:p>
          <w:p w14:paraId="6E4D9865" w14:textId="77777777" w:rsidR="00CE1944" w:rsidRPr="005B5418" w:rsidRDefault="004D1C96" w:rsidP="00825C76">
            <w:pPr>
              <w:pStyle w:val="ListParagraph"/>
              <w:numPr>
                <w:ilvl w:val="0"/>
                <w:numId w:val="70"/>
              </w:numPr>
              <w:autoSpaceDE w:val="0"/>
              <w:autoSpaceDN w:val="0"/>
              <w:spacing w:line="240" w:lineRule="auto"/>
              <w:jc w:val="left"/>
              <w:rPr>
                <w:rFonts w:eastAsia="Arial Unicode MS" w:cs="Arial"/>
              </w:rPr>
            </w:pPr>
            <w:r w:rsidRPr="005B5418">
              <w:rPr>
                <w:rFonts w:eastAsia="Arial Unicode MS" w:cs="Arial"/>
                <w:sz w:val="22"/>
                <w:szCs w:val="22"/>
              </w:rPr>
              <w:t xml:space="preserve">Cost Accounting – </w:t>
            </w:r>
            <w:r w:rsidR="003B6E64" w:rsidRPr="005B5418">
              <w:rPr>
                <w:rFonts w:eastAsia="Arial Unicode MS" w:cs="Arial"/>
                <w:sz w:val="22"/>
                <w:szCs w:val="22"/>
              </w:rPr>
              <w:t>General</w:t>
            </w:r>
          </w:p>
          <w:p w14:paraId="31DC4145" w14:textId="77777777" w:rsidR="004D1C96" w:rsidRPr="005B5418" w:rsidRDefault="004D1C96" w:rsidP="00825C76">
            <w:pPr>
              <w:pStyle w:val="ListParagraph"/>
              <w:numPr>
                <w:ilvl w:val="0"/>
                <w:numId w:val="70"/>
              </w:numPr>
              <w:autoSpaceDE w:val="0"/>
              <w:autoSpaceDN w:val="0"/>
              <w:spacing w:after="60" w:line="240" w:lineRule="auto"/>
              <w:contextualSpacing/>
              <w:jc w:val="left"/>
              <w:rPr>
                <w:rFonts w:eastAsia="Arial Unicode MS" w:cs="Arial"/>
              </w:rPr>
            </w:pPr>
            <w:r w:rsidRPr="005B5418">
              <w:rPr>
                <w:rFonts w:eastAsia="Arial Unicode MS" w:cs="Arial"/>
                <w:sz w:val="22"/>
                <w:szCs w:val="22"/>
              </w:rPr>
              <w:t>Inter-entity Costs</w:t>
            </w:r>
          </w:p>
          <w:p w14:paraId="69C0C12A" w14:textId="77777777" w:rsidR="00CE1944" w:rsidRPr="005B5418" w:rsidRDefault="004D1C96" w:rsidP="00825C76">
            <w:pPr>
              <w:pStyle w:val="ListParagraph"/>
              <w:numPr>
                <w:ilvl w:val="0"/>
                <w:numId w:val="70"/>
              </w:numPr>
              <w:autoSpaceDE w:val="0"/>
              <w:autoSpaceDN w:val="0"/>
              <w:spacing w:before="60" w:after="60" w:line="240" w:lineRule="auto"/>
              <w:contextualSpacing/>
              <w:jc w:val="left"/>
              <w:rPr>
                <w:rFonts w:eastAsia="Arial Unicode MS" w:cs="Arial"/>
                <w:sz w:val="22"/>
                <w:szCs w:val="22"/>
              </w:rPr>
            </w:pPr>
            <w:r w:rsidRPr="005B5418">
              <w:rPr>
                <w:rFonts w:eastAsia="Arial Unicode MS" w:cs="Arial"/>
                <w:sz w:val="22"/>
                <w:szCs w:val="22"/>
              </w:rPr>
              <w:t>Revenues</w:t>
            </w:r>
          </w:p>
          <w:p w14:paraId="22BF64F1" w14:textId="77777777" w:rsidR="00163053" w:rsidRPr="005B5418" w:rsidRDefault="00163053" w:rsidP="008848DA">
            <w:pPr>
              <w:pStyle w:val="ListParagraph"/>
              <w:autoSpaceDE w:val="0"/>
              <w:autoSpaceDN w:val="0"/>
              <w:spacing w:before="60" w:after="60" w:line="240" w:lineRule="auto"/>
              <w:ind w:left="1080"/>
              <w:contextualSpacing/>
              <w:jc w:val="left"/>
              <w:rPr>
                <w:rFonts w:eastAsia="Arial Unicode MS" w:cs="Arial"/>
                <w:sz w:val="22"/>
                <w:szCs w:val="22"/>
              </w:rPr>
            </w:pPr>
          </w:p>
          <w:p w14:paraId="23902E9F" w14:textId="5FEDA1F8" w:rsidR="00E77AB7" w:rsidRPr="005B5418" w:rsidRDefault="009F159E" w:rsidP="008848DA">
            <w:pPr>
              <w:autoSpaceDE w:val="0"/>
              <w:autoSpaceDN w:val="0"/>
              <w:spacing w:before="60" w:after="60" w:line="240" w:lineRule="auto"/>
              <w:contextualSpacing/>
              <w:rPr>
                <w:rFonts w:eastAsia="Arial Unicode MS" w:cs="Arial"/>
              </w:rPr>
            </w:pPr>
            <w:r w:rsidRPr="005B5418">
              <w:rPr>
                <w:rFonts w:ascii="Arial" w:eastAsia="Arial Unicode MS" w:hAnsi="Arial" w:cs="Arial"/>
              </w:rPr>
              <w:t xml:space="preserve">In addition, various specific topics within section II.3.8 include specific </w:t>
            </w:r>
            <w:r w:rsidR="00355015" w:rsidRPr="005B5418">
              <w:rPr>
                <w:rFonts w:ascii="Arial" w:eastAsia="Arial Unicode MS" w:hAnsi="Arial" w:cs="Arial"/>
              </w:rPr>
              <w:t>cost-</w:t>
            </w:r>
            <w:r w:rsidRPr="005B5418">
              <w:rPr>
                <w:rFonts w:ascii="Arial" w:eastAsia="Arial Unicode MS" w:hAnsi="Arial" w:cs="Arial"/>
              </w:rPr>
              <w:t>related questions. For example:</w:t>
            </w:r>
          </w:p>
          <w:p w14:paraId="6D593EA9" w14:textId="77777777" w:rsidR="009F159E" w:rsidRPr="005B5418" w:rsidRDefault="009F159E" w:rsidP="00825C76">
            <w:pPr>
              <w:pStyle w:val="ListParagraph"/>
              <w:numPr>
                <w:ilvl w:val="0"/>
                <w:numId w:val="70"/>
              </w:numPr>
              <w:autoSpaceDE w:val="0"/>
              <w:autoSpaceDN w:val="0"/>
              <w:spacing w:before="60" w:after="60" w:line="240" w:lineRule="auto"/>
              <w:contextualSpacing/>
              <w:jc w:val="left"/>
              <w:rPr>
                <w:rFonts w:eastAsia="Arial Unicode MS" w:cs="Arial"/>
                <w:sz w:val="22"/>
                <w:szCs w:val="22"/>
              </w:rPr>
            </w:pPr>
            <w:r w:rsidRPr="005B5418">
              <w:rPr>
                <w:rFonts w:eastAsia="Arial Unicode MS" w:cs="Arial"/>
                <w:sz w:val="22"/>
                <w:szCs w:val="22"/>
              </w:rPr>
              <w:t>See II.</w:t>
            </w:r>
            <w:r w:rsidR="00A9054E" w:rsidRPr="005B5418">
              <w:rPr>
                <w:rFonts w:eastAsia="Arial Unicode MS" w:cs="Arial"/>
                <w:sz w:val="22"/>
                <w:szCs w:val="22"/>
              </w:rPr>
              <w:t>3.</w:t>
            </w:r>
            <w:r w:rsidRPr="005B5418">
              <w:rPr>
                <w:rFonts w:eastAsia="Arial Unicode MS" w:cs="Arial"/>
                <w:sz w:val="22"/>
                <w:szCs w:val="22"/>
              </w:rPr>
              <w:t>8.8 for questions relating to credit program costs.</w:t>
            </w:r>
          </w:p>
          <w:p w14:paraId="13C5BC61" w14:textId="5C9BB504" w:rsidR="00163053" w:rsidRPr="005B5418" w:rsidRDefault="00163053" w:rsidP="00825C76">
            <w:pPr>
              <w:pStyle w:val="ListParagraph"/>
              <w:numPr>
                <w:ilvl w:val="0"/>
                <w:numId w:val="70"/>
              </w:numPr>
              <w:autoSpaceDE w:val="0"/>
              <w:autoSpaceDN w:val="0"/>
              <w:spacing w:before="60" w:after="60" w:line="240" w:lineRule="auto"/>
              <w:contextualSpacing/>
              <w:jc w:val="left"/>
              <w:rPr>
                <w:rFonts w:eastAsia="Arial Unicode MS" w:cs="Arial"/>
                <w:sz w:val="22"/>
                <w:szCs w:val="22"/>
              </w:rPr>
            </w:pPr>
            <w:r w:rsidRPr="005B5418">
              <w:rPr>
                <w:rFonts w:eastAsia="Arial Unicode MS" w:cs="Arial"/>
                <w:sz w:val="22"/>
                <w:szCs w:val="22"/>
              </w:rPr>
              <w:t xml:space="preserve">See II.3.8.9 for questions relating to Inventory, Materials, Supplies, and Commodity </w:t>
            </w:r>
            <w:r w:rsidR="009F159E" w:rsidRPr="005B5418">
              <w:rPr>
                <w:rFonts w:eastAsia="Arial Unicode MS" w:cs="Arial"/>
                <w:sz w:val="22"/>
                <w:szCs w:val="22"/>
              </w:rPr>
              <w:t>c</w:t>
            </w:r>
            <w:r w:rsidRPr="005B5418">
              <w:rPr>
                <w:rFonts w:eastAsia="Arial Unicode MS" w:cs="Arial"/>
                <w:sz w:val="22"/>
                <w:szCs w:val="22"/>
              </w:rPr>
              <w:t>osts</w:t>
            </w:r>
            <w:r w:rsidR="00355015" w:rsidRPr="005B5418">
              <w:rPr>
                <w:rFonts w:eastAsia="Arial Unicode MS" w:cs="Arial"/>
                <w:sz w:val="22"/>
                <w:szCs w:val="22"/>
              </w:rPr>
              <w:t>.</w:t>
            </w:r>
          </w:p>
          <w:p w14:paraId="23D886C5" w14:textId="5DF2DB86" w:rsidR="00163053" w:rsidRPr="005B5418" w:rsidRDefault="00163053" w:rsidP="00825C76">
            <w:pPr>
              <w:pStyle w:val="ListParagraph"/>
              <w:numPr>
                <w:ilvl w:val="0"/>
                <w:numId w:val="70"/>
              </w:numPr>
              <w:autoSpaceDE w:val="0"/>
              <w:autoSpaceDN w:val="0"/>
              <w:spacing w:before="60" w:after="60" w:line="240" w:lineRule="auto"/>
              <w:contextualSpacing/>
              <w:jc w:val="left"/>
              <w:rPr>
                <w:rFonts w:eastAsia="Arial Unicode MS" w:cs="Arial"/>
                <w:sz w:val="22"/>
                <w:szCs w:val="22"/>
              </w:rPr>
            </w:pPr>
            <w:r w:rsidRPr="005B5418">
              <w:rPr>
                <w:rFonts w:eastAsia="Arial Unicode MS" w:cs="Arial"/>
                <w:sz w:val="22"/>
                <w:szCs w:val="22"/>
              </w:rPr>
              <w:t xml:space="preserve">See II.3.8.10 for questions relating to </w:t>
            </w:r>
            <w:r w:rsidR="000A0C1F" w:rsidRPr="005B5418">
              <w:rPr>
                <w:rFonts w:eastAsia="Arial Unicode MS" w:cs="Arial"/>
                <w:sz w:val="22"/>
                <w:szCs w:val="22"/>
              </w:rPr>
              <w:t>PP&amp;E</w:t>
            </w:r>
            <w:r w:rsidRPr="005B5418">
              <w:rPr>
                <w:rFonts w:eastAsia="Arial Unicode MS" w:cs="Arial"/>
                <w:sz w:val="22"/>
                <w:szCs w:val="22"/>
              </w:rPr>
              <w:t xml:space="preserve"> </w:t>
            </w:r>
            <w:r w:rsidR="009F159E" w:rsidRPr="005B5418">
              <w:rPr>
                <w:rFonts w:eastAsia="Arial Unicode MS" w:cs="Arial"/>
                <w:sz w:val="22"/>
                <w:szCs w:val="22"/>
              </w:rPr>
              <w:t>c</w:t>
            </w:r>
            <w:r w:rsidRPr="005B5418">
              <w:rPr>
                <w:rFonts w:eastAsia="Arial Unicode MS" w:cs="Arial"/>
                <w:sz w:val="22"/>
                <w:szCs w:val="22"/>
              </w:rPr>
              <w:t>osts</w:t>
            </w:r>
            <w:r w:rsidR="00355015" w:rsidRPr="005B5418">
              <w:rPr>
                <w:rFonts w:eastAsia="Arial Unicode MS" w:cs="Arial"/>
                <w:sz w:val="22"/>
                <w:szCs w:val="22"/>
              </w:rPr>
              <w:t>.</w:t>
            </w:r>
          </w:p>
          <w:p w14:paraId="44B6E984" w14:textId="0D1EAFFD" w:rsidR="00A9054E" w:rsidRPr="005B5418" w:rsidRDefault="00A9054E" w:rsidP="00825C76">
            <w:pPr>
              <w:pStyle w:val="ListParagraph"/>
              <w:numPr>
                <w:ilvl w:val="0"/>
                <w:numId w:val="70"/>
              </w:numPr>
              <w:autoSpaceDE w:val="0"/>
              <w:autoSpaceDN w:val="0"/>
              <w:spacing w:before="60" w:after="60" w:line="240" w:lineRule="auto"/>
              <w:contextualSpacing/>
              <w:jc w:val="left"/>
              <w:rPr>
                <w:rFonts w:eastAsia="Arial Unicode MS" w:cs="Arial"/>
                <w:sz w:val="22"/>
                <w:szCs w:val="22"/>
              </w:rPr>
            </w:pPr>
            <w:r w:rsidRPr="005B5418">
              <w:rPr>
                <w:rFonts w:eastAsia="Arial Unicode MS" w:cs="Arial"/>
                <w:sz w:val="22"/>
                <w:szCs w:val="22"/>
              </w:rPr>
              <w:t>See II.3.8.14 for questions relating to Interest costs</w:t>
            </w:r>
            <w:r w:rsidR="002B7971" w:rsidRPr="005B5418">
              <w:rPr>
                <w:rFonts w:eastAsia="Arial Unicode MS" w:cs="Arial"/>
                <w:sz w:val="22"/>
                <w:szCs w:val="22"/>
              </w:rPr>
              <w:t>.</w:t>
            </w:r>
            <w:r w:rsidRPr="005B5418">
              <w:rPr>
                <w:rFonts w:eastAsia="Arial Unicode MS" w:cs="Arial"/>
                <w:sz w:val="22"/>
                <w:szCs w:val="22"/>
              </w:rPr>
              <w:t xml:space="preserve"> </w:t>
            </w:r>
          </w:p>
          <w:p w14:paraId="38293E67" w14:textId="5E197D0F" w:rsidR="009F159E" w:rsidRPr="005B5418" w:rsidRDefault="009F159E" w:rsidP="00825C76">
            <w:pPr>
              <w:pStyle w:val="ListParagraph"/>
              <w:numPr>
                <w:ilvl w:val="0"/>
                <w:numId w:val="70"/>
              </w:numPr>
              <w:autoSpaceDE w:val="0"/>
              <w:autoSpaceDN w:val="0"/>
              <w:spacing w:before="60" w:after="60" w:line="240" w:lineRule="auto"/>
              <w:contextualSpacing/>
              <w:jc w:val="left"/>
              <w:rPr>
                <w:rFonts w:eastAsia="Arial Unicode MS" w:cs="Arial"/>
                <w:sz w:val="22"/>
                <w:szCs w:val="22"/>
              </w:rPr>
            </w:pPr>
            <w:r w:rsidRPr="005B5418">
              <w:rPr>
                <w:rFonts w:eastAsia="Arial Unicode MS" w:cs="Arial"/>
                <w:sz w:val="22"/>
                <w:szCs w:val="22"/>
              </w:rPr>
              <w:t xml:space="preserve">See II.3.8.15 for questions relating to </w:t>
            </w:r>
            <w:r w:rsidR="00E071AB" w:rsidRPr="005B5418">
              <w:rPr>
                <w:rFonts w:eastAsia="Arial Unicode MS" w:cs="Arial"/>
                <w:sz w:val="22"/>
                <w:szCs w:val="22"/>
              </w:rPr>
              <w:t xml:space="preserve">Federal Employee Benefits, including </w:t>
            </w:r>
            <w:r w:rsidRPr="005B5418">
              <w:rPr>
                <w:rFonts w:eastAsia="Arial Unicode MS" w:cs="Arial"/>
                <w:sz w:val="22"/>
                <w:szCs w:val="22"/>
              </w:rPr>
              <w:t xml:space="preserve">Pensions, Other Retirement, and </w:t>
            </w:r>
            <w:r w:rsidR="00351660" w:rsidRPr="005B5418">
              <w:rPr>
                <w:rFonts w:eastAsia="Arial Unicode MS" w:cs="Arial"/>
                <w:sz w:val="22"/>
                <w:szCs w:val="22"/>
              </w:rPr>
              <w:t xml:space="preserve">Other </w:t>
            </w:r>
            <w:r w:rsidR="00355015" w:rsidRPr="005B5418">
              <w:rPr>
                <w:rFonts w:eastAsia="Arial Unicode MS" w:cs="Arial"/>
                <w:sz w:val="22"/>
                <w:szCs w:val="22"/>
              </w:rPr>
              <w:t>Post-Employment</w:t>
            </w:r>
            <w:r w:rsidRPr="005B5418">
              <w:rPr>
                <w:rFonts w:eastAsia="Arial Unicode MS" w:cs="Arial"/>
                <w:sz w:val="22"/>
                <w:szCs w:val="22"/>
              </w:rPr>
              <w:t xml:space="preserve"> Benefits costs</w:t>
            </w:r>
            <w:r w:rsidR="00355015" w:rsidRPr="005B5418">
              <w:rPr>
                <w:rFonts w:eastAsia="Arial Unicode MS" w:cs="Arial"/>
                <w:sz w:val="22"/>
                <w:szCs w:val="22"/>
              </w:rPr>
              <w:t>.</w:t>
            </w:r>
          </w:p>
          <w:p w14:paraId="214BB9E8" w14:textId="3F339C6C" w:rsidR="00163053" w:rsidRPr="005B5418" w:rsidRDefault="00163053" w:rsidP="00825C76">
            <w:pPr>
              <w:pStyle w:val="ListParagraph"/>
              <w:numPr>
                <w:ilvl w:val="0"/>
                <w:numId w:val="70"/>
              </w:numPr>
              <w:autoSpaceDE w:val="0"/>
              <w:autoSpaceDN w:val="0"/>
              <w:spacing w:before="60" w:after="60" w:line="240" w:lineRule="auto"/>
              <w:contextualSpacing/>
              <w:jc w:val="left"/>
              <w:rPr>
                <w:rFonts w:eastAsia="Arial Unicode MS" w:cs="Arial"/>
                <w:sz w:val="22"/>
                <w:szCs w:val="22"/>
              </w:rPr>
            </w:pPr>
            <w:r w:rsidRPr="005B5418">
              <w:rPr>
                <w:rFonts w:eastAsia="Arial Unicode MS" w:cs="Arial"/>
                <w:sz w:val="22"/>
                <w:szCs w:val="22"/>
              </w:rPr>
              <w:t xml:space="preserve">See II.3.8.16 for questions relating to Cleanup </w:t>
            </w:r>
            <w:r w:rsidR="009F159E" w:rsidRPr="005B5418">
              <w:rPr>
                <w:rFonts w:eastAsia="Arial Unicode MS" w:cs="Arial"/>
                <w:sz w:val="22"/>
                <w:szCs w:val="22"/>
              </w:rPr>
              <w:t>c</w:t>
            </w:r>
            <w:r w:rsidRPr="005B5418">
              <w:rPr>
                <w:rFonts w:eastAsia="Arial Unicode MS" w:cs="Arial"/>
                <w:sz w:val="22"/>
                <w:szCs w:val="22"/>
              </w:rPr>
              <w:t>osts</w:t>
            </w:r>
            <w:r w:rsidR="00355015" w:rsidRPr="005B5418">
              <w:rPr>
                <w:rFonts w:eastAsia="Arial Unicode MS" w:cs="Arial"/>
                <w:sz w:val="22"/>
                <w:szCs w:val="22"/>
              </w:rPr>
              <w:t>.</w:t>
            </w:r>
          </w:p>
          <w:p w14:paraId="5DA8AC7A" w14:textId="17D2BF02" w:rsidR="007532F2" w:rsidRPr="005B5418" w:rsidRDefault="007532F2" w:rsidP="00825C76">
            <w:pPr>
              <w:pStyle w:val="ListParagraph"/>
              <w:numPr>
                <w:ilvl w:val="0"/>
                <w:numId w:val="70"/>
              </w:numPr>
              <w:autoSpaceDE w:val="0"/>
              <w:autoSpaceDN w:val="0"/>
              <w:spacing w:before="60" w:after="60" w:line="240" w:lineRule="auto"/>
              <w:contextualSpacing/>
              <w:jc w:val="left"/>
              <w:rPr>
                <w:rFonts w:eastAsia="Arial Unicode MS" w:cs="Arial"/>
                <w:sz w:val="22"/>
                <w:szCs w:val="22"/>
              </w:rPr>
            </w:pPr>
            <w:r w:rsidRPr="005B5418">
              <w:rPr>
                <w:rFonts w:eastAsia="Arial Unicode MS" w:cs="Arial"/>
                <w:sz w:val="22"/>
                <w:szCs w:val="22"/>
              </w:rPr>
              <w:t xml:space="preserve">See II.3.8.19 for questions </w:t>
            </w:r>
            <w:r w:rsidR="00D45007" w:rsidRPr="005B5418">
              <w:rPr>
                <w:rFonts w:eastAsia="Arial Unicode MS" w:cs="Arial"/>
                <w:sz w:val="22"/>
                <w:szCs w:val="22"/>
              </w:rPr>
              <w:t>relating to</w:t>
            </w:r>
            <w:r w:rsidRPr="005B5418">
              <w:rPr>
                <w:rFonts w:eastAsia="Arial Unicode MS" w:cs="Arial"/>
                <w:sz w:val="22"/>
                <w:szCs w:val="22"/>
              </w:rPr>
              <w:t xml:space="preserve"> Lease</w:t>
            </w:r>
            <w:r w:rsidR="00E071AB" w:rsidRPr="005B5418">
              <w:rPr>
                <w:rFonts w:eastAsia="Arial Unicode MS" w:cs="Arial"/>
                <w:sz w:val="22"/>
                <w:szCs w:val="22"/>
              </w:rPr>
              <w:t xml:space="preserve"> costs</w:t>
            </w:r>
            <w:r w:rsidRPr="005B5418">
              <w:rPr>
                <w:rFonts w:eastAsia="Arial Unicode MS" w:cs="Arial"/>
                <w:sz w:val="22"/>
                <w:szCs w:val="22"/>
              </w:rPr>
              <w:t xml:space="preserve">. </w:t>
            </w:r>
          </w:p>
          <w:p w14:paraId="7127AD81" w14:textId="77777777" w:rsidR="004D1C96" w:rsidRPr="005B5418" w:rsidRDefault="004D1C96" w:rsidP="008848DA">
            <w:pPr>
              <w:pStyle w:val="ListParagraph"/>
              <w:autoSpaceDE w:val="0"/>
              <w:autoSpaceDN w:val="0"/>
              <w:spacing w:before="60" w:after="60" w:line="240" w:lineRule="auto"/>
              <w:ind w:left="1080"/>
              <w:contextualSpacing/>
              <w:jc w:val="left"/>
              <w:rPr>
                <w:rFonts w:eastAsia="Arial Unicode MS" w:cs="Arial"/>
                <w:sz w:val="22"/>
                <w:szCs w:val="22"/>
              </w:rPr>
            </w:pPr>
          </w:p>
        </w:tc>
      </w:tr>
    </w:tbl>
    <w:p w14:paraId="76048E19" w14:textId="77777777" w:rsidR="00221E16" w:rsidRPr="005B5418" w:rsidRDefault="00F45069" w:rsidP="003B61E9">
      <w:pPr>
        <w:spacing w:line="240" w:lineRule="auto"/>
        <w:rPr>
          <w:rFonts w:eastAsia="Arial Unicode MS" w:cs="Arial"/>
        </w:rPr>
      </w:pPr>
      <w:r w:rsidRPr="005B5418">
        <w:rPr>
          <w:rFonts w:eastAsia="Arial Unicode M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221E16" w:rsidRPr="005B5418" w14:paraId="7936DC83" w14:textId="77777777" w:rsidTr="004A7B37">
        <w:trPr>
          <w:tblHeader/>
        </w:trPr>
        <w:tc>
          <w:tcPr>
            <w:tcW w:w="5400" w:type="dxa"/>
          </w:tcPr>
          <w:p w14:paraId="27CC4D6B" w14:textId="77777777" w:rsidR="00221E16" w:rsidRPr="005B5418" w:rsidRDefault="00221E16" w:rsidP="008848DA">
            <w:pPr>
              <w:pStyle w:val="Heading4"/>
              <w:spacing w:before="60" w:after="60" w:line="240" w:lineRule="auto"/>
              <w:jc w:val="left"/>
              <w:rPr>
                <w:b/>
                <w:i/>
                <w:u w:val="none"/>
              </w:rPr>
            </w:pPr>
            <w:r w:rsidRPr="005B5418">
              <w:lastRenderedPageBreak/>
              <w:br w:type="page"/>
            </w:r>
            <w:bookmarkStart w:id="67" w:name="_Ref392097270"/>
            <w:bookmarkStart w:id="68" w:name="_Toc394667876"/>
            <w:bookmarkStart w:id="69" w:name="_Ref384815401"/>
            <w:r w:rsidRPr="005B5418">
              <w:rPr>
                <w:b/>
                <w:u w:val="none"/>
              </w:rPr>
              <w:t>II.3.3 Statement of Net Cost</w:t>
            </w:r>
            <w:bookmarkEnd w:id="67"/>
            <w:bookmarkEnd w:id="68"/>
            <w:r w:rsidRPr="005B5418">
              <w:rPr>
                <w:b/>
                <w:u w:val="none"/>
              </w:rPr>
              <w:t xml:space="preserve"> </w:t>
            </w:r>
            <w:bookmarkEnd w:id="69"/>
          </w:p>
        </w:tc>
        <w:tc>
          <w:tcPr>
            <w:tcW w:w="965" w:type="dxa"/>
          </w:tcPr>
          <w:p w14:paraId="63C2D0EB" w14:textId="77777777" w:rsidR="00221E16" w:rsidRPr="005B5418" w:rsidRDefault="00221E16" w:rsidP="008848DA">
            <w:pPr>
              <w:pStyle w:val="TableCellCenter"/>
              <w:spacing w:before="60" w:after="60"/>
              <w:jc w:val="left"/>
            </w:pPr>
            <w:r w:rsidRPr="005B5418">
              <w:t>Yes, No, or N/A</w:t>
            </w:r>
          </w:p>
        </w:tc>
        <w:tc>
          <w:tcPr>
            <w:tcW w:w="3211" w:type="dxa"/>
          </w:tcPr>
          <w:p w14:paraId="43D5B969" w14:textId="3BED4C30" w:rsidR="00221E16" w:rsidRPr="005B5418" w:rsidRDefault="00221E16" w:rsidP="008848DA">
            <w:pPr>
              <w:pStyle w:val="TableCellCenter"/>
              <w:spacing w:before="60" w:after="60"/>
              <w:jc w:val="left"/>
            </w:pPr>
            <w:r w:rsidRPr="005B5418">
              <w:t xml:space="preserve">Explanation </w:t>
            </w:r>
            <w:r w:rsidR="00D534F3" w:rsidRPr="005B5418">
              <w:t xml:space="preserve">and </w:t>
            </w:r>
            <w:r w:rsidRPr="005B5418">
              <w:t>Reference</w:t>
            </w:r>
          </w:p>
        </w:tc>
      </w:tr>
      <w:tr w:rsidR="00221E16" w:rsidRPr="005B5418" w14:paraId="72E81868" w14:textId="77777777" w:rsidTr="00E162E0">
        <w:tc>
          <w:tcPr>
            <w:tcW w:w="9576" w:type="dxa"/>
            <w:gridSpan w:val="3"/>
          </w:tcPr>
          <w:p w14:paraId="48B698F5" w14:textId="47DAD825" w:rsidR="009F159E" w:rsidRPr="005B5418" w:rsidRDefault="00FB21EF" w:rsidP="008848DA">
            <w:pPr>
              <w:pStyle w:val="Table-Note"/>
              <w:spacing w:before="60" w:after="60" w:line="240" w:lineRule="auto"/>
              <w:ind w:left="0"/>
              <w:rPr>
                <w:rFonts w:cs="Arial"/>
                <w:b/>
                <w:i w:val="0"/>
                <w:sz w:val="22"/>
                <w:szCs w:val="22"/>
              </w:rPr>
            </w:pPr>
            <w:r w:rsidRPr="005B5418">
              <w:rPr>
                <w:rFonts w:cs="Arial"/>
                <w:b/>
                <w:i w:val="0"/>
                <w:sz w:val="22"/>
                <w:szCs w:val="22"/>
              </w:rPr>
              <w:t>SNC</w:t>
            </w:r>
            <w:r w:rsidR="009F159E" w:rsidRPr="005B5418">
              <w:rPr>
                <w:rFonts w:cs="Arial"/>
                <w:b/>
                <w:i w:val="0"/>
                <w:sz w:val="22"/>
                <w:szCs w:val="22"/>
              </w:rPr>
              <w:t xml:space="preserve"> </w:t>
            </w:r>
            <w:r w:rsidR="003D2CD9" w:rsidRPr="005B5418">
              <w:rPr>
                <w:rFonts w:cs="Arial"/>
                <w:b/>
                <w:i w:val="0"/>
                <w:sz w:val="22"/>
                <w:szCs w:val="22"/>
              </w:rPr>
              <w:t>–</w:t>
            </w:r>
            <w:r w:rsidR="009F159E" w:rsidRPr="005B5418">
              <w:rPr>
                <w:rFonts w:cs="Arial"/>
                <w:b/>
                <w:i w:val="0"/>
                <w:sz w:val="22"/>
                <w:szCs w:val="22"/>
              </w:rPr>
              <w:t xml:space="preserve"> </w:t>
            </w:r>
            <w:r w:rsidR="00BE3D5F" w:rsidRPr="005B5418">
              <w:rPr>
                <w:rFonts w:cs="Arial"/>
                <w:b/>
                <w:i w:val="0"/>
                <w:sz w:val="22"/>
                <w:szCs w:val="22"/>
              </w:rPr>
              <w:t>Presentation</w:t>
            </w:r>
          </w:p>
          <w:p w14:paraId="2016C327" w14:textId="50359639" w:rsidR="003B6E64" w:rsidRPr="005B5418" w:rsidRDefault="00221E16" w:rsidP="008848DA">
            <w:pPr>
              <w:pStyle w:val="Table-Note"/>
              <w:spacing w:before="60" w:after="60" w:line="240" w:lineRule="auto"/>
              <w:ind w:left="0"/>
              <w:jc w:val="left"/>
              <w:rPr>
                <w:rFonts w:cs="Arial"/>
                <w:i w:val="0"/>
                <w:sz w:val="22"/>
                <w:szCs w:val="22"/>
              </w:rPr>
            </w:pPr>
            <w:r w:rsidRPr="005B5418">
              <w:rPr>
                <w:rFonts w:cs="Arial"/>
                <w:i w:val="0"/>
                <w:sz w:val="22"/>
                <w:szCs w:val="22"/>
              </w:rPr>
              <w:t>The SNC shows the reporting entity’s net cost of operations as a whole and by major program. Programs not deemed “major” should be grouped together. (A-136, section II.3.3.1)</w:t>
            </w:r>
          </w:p>
          <w:p w14:paraId="244961F9" w14:textId="71D9FCEE" w:rsidR="00113327" w:rsidRPr="005B5418" w:rsidRDefault="003B6E64" w:rsidP="008848DA">
            <w:pPr>
              <w:pStyle w:val="Table-Note"/>
              <w:spacing w:before="60" w:after="60" w:line="240" w:lineRule="auto"/>
              <w:ind w:left="0"/>
              <w:jc w:val="left"/>
              <w:rPr>
                <w:i w:val="0"/>
                <w:sz w:val="22"/>
                <w:szCs w:val="22"/>
              </w:rPr>
            </w:pPr>
            <w:r w:rsidRPr="005B5418">
              <w:rPr>
                <w:i w:val="0"/>
                <w:sz w:val="22"/>
                <w:szCs w:val="22"/>
              </w:rPr>
              <w:t xml:space="preserve">Management of each reporting entity should define and establish responsibility segments. Managerial cost accounting should be performed to measure and report the cost of each segment’s outputs. Since responsibility segments are major parts of an entity, some segments may carry </w:t>
            </w:r>
            <w:r w:rsidR="00AC00AF" w:rsidRPr="005B5418">
              <w:rPr>
                <w:i w:val="0"/>
                <w:sz w:val="22"/>
                <w:szCs w:val="22"/>
              </w:rPr>
              <w:t xml:space="preserve">out </w:t>
            </w:r>
            <w:r w:rsidRPr="005B5418">
              <w:rPr>
                <w:i w:val="0"/>
                <w:sz w:val="22"/>
                <w:szCs w:val="22"/>
              </w:rPr>
              <w:t>more than one program. Some programs may be jointly managed by two or more segments. Thus, each segment must accumulate costs for each type of output produced for various programs. Major program definition is at the entity’s discretion. (SFFAS 4, par</w:t>
            </w:r>
            <w:r w:rsidR="00BF14A1" w:rsidRPr="005B5418">
              <w:rPr>
                <w:i w:val="0"/>
                <w:sz w:val="22"/>
                <w:szCs w:val="22"/>
              </w:rPr>
              <w:t>a</w:t>
            </w:r>
            <w:r w:rsidR="00BF4D81" w:rsidRPr="005B5418">
              <w:rPr>
                <w:i w:val="0"/>
                <w:sz w:val="22"/>
                <w:szCs w:val="22"/>
              </w:rPr>
              <w:t>s</w:t>
            </w:r>
            <w:r w:rsidRPr="005B5418">
              <w:rPr>
                <w:i w:val="0"/>
                <w:sz w:val="22"/>
                <w:szCs w:val="22"/>
              </w:rPr>
              <w:t>.</w:t>
            </w:r>
            <w:r w:rsidR="00BF4D81" w:rsidRPr="005B5418">
              <w:rPr>
                <w:i w:val="0"/>
                <w:sz w:val="22"/>
                <w:szCs w:val="22"/>
              </w:rPr>
              <w:t xml:space="preserve"> 6 and</w:t>
            </w:r>
            <w:r w:rsidRPr="005B5418">
              <w:rPr>
                <w:i w:val="0"/>
                <w:sz w:val="22"/>
                <w:szCs w:val="22"/>
              </w:rPr>
              <w:t xml:space="preserve"> 88)</w:t>
            </w:r>
          </w:p>
          <w:p w14:paraId="2E4046C7" w14:textId="77777777" w:rsidR="00113327" w:rsidRPr="005B5418" w:rsidRDefault="00C8347C" w:rsidP="008848DA">
            <w:pPr>
              <w:pStyle w:val="Table-Note"/>
              <w:spacing w:before="60" w:after="60" w:line="240" w:lineRule="auto"/>
              <w:ind w:left="0"/>
              <w:jc w:val="left"/>
              <w:rPr>
                <w:rFonts w:cs="Arial"/>
                <w:sz w:val="22"/>
                <w:szCs w:val="22"/>
              </w:rPr>
            </w:pPr>
            <w:r w:rsidRPr="005B5418">
              <w:rPr>
                <w:i w:val="0"/>
                <w:sz w:val="22"/>
                <w:szCs w:val="22"/>
              </w:rPr>
              <w:t xml:space="preserve">For the purposes of this section, responsibility segments and </w:t>
            </w:r>
            <w:r w:rsidR="0055425A" w:rsidRPr="005B5418">
              <w:rPr>
                <w:i w:val="0"/>
                <w:sz w:val="22"/>
                <w:szCs w:val="22"/>
              </w:rPr>
              <w:t xml:space="preserve">major </w:t>
            </w:r>
            <w:r w:rsidRPr="005B5418">
              <w:rPr>
                <w:i w:val="0"/>
                <w:sz w:val="22"/>
                <w:szCs w:val="22"/>
              </w:rPr>
              <w:t xml:space="preserve">programs are used interchangeably. </w:t>
            </w:r>
          </w:p>
        </w:tc>
      </w:tr>
      <w:tr w:rsidR="00221E16" w:rsidRPr="005B5418" w14:paraId="2D6862DC" w14:textId="77777777" w:rsidTr="00E162E0">
        <w:trPr>
          <w:trHeight w:val="1070"/>
        </w:trPr>
        <w:tc>
          <w:tcPr>
            <w:tcW w:w="5400" w:type="dxa"/>
          </w:tcPr>
          <w:p w14:paraId="4CFD3EFF" w14:textId="2004A987" w:rsidR="00221E16" w:rsidRPr="005B5418" w:rsidRDefault="00221E16" w:rsidP="005425ED">
            <w:pPr>
              <w:pStyle w:val="FAM-Table-outline"/>
              <w:numPr>
                <w:ilvl w:val="0"/>
                <w:numId w:val="190"/>
              </w:numPr>
              <w:spacing w:line="240" w:lineRule="auto"/>
              <w:rPr>
                <w:rFonts w:cs="Arial"/>
              </w:rPr>
            </w:pPr>
            <w:r w:rsidRPr="005B5418">
              <w:t xml:space="preserve">Does the </w:t>
            </w:r>
            <w:r w:rsidR="00614FEA" w:rsidRPr="005B5418">
              <w:t>SNC</w:t>
            </w:r>
            <w:r w:rsidRPr="005B5418">
              <w:t xml:space="preserve"> report net costs for the entity as a whole and for its major programs? (A-136, section II.3.3.1)</w:t>
            </w:r>
            <w:r w:rsidRPr="005B5418">
              <w:rPr>
                <w:rFonts w:cs="Arial"/>
              </w:rPr>
              <w:t xml:space="preserve"> </w:t>
            </w:r>
          </w:p>
        </w:tc>
        <w:tc>
          <w:tcPr>
            <w:tcW w:w="965" w:type="dxa"/>
          </w:tcPr>
          <w:p w14:paraId="2A66A829" w14:textId="77777777" w:rsidR="00221E16" w:rsidRPr="005B5418" w:rsidRDefault="00221E16" w:rsidP="008848DA">
            <w:pPr>
              <w:pStyle w:val="Table-Cell-CenterBoldBefore6ptAfter6pt"/>
              <w:spacing w:before="60" w:after="60"/>
              <w:rPr>
                <w:rFonts w:cs="Arial"/>
              </w:rPr>
            </w:pPr>
          </w:p>
        </w:tc>
        <w:tc>
          <w:tcPr>
            <w:tcW w:w="3211" w:type="dxa"/>
          </w:tcPr>
          <w:p w14:paraId="3F4DF979" w14:textId="77777777" w:rsidR="00221E16" w:rsidRPr="005B5418" w:rsidRDefault="00221E16" w:rsidP="008848DA">
            <w:pPr>
              <w:spacing w:before="60" w:after="60" w:line="240" w:lineRule="auto"/>
              <w:rPr>
                <w:rFonts w:cs="Arial"/>
              </w:rPr>
            </w:pPr>
          </w:p>
        </w:tc>
      </w:tr>
      <w:tr w:rsidR="00221E16" w:rsidRPr="005B5418" w14:paraId="39C2CA46" w14:textId="77777777" w:rsidTr="00E162E0">
        <w:trPr>
          <w:trHeight w:val="2160"/>
        </w:trPr>
        <w:tc>
          <w:tcPr>
            <w:tcW w:w="5400" w:type="dxa"/>
          </w:tcPr>
          <w:p w14:paraId="18A56BD7" w14:textId="143976F3" w:rsidR="00221E16" w:rsidRPr="005B5418" w:rsidRDefault="00221E16" w:rsidP="005425ED">
            <w:pPr>
              <w:pStyle w:val="FAM-Table-outline"/>
              <w:widowControl/>
              <w:numPr>
                <w:ilvl w:val="0"/>
                <w:numId w:val="190"/>
              </w:numPr>
              <w:adjustRightInd/>
              <w:spacing w:line="240" w:lineRule="auto"/>
              <w:textAlignment w:val="auto"/>
              <w:rPr>
                <w:rFonts w:cs="Arial"/>
              </w:rPr>
            </w:pPr>
            <w:r w:rsidRPr="005B5418">
              <w:rPr>
                <w:rFonts w:cs="Arial"/>
              </w:rPr>
              <w:t xml:space="preserve">Does the </w:t>
            </w:r>
            <w:r w:rsidR="00614FEA" w:rsidRPr="005B5418">
              <w:rPr>
                <w:rFonts w:cs="Arial"/>
              </w:rPr>
              <w:t>SNC</w:t>
            </w:r>
            <w:r w:rsidRPr="005B5418">
              <w:rPr>
                <w:rFonts w:cs="Arial"/>
              </w:rPr>
              <w:t xml:space="preserve"> report by</w:t>
            </w:r>
          </w:p>
          <w:p w14:paraId="1D26C963" w14:textId="77777777" w:rsidR="00221E16" w:rsidRPr="005B5418" w:rsidRDefault="00221E16" w:rsidP="005425ED">
            <w:pPr>
              <w:pStyle w:val="FAM-Table-outline2"/>
              <w:tabs>
                <w:tab w:val="num" w:pos="1530"/>
              </w:tabs>
              <w:spacing w:line="240" w:lineRule="auto"/>
              <w:ind w:left="1140" w:hanging="443"/>
              <w:rPr>
                <w:rFonts w:eastAsia="Arial Unicode MS"/>
              </w:rPr>
            </w:pPr>
            <w:r w:rsidRPr="005B5418">
              <w:rPr>
                <w:rFonts w:eastAsia="Arial Unicode MS"/>
              </w:rPr>
              <w:t xml:space="preserve">program </w:t>
            </w:r>
            <w:r w:rsidR="00535A03" w:rsidRPr="005B5418">
              <w:rPr>
                <w:rFonts w:eastAsia="Arial Unicode MS"/>
              </w:rPr>
              <w:t xml:space="preserve">gross </w:t>
            </w:r>
            <w:r w:rsidRPr="005B5418">
              <w:rPr>
                <w:rFonts w:eastAsia="Arial Unicode MS"/>
              </w:rPr>
              <w:t>costs;</w:t>
            </w:r>
          </w:p>
          <w:p w14:paraId="740889DE" w14:textId="77777777" w:rsidR="00221E16" w:rsidRPr="005B5418" w:rsidRDefault="00221E16" w:rsidP="005425ED">
            <w:pPr>
              <w:pStyle w:val="FAM-Table-outline2"/>
              <w:tabs>
                <w:tab w:val="num" w:pos="1530"/>
              </w:tabs>
              <w:spacing w:line="240" w:lineRule="auto"/>
              <w:ind w:left="1140" w:hanging="443"/>
              <w:rPr>
                <w:rFonts w:eastAsia="Arial Unicode MS"/>
              </w:rPr>
            </w:pPr>
            <w:r w:rsidRPr="005B5418">
              <w:rPr>
                <w:rFonts w:eastAsia="Arial Unicode MS"/>
              </w:rPr>
              <w:t>related exchange revenues;</w:t>
            </w:r>
          </w:p>
          <w:p w14:paraId="069DFE9E" w14:textId="77777777" w:rsidR="00221E16" w:rsidRPr="005B5418" w:rsidRDefault="00221E16" w:rsidP="005425ED">
            <w:pPr>
              <w:pStyle w:val="FAM-Table-outline2"/>
              <w:tabs>
                <w:tab w:val="num" w:pos="1530"/>
              </w:tabs>
              <w:spacing w:line="240" w:lineRule="auto"/>
              <w:ind w:left="1140" w:hanging="443"/>
              <w:rPr>
                <w:rFonts w:eastAsia="Arial Unicode MS"/>
              </w:rPr>
            </w:pPr>
            <w:r w:rsidRPr="005B5418">
              <w:rPr>
                <w:rFonts w:eastAsia="Arial Unicode MS"/>
              </w:rPr>
              <w:t>excess of costs over exchange revenues (net program costs);</w:t>
            </w:r>
          </w:p>
          <w:p w14:paraId="763D9557" w14:textId="77777777" w:rsidR="00221E16" w:rsidRPr="005B5418" w:rsidRDefault="00221E16" w:rsidP="005425ED">
            <w:pPr>
              <w:pStyle w:val="FAM-Table-outline2"/>
              <w:tabs>
                <w:tab w:val="num" w:pos="1530"/>
              </w:tabs>
              <w:spacing w:line="240" w:lineRule="auto"/>
              <w:ind w:left="1140" w:hanging="443"/>
              <w:rPr>
                <w:rFonts w:eastAsia="Arial Unicode MS"/>
              </w:rPr>
            </w:pPr>
            <w:r w:rsidRPr="005B5418">
              <w:rPr>
                <w:rFonts w:eastAsia="Arial Unicode MS"/>
              </w:rPr>
              <w:t>gain/loss on pension, ORB, or OPEB assumption changes;</w:t>
            </w:r>
          </w:p>
          <w:p w14:paraId="33970F4F" w14:textId="77777777" w:rsidR="00221E16" w:rsidRPr="005B5418" w:rsidRDefault="00221E16" w:rsidP="005425ED">
            <w:pPr>
              <w:pStyle w:val="FAM-Table-outline2"/>
              <w:tabs>
                <w:tab w:val="num" w:pos="1530"/>
              </w:tabs>
              <w:spacing w:line="240" w:lineRule="auto"/>
              <w:ind w:left="1140" w:hanging="443"/>
              <w:rPr>
                <w:rFonts w:eastAsia="Arial Unicode MS"/>
              </w:rPr>
            </w:pPr>
            <w:r w:rsidRPr="005B5418">
              <w:rPr>
                <w:rFonts w:eastAsia="Arial Unicode MS"/>
              </w:rPr>
              <w:t>any costs that cannot be assigned to specific programs or outputs; and</w:t>
            </w:r>
          </w:p>
          <w:p w14:paraId="45332855" w14:textId="68A49430" w:rsidR="00221E16" w:rsidRPr="005B5418" w:rsidRDefault="00221E16" w:rsidP="005425ED">
            <w:pPr>
              <w:pStyle w:val="FAM-Table-outline2"/>
              <w:tabs>
                <w:tab w:val="num" w:pos="1530"/>
              </w:tabs>
              <w:spacing w:line="240" w:lineRule="auto"/>
              <w:ind w:left="1140" w:hanging="443"/>
              <w:rPr>
                <w:rFonts w:cs="Arial"/>
              </w:rPr>
            </w:pPr>
            <w:r w:rsidRPr="005B5418">
              <w:rPr>
                <w:rFonts w:eastAsia="Arial Unicode MS"/>
              </w:rPr>
              <w:t>any exchange revenues that cannot be assigned to specific programs or outputs? (SFFAS 7, par</w:t>
            </w:r>
            <w:r w:rsidR="00614FEA" w:rsidRPr="005B5418">
              <w:rPr>
                <w:rFonts w:eastAsia="Arial Unicode MS"/>
              </w:rPr>
              <w:t>as</w:t>
            </w:r>
            <w:r w:rsidRPr="005B5418">
              <w:rPr>
                <w:rFonts w:eastAsia="Arial Unicode MS"/>
              </w:rPr>
              <w:t>. 43</w:t>
            </w:r>
            <w:r w:rsidR="00614FEA" w:rsidRPr="005B5418">
              <w:rPr>
                <w:rFonts w:eastAsia="Arial Unicode MS"/>
              </w:rPr>
              <w:t>–</w:t>
            </w:r>
            <w:r w:rsidRPr="005B5418">
              <w:rPr>
                <w:rFonts w:eastAsia="Arial Unicode MS"/>
              </w:rPr>
              <w:t>44</w:t>
            </w:r>
            <w:r w:rsidR="00A66C25" w:rsidRPr="005B5418">
              <w:rPr>
                <w:rFonts w:eastAsia="Arial Unicode MS"/>
              </w:rPr>
              <w:t xml:space="preserve"> and SFFAS 33, para. 1</w:t>
            </w:r>
            <w:r w:rsidR="00A86AB9" w:rsidRPr="005B5418">
              <w:rPr>
                <w:rFonts w:eastAsia="Arial Unicode MS"/>
              </w:rPr>
              <w:t>9</w:t>
            </w:r>
            <w:r w:rsidRPr="005B5418">
              <w:rPr>
                <w:rFonts w:eastAsia="Arial Unicode MS"/>
              </w:rPr>
              <w:t>)</w:t>
            </w:r>
          </w:p>
        </w:tc>
        <w:tc>
          <w:tcPr>
            <w:tcW w:w="965" w:type="dxa"/>
          </w:tcPr>
          <w:p w14:paraId="569F2E87" w14:textId="77777777" w:rsidR="00221E16" w:rsidRPr="005B5418" w:rsidRDefault="00221E16" w:rsidP="008848DA">
            <w:pPr>
              <w:pStyle w:val="Table-Cell-CenterBoldBefore6ptAfter6pt"/>
              <w:spacing w:before="60" w:after="60"/>
              <w:rPr>
                <w:rFonts w:cs="Arial"/>
                <w:lang w:val="pt-BR"/>
              </w:rPr>
            </w:pPr>
          </w:p>
        </w:tc>
        <w:tc>
          <w:tcPr>
            <w:tcW w:w="3211" w:type="dxa"/>
          </w:tcPr>
          <w:p w14:paraId="33C8CF3B" w14:textId="77777777" w:rsidR="00221E16" w:rsidRPr="005B5418" w:rsidRDefault="00221E16" w:rsidP="008848DA">
            <w:pPr>
              <w:spacing w:before="60" w:after="60" w:line="240" w:lineRule="auto"/>
              <w:rPr>
                <w:rFonts w:cs="Arial"/>
                <w:lang w:val="pt-BR"/>
              </w:rPr>
            </w:pPr>
          </w:p>
        </w:tc>
      </w:tr>
      <w:tr w:rsidR="00221E16" w:rsidRPr="005B5418" w14:paraId="4EBB0BDB" w14:textId="77777777" w:rsidTr="002B5654">
        <w:trPr>
          <w:trHeight w:val="791"/>
        </w:trPr>
        <w:tc>
          <w:tcPr>
            <w:tcW w:w="5400" w:type="dxa"/>
          </w:tcPr>
          <w:p w14:paraId="00D6AFFB" w14:textId="77777777" w:rsidR="00221E16" w:rsidRPr="005B5418" w:rsidRDefault="00221E16" w:rsidP="005425ED">
            <w:pPr>
              <w:pStyle w:val="FAM-Table-outline"/>
              <w:widowControl/>
              <w:numPr>
                <w:ilvl w:val="0"/>
                <w:numId w:val="190"/>
              </w:numPr>
              <w:adjustRightInd/>
              <w:spacing w:line="240" w:lineRule="auto"/>
              <w:textAlignment w:val="auto"/>
              <w:rPr>
                <w:rFonts w:cs="Arial"/>
              </w:rPr>
            </w:pPr>
            <w:r w:rsidRPr="005B5418">
              <w:rPr>
                <w:rFonts w:cs="Arial"/>
              </w:rPr>
              <w:t>Does the entity report the full cost of each program’s output that consists of</w:t>
            </w:r>
          </w:p>
          <w:p w14:paraId="4729EDC6" w14:textId="122178C2" w:rsidR="00221E16" w:rsidRPr="005B5418" w:rsidRDefault="00221E16" w:rsidP="005425ED">
            <w:pPr>
              <w:pStyle w:val="FAM-Table-outline2"/>
              <w:tabs>
                <w:tab w:val="num" w:pos="1530"/>
              </w:tabs>
              <w:spacing w:line="240" w:lineRule="auto"/>
              <w:ind w:left="1140" w:hanging="443"/>
              <w:rPr>
                <w:rFonts w:eastAsia="Arial Unicode MS"/>
              </w:rPr>
            </w:pPr>
            <w:r w:rsidRPr="005B5418">
              <w:rPr>
                <w:rFonts w:eastAsia="Arial Unicode MS"/>
              </w:rPr>
              <w:t>direct and indirect costs</w:t>
            </w:r>
            <w:r w:rsidR="00B0434F" w:rsidRPr="005B5418">
              <w:rPr>
                <w:rFonts w:eastAsia="Arial Unicode MS"/>
              </w:rPr>
              <w:t xml:space="preserve"> that contribute to</w:t>
            </w:r>
            <w:r w:rsidRPr="005B5418">
              <w:rPr>
                <w:rFonts w:eastAsia="Arial Unicode MS"/>
              </w:rPr>
              <w:t xml:space="preserve"> the output and</w:t>
            </w:r>
          </w:p>
          <w:p w14:paraId="2E93AA9C" w14:textId="4921EB95" w:rsidR="00221E16" w:rsidRPr="005B5418" w:rsidRDefault="00221E16" w:rsidP="005425ED">
            <w:pPr>
              <w:pStyle w:val="FAM-Table-outline2"/>
              <w:tabs>
                <w:tab w:val="num" w:pos="1530"/>
              </w:tabs>
              <w:spacing w:line="240" w:lineRule="auto"/>
              <w:ind w:left="1140" w:hanging="443"/>
              <w:rPr>
                <w:rFonts w:eastAsia="Arial Unicode MS"/>
              </w:rPr>
            </w:pPr>
            <w:r w:rsidRPr="005B5418">
              <w:rPr>
                <w:rFonts w:eastAsia="Arial Unicode MS"/>
              </w:rPr>
              <w:t xml:space="preserve">the costs of identifiable supporting services provided by other </w:t>
            </w:r>
            <w:r w:rsidR="00883729" w:rsidRPr="005B5418">
              <w:rPr>
                <w:rFonts w:eastAsia="Arial Unicode MS"/>
              </w:rPr>
              <w:t xml:space="preserve">programs </w:t>
            </w:r>
            <w:r w:rsidRPr="005B5418">
              <w:rPr>
                <w:rFonts w:eastAsia="Arial Unicode MS"/>
              </w:rPr>
              <w:t>within the entity and by other entities?</w:t>
            </w:r>
            <w:r w:rsidRPr="005B5418">
              <w:rPr>
                <w:rFonts w:eastAsia="Arial Unicode MS"/>
              </w:rPr>
              <w:br/>
              <w:t>(SFFAS 4, par</w:t>
            </w:r>
            <w:r w:rsidR="00614FEA" w:rsidRPr="005B5418">
              <w:rPr>
                <w:rFonts w:eastAsia="Arial Unicode MS"/>
              </w:rPr>
              <w:t>a</w:t>
            </w:r>
            <w:r w:rsidRPr="005B5418">
              <w:rPr>
                <w:rFonts w:eastAsia="Arial Unicode MS"/>
              </w:rPr>
              <w:t>. 89; A-136, section II.3.3.3)</w:t>
            </w:r>
            <w:r w:rsidR="007F5D03" w:rsidRPr="005B5418">
              <w:rPr>
                <w:rFonts w:eastAsia="Arial Unicode MS"/>
                <w:vertAlign w:val="superscript"/>
              </w:rPr>
              <w:footnoteReference w:id="47"/>
            </w:r>
          </w:p>
          <w:p w14:paraId="7204F444" w14:textId="1CCF5A6F" w:rsidR="0099465D" w:rsidRPr="005B5418" w:rsidRDefault="0099465D" w:rsidP="005425ED">
            <w:pPr>
              <w:pStyle w:val="FAM-Table-outline2"/>
              <w:numPr>
                <w:ilvl w:val="0"/>
                <w:numId w:val="0"/>
              </w:numPr>
              <w:spacing w:line="240" w:lineRule="auto"/>
              <w:ind w:left="1140"/>
              <w:rPr>
                <w:rFonts w:cs="Arial"/>
              </w:rPr>
            </w:pPr>
            <w:r w:rsidRPr="005B5418">
              <w:rPr>
                <w:rFonts w:eastAsia="Arial Unicode MS"/>
              </w:rPr>
              <w:t>[</w:t>
            </w:r>
            <w:r w:rsidR="00033C0B" w:rsidRPr="005B5418">
              <w:rPr>
                <w:rFonts w:eastAsia="Arial Unicode MS"/>
              </w:rPr>
              <w:t xml:space="preserve">SFFAS 55 requires only certain imputed costs to be recognized for </w:t>
            </w:r>
            <w:r w:rsidR="00A951DF" w:rsidRPr="005B5418">
              <w:rPr>
                <w:rFonts w:eastAsia="Arial Unicode MS"/>
              </w:rPr>
              <w:t>non</w:t>
            </w:r>
            <w:r w:rsidR="00B06759" w:rsidRPr="005B5418">
              <w:rPr>
                <w:rFonts w:eastAsia="Arial Unicode MS"/>
              </w:rPr>
              <w:t>-</w:t>
            </w:r>
            <w:r w:rsidR="00A951DF" w:rsidRPr="005B5418">
              <w:rPr>
                <w:rFonts w:eastAsia="Arial Unicode MS"/>
              </w:rPr>
              <w:t>business-</w:t>
            </w:r>
            <w:r w:rsidR="00033C0B" w:rsidRPr="005B5418">
              <w:rPr>
                <w:rFonts w:eastAsia="Arial Unicode MS"/>
              </w:rPr>
              <w:lastRenderedPageBreak/>
              <w:t xml:space="preserve">type activities. </w:t>
            </w:r>
            <w:r w:rsidR="009A2A64" w:rsidRPr="005B5418">
              <w:rPr>
                <w:rFonts w:eastAsia="Arial Unicode MS"/>
              </w:rPr>
              <w:t xml:space="preserve">See </w:t>
            </w:r>
            <w:r w:rsidR="00A951DF" w:rsidRPr="005B5418">
              <w:rPr>
                <w:rFonts w:eastAsia="Arial Unicode MS"/>
              </w:rPr>
              <w:t xml:space="preserve">the </w:t>
            </w:r>
            <w:r w:rsidR="009A2A64" w:rsidRPr="005B5418">
              <w:rPr>
                <w:rFonts w:eastAsia="Arial Unicode MS"/>
              </w:rPr>
              <w:t>inter-entity cost subsection below.</w:t>
            </w:r>
            <w:r w:rsidRPr="005B5418">
              <w:rPr>
                <w:rFonts w:eastAsia="Arial Unicode MS"/>
              </w:rPr>
              <w:t>]</w:t>
            </w:r>
          </w:p>
        </w:tc>
        <w:tc>
          <w:tcPr>
            <w:tcW w:w="965" w:type="dxa"/>
          </w:tcPr>
          <w:p w14:paraId="431BCD7D" w14:textId="77777777" w:rsidR="00221E16" w:rsidRPr="005B5418" w:rsidRDefault="00221E16" w:rsidP="008848DA">
            <w:pPr>
              <w:pStyle w:val="Table-Cell-CenterBoldBefore6ptAfter6pt"/>
              <w:spacing w:before="60" w:after="60"/>
              <w:rPr>
                <w:rFonts w:cs="Arial"/>
              </w:rPr>
            </w:pPr>
          </w:p>
        </w:tc>
        <w:tc>
          <w:tcPr>
            <w:tcW w:w="3211" w:type="dxa"/>
          </w:tcPr>
          <w:p w14:paraId="1CA706C2" w14:textId="77777777" w:rsidR="00221E16" w:rsidRPr="005B5418" w:rsidRDefault="00221E16" w:rsidP="008848DA">
            <w:pPr>
              <w:spacing w:before="60" w:after="60" w:line="240" w:lineRule="auto"/>
              <w:rPr>
                <w:rFonts w:cs="Arial"/>
              </w:rPr>
            </w:pPr>
          </w:p>
        </w:tc>
      </w:tr>
      <w:tr w:rsidR="00221E16" w:rsidRPr="005B5418" w14:paraId="3A09039C" w14:textId="77777777" w:rsidTr="006B6FD4">
        <w:trPr>
          <w:trHeight w:val="1133"/>
        </w:trPr>
        <w:tc>
          <w:tcPr>
            <w:tcW w:w="5400" w:type="dxa"/>
          </w:tcPr>
          <w:p w14:paraId="78C2A00E" w14:textId="6071A816" w:rsidR="00221E16" w:rsidRPr="005B5418" w:rsidRDefault="00221E16" w:rsidP="005425ED">
            <w:pPr>
              <w:pStyle w:val="FAM-Table-outline"/>
              <w:widowControl/>
              <w:numPr>
                <w:ilvl w:val="0"/>
                <w:numId w:val="190"/>
              </w:numPr>
              <w:adjustRightInd/>
              <w:spacing w:line="240" w:lineRule="auto"/>
              <w:textAlignment w:val="auto"/>
              <w:rPr>
                <w:rFonts w:cs="Arial"/>
              </w:rPr>
            </w:pPr>
            <w:r w:rsidRPr="005B5418">
              <w:rPr>
                <w:rFonts w:cs="Arial"/>
              </w:rPr>
              <w:t>Does the entity report costs related to the production of outputs separately from non-production</w:t>
            </w:r>
            <w:r w:rsidR="00B77A24" w:rsidRPr="005B5418">
              <w:rPr>
                <w:rFonts w:cs="Arial"/>
              </w:rPr>
              <w:t xml:space="preserve"> costs)?</w:t>
            </w:r>
            <w:r w:rsidRPr="005B5418">
              <w:rPr>
                <w:rFonts w:cs="Arial"/>
                <w:vertAlign w:val="superscript"/>
              </w:rPr>
              <w:footnoteReference w:id="48"/>
            </w:r>
            <w:r w:rsidRPr="005B5418">
              <w:rPr>
                <w:rFonts w:cs="Arial"/>
              </w:rPr>
              <w:t xml:space="preserve"> (A-136, section II.3.3.3)</w:t>
            </w:r>
          </w:p>
        </w:tc>
        <w:tc>
          <w:tcPr>
            <w:tcW w:w="965" w:type="dxa"/>
          </w:tcPr>
          <w:p w14:paraId="5D832E92" w14:textId="77777777" w:rsidR="00221E16" w:rsidRPr="005B5418" w:rsidRDefault="00221E16" w:rsidP="008848DA">
            <w:pPr>
              <w:pStyle w:val="Table-Cell-CenterBoldBefore6ptAfter6pt"/>
              <w:spacing w:before="60" w:after="60"/>
              <w:rPr>
                <w:rFonts w:cs="Arial"/>
              </w:rPr>
            </w:pPr>
          </w:p>
        </w:tc>
        <w:tc>
          <w:tcPr>
            <w:tcW w:w="3211" w:type="dxa"/>
          </w:tcPr>
          <w:p w14:paraId="0C9E900D" w14:textId="77777777" w:rsidR="00221E16" w:rsidRPr="005B5418" w:rsidRDefault="00221E16" w:rsidP="008848DA">
            <w:pPr>
              <w:spacing w:before="60" w:after="60" w:line="240" w:lineRule="auto"/>
              <w:rPr>
                <w:rFonts w:cs="Arial"/>
              </w:rPr>
            </w:pPr>
          </w:p>
        </w:tc>
      </w:tr>
      <w:tr w:rsidR="00221E16" w:rsidRPr="005B5418" w14:paraId="3ABDDEE0" w14:textId="77777777" w:rsidTr="00E36C6B">
        <w:trPr>
          <w:trHeight w:val="602"/>
        </w:trPr>
        <w:tc>
          <w:tcPr>
            <w:tcW w:w="5400" w:type="dxa"/>
          </w:tcPr>
          <w:p w14:paraId="06DC5D0E" w14:textId="513D8128" w:rsidR="00221E16" w:rsidRPr="005B5418" w:rsidRDefault="00221E16" w:rsidP="005425ED">
            <w:pPr>
              <w:pStyle w:val="FAM-Table-outline"/>
              <w:widowControl/>
              <w:numPr>
                <w:ilvl w:val="0"/>
                <w:numId w:val="190"/>
              </w:numPr>
              <w:adjustRightInd/>
              <w:spacing w:line="240" w:lineRule="auto"/>
              <w:textAlignment w:val="auto"/>
              <w:rPr>
                <w:rFonts w:cs="Arial"/>
              </w:rPr>
            </w:pPr>
            <w:r w:rsidRPr="005B5418">
              <w:rPr>
                <w:rFonts w:cs="Arial"/>
              </w:rPr>
              <w:t xml:space="preserve">Does the entity report the following costs of </w:t>
            </w:r>
            <w:r w:rsidR="00E51D94" w:rsidRPr="005B5418">
              <w:rPr>
                <w:rFonts w:cs="Arial"/>
              </w:rPr>
              <w:t xml:space="preserve">stewardship </w:t>
            </w:r>
            <w:r w:rsidRPr="005B5418">
              <w:rPr>
                <w:rFonts w:cs="Arial"/>
              </w:rPr>
              <w:t>PP&amp;E separately from other non-production costs on the face of the SNC</w:t>
            </w:r>
            <w:r w:rsidR="00B00F4D" w:rsidRPr="005B5418">
              <w:rPr>
                <w:rFonts w:cs="Arial"/>
              </w:rPr>
              <w:t>:</w:t>
            </w:r>
          </w:p>
          <w:p w14:paraId="4EEA8C58" w14:textId="771ECE0F" w:rsidR="00221E16" w:rsidRPr="005B5418" w:rsidRDefault="00880994" w:rsidP="005425ED">
            <w:pPr>
              <w:pStyle w:val="FAM-Table-outline2"/>
              <w:tabs>
                <w:tab w:val="num" w:pos="1530"/>
              </w:tabs>
              <w:spacing w:line="240" w:lineRule="auto"/>
              <w:ind w:left="1140" w:hanging="443"/>
              <w:rPr>
                <w:rFonts w:eastAsia="Arial Unicode MS"/>
              </w:rPr>
            </w:pPr>
            <w:r w:rsidRPr="005B5418">
              <w:rPr>
                <w:rFonts w:eastAsia="Arial Unicode MS"/>
              </w:rPr>
              <w:t xml:space="preserve">  </w:t>
            </w:r>
            <w:r w:rsidR="00221E16" w:rsidRPr="005B5418">
              <w:rPr>
                <w:rFonts w:eastAsia="Arial Unicode MS"/>
              </w:rPr>
              <w:t>the cost of acquiring, constructing, improving, reconstructing, or renovating heritage assets, other than multi-use heritage assets</w:t>
            </w:r>
            <w:r w:rsidR="00B00F4D" w:rsidRPr="005B5418">
              <w:rPr>
                <w:rFonts w:eastAsia="Arial Unicode MS"/>
              </w:rPr>
              <w:t>,</w:t>
            </w:r>
            <w:r w:rsidR="00221E16" w:rsidRPr="005B5418">
              <w:rPr>
                <w:rFonts w:eastAsia="Arial Unicode MS"/>
              </w:rPr>
              <w:t xml:space="preserve"> and</w:t>
            </w:r>
          </w:p>
          <w:p w14:paraId="1716F6E5" w14:textId="085BAC73" w:rsidR="00221E16" w:rsidRPr="005B5418" w:rsidRDefault="00880994" w:rsidP="005425ED">
            <w:pPr>
              <w:pStyle w:val="FAM-Table-outline2"/>
              <w:tabs>
                <w:tab w:val="num" w:pos="1530"/>
              </w:tabs>
              <w:spacing w:line="240" w:lineRule="auto"/>
              <w:ind w:left="1140" w:hanging="443"/>
              <w:rPr>
                <w:rFonts w:cs="Arial"/>
              </w:rPr>
            </w:pPr>
            <w:r w:rsidRPr="005B5418">
              <w:rPr>
                <w:rFonts w:eastAsia="Arial Unicode MS"/>
              </w:rPr>
              <w:t xml:space="preserve">  </w:t>
            </w:r>
            <w:r w:rsidR="00221E16" w:rsidRPr="005B5418">
              <w:rPr>
                <w:rFonts w:eastAsia="Arial Unicode MS"/>
              </w:rPr>
              <w:t>the cost of acquiring stewardship land?</w:t>
            </w:r>
            <w:r w:rsidR="00221E16" w:rsidRPr="005B5418">
              <w:rPr>
                <w:rFonts w:eastAsia="Arial Unicode MS"/>
              </w:rPr>
              <w:br/>
              <w:t>(A-136, sections II.3.3.3)</w:t>
            </w:r>
          </w:p>
        </w:tc>
        <w:tc>
          <w:tcPr>
            <w:tcW w:w="965" w:type="dxa"/>
          </w:tcPr>
          <w:p w14:paraId="670A6A62" w14:textId="77777777" w:rsidR="00221E16" w:rsidRPr="005B5418" w:rsidRDefault="00221E16" w:rsidP="008848DA">
            <w:pPr>
              <w:pStyle w:val="Table-Cell-CenterBoldBefore6ptAfter6pt"/>
              <w:spacing w:before="60" w:after="60"/>
              <w:rPr>
                <w:rFonts w:cs="Arial"/>
              </w:rPr>
            </w:pPr>
          </w:p>
        </w:tc>
        <w:tc>
          <w:tcPr>
            <w:tcW w:w="3211" w:type="dxa"/>
          </w:tcPr>
          <w:p w14:paraId="15A01E7A" w14:textId="77777777" w:rsidR="00221E16" w:rsidRPr="005B5418" w:rsidRDefault="00221E16" w:rsidP="008848DA">
            <w:pPr>
              <w:spacing w:before="60" w:after="60" w:line="240" w:lineRule="auto"/>
              <w:rPr>
                <w:rFonts w:cs="Arial"/>
              </w:rPr>
            </w:pPr>
          </w:p>
        </w:tc>
      </w:tr>
      <w:tr w:rsidR="00221E16" w:rsidRPr="005B5418" w14:paraId="3831EADB" w14:textId="77777777" w:rsidTr="008848DA">
        <w:trPr>
          <w:trHeight w:val="1268"/>
        </w:trPr>
        <w:tc>
          <w:tcPr>
            <w:tcW w:w="5400" w:type="dxa"/>
          </w:tcPr>
          <w:p w14:paraId="211C05D4" w14:textId="03D2BE6A" w:rsidR="00221E16" w:rsidRPr="005B5418" w:rsidRDefault="00221E16" w:rsidP="00343610">
            <w:pPr>
              <w:pStyle w:val="FAM-Table-outline"/>
              <w:widowControl/>
              <w:numPr>
                <w:ilvl w:val="0"/>
                <w:numId w:val="10"/>
              </w:numPr>
              <w:adjustRightInd/>
              <w:spacing w:line="240" w:lineRule="auto"/>
              <w:textAlignment w:val="auto"/>
              <w:rPr>
                <w:rFonts w:cs="Arial"/>
              </w:rPr>
            </w:pPr>
            <w:r w:rsidRPr="005B5418">
              <w:rPr>
                <w:rFonts w:cs="Arial"/>
              </w:rPr>
              <w:t xml:space="preserve">Is earned revenue (or exchange revenue) reported on the </w:t>
            </w:r>
            <w:r w:rsidR="00FD2015" w:rsidRPr="005B5418">
              <w:rPr>
                <w:rFonts w:cs="Arial"/>
              </w:rPr>
              <w:t>SNC</w:t>
            </w:r>
            <w:r w:rsidRPr="005B5418">
              <w:rPr>
                <w:rFonts w:cs="Arial"/>
              </w:rPr>
              <w:t xml:space="preserve"> regardless of whether the entity is permitted to retain the revenue in whole or in part? (SFFAS 7, par</w:t>
            </w:r>
            <w:r w:rsidR="00317E14" w:rsidRPr="005B5418">
              <w:rPr>
                <w:rFonts w:cs="Arial"/>
              </w:rPr>
              <w:t>a</w:t>
            </w:r>
            <w:r w:rsidRPr="005B5418">
              <w:rPr>
                <w:rFonts w:cs="Arial"/>
              </w:rPr>
              <w:t>. 43)</w:t>
            </w:r>
          </w:p>
        </w:tc>
        <w:tc>
          <w:tcPr>
            <w:tcW w:w="965" w:type="dxa"/>
          </w:tcPr>
          <w:p w14:paraId="4B18504F" w14:textId="77777777" w:rsidR="00221E16" w:rsidRPr="005B5418" w:rsidRDefault="00221E16" w:rsidP="008848DA">
            <w:pPr>
              <w:pStyle w:val="Table-Cell-CenterBoldBefore6ptAfter6pt"/>
              <w:spacing w:before="60" w:after="60"/>
              <w:rPr>
                <w:rFonts w:cs="Arial"/>
              </w:rPr>
            </w:pPr>
          </w:p>
        </w:tc>
        <w:tc>
          <w:tcPr>
            <w:tcW w:w="3211" w:type="dxa"/>
          </w:tcPr>
          <w:p w14:paraId="7ECDCCAC" w14:textId="77777777" w:rsidR="00221E16" w:rsidRPr="005B5418" w:rsidRDefault="00221E16" w:rsidP="008848DA">
            <w:pPr>
              <w:spacing w:before="60" w:after="60" w:line="240" w:lineRule="auto"/>
              <w:rPr>
                <w:rFonts w:cs="Arial"/>
              </w:rPr>
            </w:pPr>
          </w:p>
        </w:tc>
      </w:tr>
      <w:tr w:rsidR="00221E16" w:rsidRPr="005B5418" w14:paraId="13C4A35A" w14:textId="77777777" w:rsidTr="00176E39">
        <w:trPr>
          <w:trHeight w:val="926"/>
        </w:trPr>
        <w:tc>
          <w:tcPr>
            <w:tcW w:w="5400" w:type="dxa"/>
          </w:tcPr>
          <w:p w14:paraId="6E0B9D83" w14:textId="2FACBE08" w:rsidR="00221E16" w:rsidRPr="005B5418" w:rsidRDefault="00221E16" w:rsidP="00343610">
            <w:pPr>
              <w:pStyle w:val="FAM-Table-outline"/>
              <w:widowControl/>
              <w:numPr>
                <w:ilvl w:val="0"/>
                <w:numId w:val="10"/>
              </w:numPr>
              <w:adjustRightInd/>
              <w:spacing w:line="240" w:lineRule="auto"/>
              <w:textAlignment w:val="auto"/>
              <w:rPr>
                <w:rFonts w:cs="Arial"/>
              </w:rPr>
            </w:pPr>
            <w:r w:rsidRPr="005B5418">
              <w:rPr>
                <w:rFonts w:cs="Arial"/>
              </w:rPr>
              <w:t xml:space="preserve">Are earned revenues deducted from </w:t>
            </w:r>
            <w:r w:rsidR="0002502B" w:rsidRPr="005B5418">
              <w:rPr>
                <w:rFonts w:cs="Arial"/>
              </w:rPr>
              <w:t>gross cost</w:t>
            </w:r>
            <w:r w:rsidR="00BD3366" w:rsidRPr="005B5418">
              <w:rPr>
                <w:rFonts w:cs="Arial"/>
              </w:rPr>
              <w:t>s</w:t>
            </w:r>
            <w:r w:rsidRPr="005B5418">
              <w:rPr>
                <w:rFonts w:cs="Arial"/>
              </w:rPr>
              <w:t xml:space="preserve"> to determine their net program costs? (SFFAS 7, par</w:t>
            </w:r>
            <w:r w:rsidR="00317E14" w:rsidRPr="005B5418">
              <w:rPr>
                <w:rFonts w:cs="Arial"/>
              </w:rPr>
              <w:t>a</w:t>
            </w:r>
            <w:r w:rsidRPr="005B5418">
              <w:rPr>
                <w:rFonts w:cs="Arial"/>
              </w:rPr>
              <w:t>. 43)</w:t>
            </w:r>
          </w:p>
        </w:tc>
        <w:tc>
          <w:tcPr>
            <w:tcW w:w="965" w:type="dxa"/>
          </w:tcPr>
          <w:p w14:paraId="4EA68F25" w14:textId="77777777" w:rsidR="00221E16" w:rsidRPr="005B5418" w:rsidRDefault="00221E16" w:rsidP="008848DA">
            <w:pPr>
              <w:pStyle w:val="Table-Cell-CenterBoldBefore6ptAfter6pt"/>
              <w:spacing w:before="60" w:after="60"/>
              <w:rPr>
                <w:rFonts w:cs="Arial"/>
              </w:rPr>
            </w:pPr>
          </w:p>
        </w:tc>
        <w:tc>
          <w:tcPr>
            <w:tcW w:w="3211" w:type="dxa"/>
          </w:tcPr>
          <w:p w14:paraId="66CE4F49" w14:textId="77777777" w:rsidR="00221E16" w:rsidRPr="005B5418" w:rsidRDefault="00221E16" w:rsidP="008848DA">
            <w:pPr>
              <w:spacing w:before="60" w:after="60" w:line="240" w:lineRule="auto"/>
              <w:rPr>
                <w:rFonts w:cs="Arial"/>
              </w:rPr>
            </w:pPr>
          </w:p>
        </w:tc>
      </w:tr>
      <w:tr w:rsidR="00221E16" w:rsidRPr="005B5418" w14:paraId="6C3932E3" w14:textId="77777777" w:rsidTr="008848DA">
        <w:trPr>
          <w:trHeight w:val="1907"/>
        </w:trPr>
        <w:tc>
          <w:tcPr>
            <w:tcW w:w="5400" w:type="dxa"/>
          </w:tcPr>
          <w:p w14:paraId="79BB6286" w14:textId="3F90B1A0" w:rsidR="00221E16" w:rsidRPr="005B5418" w:rsidRDefault="008D4BCC">
            <w:pPr>
              <w:pStyle w:val="FAM-Table-outline"/>
              <w:widowControl/>
              <w:numPr>
                <w:ilvl w:val="0"/>
                <w:numId w:val="10"/>
              </w:numPr>
              <w:adjustRightInd/>
              <w:spacing w:line="240" w:lineRule="auto"/>
              <w:textAlignment w:val="auto"/>
              <w:rPr>
                <w:rFonts w:cs="Arial"/>
              </w:rPr>
            </w:pPr>
            <w:r w:rsidRPr="005B5418">
              <w:rPr>
                <w:rFonts w:cs="Arial"/>
              </w:rPr>
              <w:t>For administrator entities</w:t>
            </w:r>
            <w:r w:rsidR="00455052" w:rsidRPr="005B5418">
              <w:rPr>
                <w:rFonts w:cs="Arial"/>
              </w:rPr>
              <w:t>, are</w:t>
            </w:r>
            <w:r w:rsidRPr="005B5418">
              <w:rPr>
                <w:rFonts w:cs="Arial"/>
              </w:rPr>
              <w:t xml:space="preserve"> </w:t>
            </w:r>
            <w:r w:rsidR="00221E16" w:rsidRPr="005B5418">
              <w:rPr>
                <w:rFonts w:cs="Arial"/>
              </w:rPr>
              <w:t>the gains and losses from changes in long-term assumptions used to measure liabilities for federal civilian and military employee pensions, ORB, and OPEB, including veterans</w:t>
            </w:r>
            <w:r w:rsidR="003E522F" w:rsidRPr="005B5418">
              <w:rPr>
                <w:rFonts w:cs="Arial"/>
              </w:rPr>
              <w:t>’</w:t>
            </w:r>
            <w:r w:rsidR="00221E16" w:rsidRPr="005B5418">
              <w:rPr>
                <w:rFonts w:cs="Arial"/>
              </w:rPr>
              <w:t xml:space="preserve"> compensation, reported as a separate line(s) on the </w:t>
            </w:r>
            <w:r w:rsidR="00FD2015" w:rsidRPr="005B5418">
              <w:rPr>
                <w:rFonts w:cs="Arial"/>
              </w:rPr>
              <w:t>SNC</w:t>
            </w:r>
            <w:r w:rsidR="00221E16" w:rsidRPr="005B5418">
              <w:rPr>
                <w:rFonts w:cs="Arial"/>
              </w:rPr>
              <w:t>?</w:t>
            </w:r>
            <w:r w:rsidR="0068094D" w:rsidRPr="005B5418">
              <w:rPr>
                <w:rStyle w:val="FootnoteReference"/>
                <w:rFonts w:cs="Arial"/>
              </w:rPr>
              <w:footnoteReference w:id="49"/>
            </w:r>
            <w:r w:rsidR="00221E16" w:rsidRPr="005B5418">
              <w:rPr>
                <w:rFonts w:cs="Arial"/>
              </w:rPr>
              <w:t xml:space="preserve"> (SFFAS 33, par</w:t>
            </w:r>
            <w:r w:rsidR="009130FD" w:rsidRPr="005B5418">
              <w:rPr>
                <w:rFonts w:cs="Arial"/>
              </w:rPr>
              <w:t>a</w:t>
            </w:r>
            <w:r w:rsidR="00221E16" w:rsidRPr="005B5418">
              <w:rPr>
                <w:rFonts w:cs="Arial"/>
              </w:rPr>
              <w:t>. 19)</w:t>
            </w:r>
          </w:p>
        </w:tc>
        <w:tc>
          <w:tcPr>
            <w:tcW w:w="965" w:type="dxa"/>
          </w:tcPr>
          <w:p w14:paraId="24BF9CAD" w14:textId="77777777" w:rsidR="00221E16" w:rsidRPr="005B5418" w:rsidRDefault="00221E16" w:rsidP="008848DA">
            <w:pPr>
              <w:pStyle w:val="Table-Cell-CenterBoldBefore6ptAfter6pt"/>
              <w:spacing w:before="60" w:after="60"/>
              <w:rPr>
                <w:rFonts w:cs="Arial"/>
              </w:rPr>
            </w:pPr>
          </w:p>
        </w:tc>
        <w:tc>
          <w:tcPr>
            <w:tcW w:w="3211" w:type="dxa"/>
          </w:tcPr>
          <w:p w14:paraId="65EA6533" w14:textId="77777777" w:rsidR="00221E16" w:rsidRPr="005B5418" w:rsidRDefault="00221E16" w:rsidP="008848DA">
            <w:pPr>
              <w:spacing w:before="60" w:after="60" w:line="240" w:lineRule="auto"/>
              <w:rPr>
                <w:rFonts w:cs="Arial"/>
              </w:rPr>
            </w:pPr>
          </w:p>
        </w:tc>
      </w:tr>
      <w:tr w:rsidR="00221E16" w:rsidRPr="005B5418" w14:paraId="0DA0C0AD" w14:textId="77777777" w:rsidTr="00452122">
        <w:trPr>
          <w:trHeight w:val="1907"/>
        </w:trPr>
        <w:tc>
          <w:tcPr>
            <w:tcW w:w="5400" w:type="dxa"/>
            <w:shd w:val="clear" w:color="auto" w:fill="auto"/>
          </w:tcPr>
          <w:p w14:paraId="696214BD" w14:textId="6F329814" w:rsidR="00221E16" w:rsidRPr="005B5418" w:rsidRDefault="00221E16" w:rsidP="00343610">
            <w:pPr>
              <w:pStyle w:val="FAM-Table-outline"/>
              <w:widowControl/>
              <w:numPr>
                <w:ilvl w:val="0"/>
                <w:numId w:val="10"/>
              </w:numPr>
              <w:adjustRightInd/>
              <w:spacing w:line="240" w:lineRule="auto"/>
              <w:textAlignment w:val="auto"/>
              <w:rPr>
                <w:rFonts w:cs="Arial"/>
              </w:rPr>
            </w:pPr>
            <w:r w:rsidRPr="005B5418">
              <w:rPr>
                <w:rFonts w:cs="Arial"/>
              </w:rPr>
              <w:t xml:space="preserve">Are general management and administrative support costs that cannot be directly traced, assigned on a cause-and-effect basis, or reasonably allocated to responsibility segments and their outputs reported as “costs not assigned to programs” on the </w:t>
            </w:r>
            <w:r w:rsidR="00FD2015" w:rsidRPr="005B5418">
              <w:rPr>
                <w:rFonts w:cs="Arial"/>
              </w:rPr>
              <w:t>SNC</w:t>
            </w:r>
            <w:r w:rsidRPr="005B5418">
              <w:rPr>
                <w:rFonts w:cs="Arial"/>
              </w:rPr>
              <w:t>? (SFFAS 4, par</w:t>
            </w:r>
            <w:r w:rsidR="009130FD" w:rsidRPr="005B5418">
              <w:rPr>
                <w:rFonts w:cs="Arial"/>
              </w:rPr>
              <w:t>a</w:t>
            </w:r>
            <w:r w:rsidRPr="005B5418">
              <w:rPr>
                <w:rFonts w:cs="Arial"/>
              </w:rPr>
              <w:t>. 92)</w:t>
            </w:r>
          </w:p>
        </w:tc>
        <w:tc>
          <w:tcPr>
            <w:tcW w:w="965" w:type="dxa"/>
          </w:tcPr>
          <w:p w14:paraId="72C2949D" w14:textId="77777777" w:rsidR="00221E16" w:rsidRPr="005B5418" w:rsidRDefault="00221E16" w:rsidP="008848DA">
            <w:pPr>
              <w:pStyle w:val="Table-Cell-CenterBoldBefore6ptAfter6pt"/>
              <w:spacing w:before="60" w:after="60"/>
              <w:rPr>
                <w:rFonts w:cs="Arial"/>
              </w:rPr>
            </w:pPr>
          </w:p>
        </w:tc>
        <w:tc>
          <w:tcPr>
            <w:tcW w:w="3211" w:type="dxa"/>
          </w:tcPr>
          <w:p w14:paraId="2DCC31D7" w14:textId="77777777" w:rsidR="00221E16" w:rsidRPr="005B5418" w:rsidRDefault="00221E16" w:rsidP="008848DA">
            <w:pPr>
              <w:spacing w:before="60" w:after="60" w:line="240" w:lineRule="auto"/>
              <w:rPr>
                <w:rFonts w:cs="Arial"/>
              </w:rPr>
            </w:pPr>
          </w:p>
        </w:tc>
      </w:tr>
      <w:tr w:rsidR="00221E16" w:rsidRPr="005B5418" w14:paraId="0BCCAF11" w14:textId="77777777" w:rsidTr="00452122">
        <w:trPr>
          <w:trHeight w:val="1151"/>
        </w:trPr>
        <w:tc>
          <w:tcPr>
            <w:tcW w:w="5400" w:type="dxa"/>
            <w:shd w:val="clear" w:color="auto" w:fill="auto"/>
          </w:tcPr>
          <w:p w14:paraId="6B0C6FD5" w14:textId="09E5293C" w:rsidR="00221E16" w:rsidRPr="005B5418" w:rsidRDefault="00221E16" w:rsidP="00343610">
            <w:pPr>
              <w:pStyle w:val="FAM-Table-outline"/>
              <w:widowControl/>
              <w:numPr>
                <w:ilvl w:val="0"/>
                <w:numId w:val="10"/>
              </w:numPr>
              <w:adjustRightInd/>
              <w:spacing w:line="240" w:lineRule="auto"/>
              <w:textAlignment w:val="auto"/>
              <w:rPr>
                <w:rFonts w:cs="Arial"/>
              </w:rPr>
            </w:pPr>
            <w:r w:rsidRPr="005B5418">
              <w:rPr>
                <w:rFonts w:cs="Arial"/>
              </w:rPr>
              <w:lastRenderedPageBreak/>
              <w:t xml:space="preserve">Are non-production costs that cannot be assigned to a particular program reported as “costs not assigned to programs” on the </w:t>
            </w:r>
            <w:r w:rsidR="00FD2015" w:rsidRPr="005B5418">
              <w:rPr>
                <w:rFonts w:cs="Arial"/>
              </w:rPr>
              <w:t>SNC</w:t>
            </w:r>
            <w:r w:rsidRPr="005B5418">
              <w:rPr>
                <w:rFonts w:cs="Arial"/>
              </w:rPr>
              <w:t>? (A-136, section II.3.3.7)</w:t>
            </w:r>
          </w:p>
        </w:tc>
        <w:tc>
          <w:tcPr>
            <w:tcW w:w="965" w:type="dxa"/>
          </w:tcPr>
          <w:p w14:paraId="572B270D" w14:textId="77777777" w:rsidR="00221E16" w:rsidRPr="005B5418" w:rsidRDefault="00221E16" w:rsidP="008848DA">
            <w:pPr>
              <w:pStyle w:val="Table-Cell-CenterBoldBefore6ptAfter6pt"/>
              <w:spacing w:before="60" w:after="60"/>
              <w:rPr>
                <w:rFonts w:cs="Arial"/>
              </w:rPr>
            </w:pPr>
          </w:p>
        </w:tc>
        <w:tc>
          <w:tcPr>
            <w:tcW w:w="3211" w:type="dxa"/>
          </w:tcPr>
          <w:p w14:paraId="2D86147C" w14:textId="77777777" w:rsidR="00221E16" w:rsidRPr="005B5418" w:rsidRDefault="00221E16" w:rsidP="008848DA">
            <w:pPr>
              <w:spacing w:before="60" w:after="60" w:line="240" w:lineRule="auto"/>
              <w:rPr>
                <w:rFonts w:cs="Arial"/>
              </w:rPr>
            </w:pPr>
          </w:p>
        </w:tc>
      </w:tr>
      <w:tr w:rsidR="00221E16" w:rsidRPr="005B5418" w14:paraId="6240C734" w14:textId="77777777" w:rsidTr="00176E39">
        <w:trPr>
          <w:trHeight w:val="1709"/>
        </w:trPr>
        <w:tc>
          <w:tcPr>
            <w:tcW w:w="5400" w:type="dxa"/>
          </w:tcPr>
          <w:p w14:paraId="4664E6BB" w14:textId="737F644A" w:rsidR="00221E16" w:rsidRPr="005B5418" w:rsidRDefault="00221E16" w:rsidP="00343610">
            <w:pPr>
              <w:pStyle w:val="FAM-Table-outline"/>
              <w:widowControl/>
              <w:numPr>
                <w:ilvl w:val="0"/>
                <w:numId w:val="10"/>
              </w:numPr>
              <w:adjustRightInd/>
              <w:spacing w:line="240" w:lineRule="auto"/>
              <w:textAlignment w:val="auto"/>
              <w:rPr>
                <w:rFonts w:cs="Arial"/>
              </w:rPr>
            </w:pPr>
            <w:r w:rsidRPr="005B5418">
              <w:rPr>
                <w:rFonts w:cs="Arial"/>
              </w:rPr>
              <w:t>Are earned revenues that are immaterial or cannot be attributed to particular outputs or programs reported separately as a deduction to determine the net cost of operations of the program, suborganization, or reporting entity as a whole? (SFFAS 7, par</w:t>
            </w:r>
            <w:r w:rsidR="009130FD" w:rsidRPr="005B5418">
              <w:rPr>
                <w:rFonts w:cs="Arial"/>
              </w:rPr>
              <w:t>a</w:t>
            </w:r>
            <w:r w:rsidRPr="005B5418">
              <w:rPr>
                <w:rFonts w:cs="Arial"/>
              </w:rPr>
              <w:t>. 44)</w:t>
            </w:r>
          </w:p>
        </w:tc>
        <w:tc>
          <w:tcPr>
            <w:tcW w:w="965" w:type="dxa"/>
          </w:tcPr>
          <w:p w14:paraId="27F47FAF" w14:textId="77777777" w:rsidR="00221E16" w:rsidRPr="005B5418" w:rsidRDefault="00221E16" w:rsidP="008848DA">
            <w:pPr>
              <w:pStyle w:val="Table-Cell-CenterBoldBefore6ptAfter6pt"/>
              <w:spacing w:before="60" w:after="60"/>
              <w:rPr>
                <w:rFonts w:cs="Arial"/>
              </w:rPr>
            </w:pPr>
          </w:p>
        </w:tc>
        <w:tc>
          <w:tcPr>
            <w:tcW w:w="3211" w:type="dxa"/>
          </w:tcPr>
          <w:p w14:paraId="69D317B1" w14:textId="77777777" w:rsidR="00221E16" w:rsidRPr="005B5418" w:rsidRDefault="00221E16" w:rsidP="008848DA">
            <w:pPr>
              <w:spacing w:before="60" w:after="60" w:line="240" w:lineRule="auto"/>
              <w:rPr>
                <w:rFonts w:cs="Arial"/>
              </w:rPr>
            </w:pPr>
          </w:p>
        </w:tc>
      </w:tr>
      <w:tr w:rsidR="00221E16" w:rsidRPr="005B5418" w14:paraId="64200592" w14:textId="77777777" w:rsidTr="00176E39">
        <w:trPr>
          <w:trHeight w:val="1205"/>
        </w:trPr>
        <w:tc>
          <w:tcPr>
            <w:tcW w:w="5400" w:type="dxa"/>
          </w:tcPr>
          <w:p w14:paraId="6A26F0ED" w14:textId="6867C5F1" w:rsidR="00221E16" w:rsidRPr="005B5418" w:rsidRDefault="00221E16" w:rsidP="00343610">
            <w:pPr>
              <w:pStyle w:val="FAM-Table-outline"/>
              <w:widowControl/>
              <w:numPr>
                <w:ilvl w:val="0"/>
                <w:numId w:val="10"/>
              </w:numPr>
              <w:adjustRightInd/>
              <w:spacing w:line="240" w:lineRule="auto"/>
              <w:textAlignment w:val="auto"/>
              <w:rPr>
                <w:rFonts w:cs="Arial"/>
              </w:rPr>
            </w:pPr>
            <w:r w:rsidRPr="005B5418">
              <w:rPr>
                <w:rFonts w:cs="Arial"/>
              </w:rPr>
              <w:t>Are inter-entity expenses and financing sources eliminated for any consolidated financial statements covering both entities? (SFFAS 4, par</w:t>
            </w:r>
            <w:r w:rsidR="009130FD" w:rsidRPr="005B5418">
              <w:rPr>
                <w:rFonts w:cs="Arial"/>
              </w:rPr>
              <w:t>a</w:t>
            </w:r>
            <w:r w:rsidRPr="005B5418">
              <w:rPr>
                <w:rFonts w:cs="Arial"/>
              </w:rPr>
              <w:t>. 109)</w:t>
            </w:r>
          </w:p>
        </w:tc>
        <w:tc>
          <w:tcPr>
            <w:tcW w:w="965" w:type="dxa"/>
          </w:tcPr>
          <w:p w14:paraId="72F5A889" w14:textId="77777777" w:rsidR="00221E16" w:rsidRPr="005B5418" w:rsidRDefault="00221E16" w:rsidP="008848DA">
            <w:pPr>
              <w:pStyle w:val="Table-Cell-CenterBoldBefore6ptAfter6pt"/>
              <w:spacing w:before="60" w:after="60"/>
              <w:rPr>
                <w:rFonts w:cs="Arial"/>
              </w:rPr>
            </w:pPr>
          </w:p>
        </w:tc>
        <w:tc>
          <w:tcPr>
            <w:tcW w:w="3211" w:type="dxa"/>
          </w:tcPr>
          <w:p w14:paraId="554F73F3" w14:textId="77777777" w:rsidR="00221E16" w:rsidRPr="005B5418" w:rsidRDefault="00221E16" w:rsidP="008848DA">
            <w:pPr>
              <w:spacing w:before="60" w:after="60" w:line="240" w:lineRule="auto"/>
              <w:rPr>
                <w:rFonts w:cs="Arial"/>
              </w:rPr>
            </w:pPr>
          </w:p>
        </w:tc>
      </w:tr>
      <w:tr w:rsidR="00221E16" w:rsidRPr="005B5418" w14:paraId="1B3832E3" w14:textId="77777777" w:rsidTr="005674AF">
        <w:trPr>
          <w:trHeight w:val="1106"/>
        </w:trPr>
        <w:tc>
          <w:tcPr>
            <w:tcW w:w="5400" w:type="dxa"/>
          </w:tcPr>
          <w:p w14:paraId="3B829924" w14:textId="52C76D82" w:rsidR="00221E16" w:rsidRPr="005B5418" w:rsidRDefault="00221E16" w:rsidP="00343610">
            <w:pPr>
              <w:pStyle w:val="FAM-Table-outline"/>
              <w:widowControl/>
              <w:numPr>
                <w:ilvl w:val="0"/>
                <w:numId w:val="10"/>
              </w:numPr>
              <w:adjustRightInd/>
              <w:spacing w:line="240" w:lineRule="auto"/>
              <w:textAlignment w:val="auto"/>
              <w:rPr>
                <w:rFonts w:cs="Arial"/>
              </w:rPr>
            </w:pPr>
            <w:r w:rsidRPr="005B5418">
              <w:rPr>
                <w:rFonts w:cs="Arial"/>
              </w:rPr>
              <w:t>Is the net amount of gains (or losses) from exchange transactions subtracted from (or added to) the gross cost to determine net cost? (SFFAS 7, par</w:t>
            </w:r>
            <w:r w:rsidR="009130FD" w:rsidRPr="005B5418">
              <w:rPr>
                <w:rFonts w:cs="Arial"/>
              </w:rPr>
              <w:t>a</w:t>
            </w:r>
            <w:r w:rsidRPr="005B5418">
              <w:rPr>
                <w:rFonts w:cs="Arial"/>
              </w:rPr>
              <w:t>. 44)</w:t>
            </w:r>
          </w:p>
        </w:tc>
        <w:tc>
          <w:tcPr>
            <w:tcW w:w="965" w:type="dxa"/>
          </w:tcPr>
          <w:p w14:paraId="1C39D186" w14:textId="77777777" w:rsidR="00221E16" w:rsidRPr="005B5418" w:rsidRDefault="00221E16" w:rsidP="008848DA">
            <w:pPr>
              <w:pStyle w:val="Table-Cell-CenterBoldBefore6ptAfter6pt"/>
              <w:spacing w:before="60" w:after="60"/>
              <w:rPr>
                <w:rFonts w:cs="Arial"/>
              </w:rPr>
            </w:pPr>
          </w:p>
        </w:tc>
        <w:tc>
          <w:tcPr>
            <w:tcW w:w="3211" w:type="dxa"/>
          </w:tcPr>
          <w:p w14:paraId="7127B42E" w14:textId="77777777" w:rsidR="00221E16" w:rsidRPr="005B5418" w:rsidRDefault="00221E16" w:rsidP="008848DA">
            <w:pPr>
              <w:spacing w:before="60" w:after="60" w:line="240" w:lineRule="auto"/>
              <w:rPr>
                <w:rFonts w:cs="Arial"/>
              </w:rPr>
            </w:pPr>
          </w:p>
        </w:tc>
      </w:tr>
      <w:tr w:rsidR="00221E16" w:rsidRPr="005B5418" w14:paraId="6772F574" w14:textId="77777777" w:rsidTr="00FD2015">
        <w:trPr>
          <w:trHeight w:val="737"/>
        </w:trPr>
        <w:tc>
          <w:tcPr>
            <w:tcW w:w="5400" w:type="dxa"/>
          </w:tcPr>
          <w:p w14:paraId="5604F0C6" w14:textId="770C44F3" w:rsidR="00221E16" w:rsidRPr="005B5418" w:rsidRDefault="00221E16" w:rsidP="00343610">
            <w:pPr>
              <w:pStyle w:val="FAM-Table-outline"/>
              <w:widowControl/>
              <w:numPr>
                <w:ilvl w:val="0"/>
                <w:numId w:val="10"/>
              </w:numPr>
              <w:adjustRightInd/>
              <w:spacing w:line="240" w:lineRule="auto"/>
              <w:textAlignment w:val="auto"/>
              <w:rPr>
                <w:rFonts w:cs="Arial"/>
              </w:rPr>
            </w:pPr>
            <w:r w:rsidRPr="005B5418">
              <w:rPr>
                <w:rFonts w:cs="Arial"/>
              </w:rPr>
              <w:t>Are nonexchange revenues and other financing sources excluded from calculating net cost</w:t>
            </w:r>
            <w:r w:rsidR="009130FD" w:rsidRPr="005B5418">
              <w:t xml:space="preserve"> </w:t>
            </w:r>
            <w:r w:rsidR="009130FD" w:rsidRPr="005B5418">
              <w:rPr>
                <w:rFonts w:cs="Arial"/>
              </w:rPr>
              <w:t>for the reporting entity?</w:t>
            </w:r>
            <w:r w:rsidR="007105C6" w:rsidRPr="005B5418">
              <w:rPr>
                <w:rStyle w:val="FootnoteReference"/>
                <w:rFonts w:cs="Arial"/>
              </w:rPr>
              <w:footnoteReference w:id="50"/>
            </w:r>
            <w:r w:rsidRPr="005B5418">
              <w:rPr>
                <w:rFonts w:cs="Arial"/>
              </w:rPr>
              <w:t xml:space="preserve"> (SFFAS 7, par</w:t>
            </w:r>
            <w:r w:rsidR="009130FD" w:rsidRPr="005B5418">
              <w:rPr>
                <w:rFonts w:cs="Arial"/>
              </w:rPr>
              <w:t>a</w:t>
            </w:r>
            <w:r w:rsidRPr="005B5418">
              <w:rPr>
                <w:rFonts w:cs="Arial"/>
              </w:rPr>
              <w:t>. 44)</w:t>
            </w:r>
          </w:p>
        </w:tc>
        <w:tc>
          <w:tcPr>
            <w:tcW w:w="965" w:type="dxa"/>
          </w:tcPr>
          <w:p w14:paraId="1695D29E" w14:textId="77777777" w:rsidR="00221E16" w:rsidRPr="005B5418" w:rsidRDefault="00221E16" w:rsidP="008848DA">
            <w:pPr>
              <w:pStyle w:val="Table-Cell-CenterBoldBefore6ptAfter6pt"/>
              <w:spacing w:before="60" w:after="60"/>
              <w:rPr>
                <w:rFonts w:cs="Arial"/>
              </w:rPr>
            </w:pPr>
          </w:p>
        </w:tc>
        <w:tc>
          <w:tcPr>
            <w:tcW w:w="3211" w:type="dxa"/>
          </w:tcPr>
          <w:p w14:paraId="0CBDC674" w14:textId="77777777" w:rsidR="00221E16" w:rsidRPr="005B5418" w:rsidRDefault="00221E16" w:rsidP="008848DA">
            <w:pPr>
              <w:spacing w:before="60" w:after="60" w:line="240" w:lineRule="auto"/>
              <w:rPr>
                <w:rFonts w:cs="Arial"/>
              </w:rPr>
            </w:pPr>
          </w:p>
        </w:tc>
      </w:tr>
      <w:tr w:rsidR="003C39DD" w:rsidRPr="005B5418" w14:paraId="3962F0F6" w14:textId="77777777" w:rsidTr="00FD2015">
        <w:trPr>
          <w:trHeight w:val="3500"/>
        </w:trPr>
        <w:tc>
          <w:tcPr>
            <w:tcW w:w="9576" w:type="dxa"/>
            <w:gridSpan w:val="3"/>
          </w:tcPr>
          <w:p w14:paraId="403F4E83" w14:textId="77777777" w:rsidR="009F159E" w:rsidRPr="005B5418" w:rsidRDefault="009F159E" w:rsidP="008848DA">
            <w:pPr>
              <w:pStyle w:val="Table-Note"/>
              <w:spacing w:before="60" w:after="60" w:line="240" w:lineRule="auto"/>
              <w:ind w:left="0"/>
              <w:jc w:val="left"/>
              <w:rPr>
                <w:rFonts w:eastAsia="Arial Unicode MS" w:cs="Arial"/>
                <w:b/>
                <w:i w:val="0"/>
                <w:sz w:val="22"/>
                <w:szCs w:val="22"/>
              </w:rPr>
            </w:pPr>
            <w:r w:rsidRPr="005B5418">
              <w:rPr>
                <w:rFonts w:eastAsia="Arial Unicode MS" w:cs="Arial"/>
                <w:b/>
                <w:i w:val="0"/>
                <w:sz w:val="22"/>
                <w:szCs w:val="22"/>
              </w:rPr>
              <w:t xml:space="preserve">Cost Accounting – </w:t>
            </w:r>
            <w:r w:rsidR="003B383B" w:rsidRPr="005B5418">
              <w:rPr>
                <w:rFonts w:eastAsia="Arial Unicode MS" w:cs="Arial"/>
                <w:b/>
                <w:i w:val="0"/>
                <w:sz w:val="22"/>
                <w:szCs w:val="22"/>
              </w:rPr>
              <w:t>General</w:t>
            </w:r>
          </w:p>
          <w:p w14:paraId="57B3DC98" w14:textId="4E610C80" w:rsidR="009F7F12" w:rsidRPr="005B5418" w:rsidRDefault="009F7F12" w:rsidP="008848DA">
            <w:pPr>
              <w:pStyle w:val="Table-Note"/>
              <w:keepNext w:val="0"/>
              <w:spacing w:before="60" w:after="60" w:line="240" w:lineRule="auto"/>
              <w:ind w:left="0"/>
              <w:jc w:val="left"/>
              <w:rPr>
                <w:rFonts w:cs="Arial"/>
                <w:i w:val="0"/>
                <w:sz w:val="22"/>
                <w:szCs w:val="22"/>
              </w:rPr>
            </w:pPr>
            <w:r w:rsidRPr="005B5418">
              <w:rPr>
                <w:rFonts w:cs="Arial"/>
                <w:i w:val="0"/>
                <w:sz w:val="22"/>
                <w:szCs w:val="22"/>
              </w:rPr>
              <w:t>A responsibility segment is a component of a reporting entity that is responsible for carrying out a mission, conducting a major line of activity, or producing one or a group of related products or services. (SFFAS 4, par</w:t>
            </w:r>
            <w:r w:rsidR="00A95917" w:rsidRPr="005B5418">
              <w:rPr>
                <w:rFonts w:cs="Arial"/>
                <w:i w:val="0"/>
                <w:sz w:val="22"/>
                <w:szCs w:val="22"/>
              </w:rPr>
              <w:t>a</w:t>
            </w:r>
            <w:r w:rsidRPr="005B5418">
              <w:rPr>
                <w:rFonts w:cs="Arial"/>
                <w:i w:val="0"/>
                <w:sz w:val="22"/>
                <w:szCs w:val="22"/>
              </w:rPr>
              <w:t>. 78)</w:t>
            </w:r>
          </w:p>
          <w:p w14:paraId="2A22875D" w14:textId="77F07A90" w:rsidR="00340936" w:rsidRPr="005B5418" w:rsidRDefault="00340936" w:rsidP="008848DA">
            <w:pPr>
              <w:pStyle w:val="Table-Note"/>
              <w:keepNext w:val="0"/>
              <w:spacing w:before="60" w:after="60" w:line="240" w:lineRule="auto"/>
              <w:ind w:left="0"/>
              <w:jc w:val="left"/>
              <w:rPr>
                <w:rFonts w:eastAsia="Arial Unicode MS" w:cs="Arial"/>
                <w:i w:val="0"/>
                <w:sz w:val="22"/>
                <w:szCs w:val="22"/>
              </w:rPr>
            </w:pPr>
            <w:r w:rsidRPr="005B5418">
              <w:rPr>
                <w:rFonts w:eastAsia="Arial Unicode MS" w:cs="Arial"/>
                <w:i w:val="0"/>
                <w:sz w:val="22"/>
                <w:szCs w:val="22"/>
              </w:rPr>
              <w:t>Full cost is the sum of all costs that contribute to an output and includes direct and indirect costs regardless of funding sources. It also includes the costs of supporting services provided by other responsibility segments or entities. (SFFAS 4, par</w:t>
            </w:r>
            <w:r w:rsidR="00A95917" w:rsidRPr="005B5418">
              <w:rPr>
                <w:rFonts w:eastAsia="Arial Unicode MS" w:cs="Arial"/>
                <w:i w:val="0"/>
                <w:sz w:val="22"/>
                <w:szCs w:val="22"/>
              </w:rPr>
              <w:t>a</w:t>
            </w:r>
            <w:r w:rsidRPr="005B5418">
              <w:rPr>
                <w:rFonts w:eastAsia="Arial Unicode MS" w:cs="Arial"/>
                <w:i w:val="0"/>
                <w:sz w:val="22"/>
                <w:szCs w:val="22"/>
              </w:rPr>
              <w:t>. 89)</w:t>
            </w:r>
          </w:p>
          <w:p w14:paraId="09AFD3F4" w14:textId="16D36458" w:rsidR="009F7F12" w:rsidRPr="005B5418" w:rsidRDefault="00340936" w:rsidP="008848DA">
            <w:pPr>
              <w:pStyle w:val="Table-Note"/>
              <w:keepNext w:val="0"/>
              <w:spacing w:before="60" w:after="60" w:line="240" w:lineRule="auto"/>
              <w:ind w:left="0"/>
              <w:jc w:val="left"/>
              <w:rPr>
                <w:rFonts w:eastAsia="Arial Unicode MS" w:cs="Arial"/>
                <w:sz w:val="22"/>
                <w:szCs w:val="22"/>
              </w:rPr>
            </w:pPr>
            <w:r w:rsidRPr="005B5418">
              <w:rPr>
                <w:rFonts w:eastAsia="Arial Unicode MS" w:cs="Arial"/>
                <w:i w:val="0"/>
                <w:iCs/>
                <w:sz w:val="22"/>
                <w:szCs w:val="22"/>
              </w:rPr>
              <w:t xml:space="preserve">Output is any product or service generated from the consumption of resources. </w:t>
            </w:r>
            <w:r w:rsidRPr="005B5418">
              <w:rPr>
                <w:rFonts w:eastAsia="Arial Unicode MS" w:cs="Arial"/>
                <w:i w:val="0"/>
                <w:sz w:val="22"/>
                <w:szCs w:val="22"/>
              </w:rPr>
              <w:t xml:space="preserve">Direct costs are costs that can be specifically identified with an output. </w:t>
            </w:r>
            <w:r w:rsidRPr="005B5418">
              <w:rPr>
                <w:rFonts w:eastAsia="Arial Unicode MS" w:cs="Arial"/>
                <w:i w:val="0"/>
                <w:iCs/>
                <w:sz w:val="22"/>
                <w:szCs w:val="22"/>
              </w:rPr>
              <w:t>Indirect costs are costs of resources that are jointly or commonly used to produce two or more types of outputs but are not specifically identifiable with any of the outputs. (SFFAS 4, par</w:t>
            </w:r>
            <w:r w:rsidR="00A95917" w:rsidRPr="005B5418">
              <w:rPr>
                <w:rFonts w:eastAsia="Arial Unicode MS" w:cs="Arial"/>
                <w:i w:val="0"/>
                <w:iCs/>
                <w:sz w:val="22"/>
                <w:szCs w:val="22"/>
              </w:rPr>
              <w:t>as</w:t>
            </w:r>
            <w:r w:rsidRPr="005B5418">
              <w:rPr>
                <w:rFonts w:eastAsia="Arial Unicode MS" w:cs="Arial"/>
                <w:i w:val="0"/>
                <w:iCs/>
                <w:sz w:val="22"/>
                <w:szCs w:val="22"/>
              </w:rPr>
              <w:t>. 89</w:t>
            </w:r>
            <w:r w:rsidR="00A95917" w:rsidRPr="005B5418">
              <w:rPr>
                <w:rFonts w:eastAsia="Arial Unicode MS" w:cs="Arial"/>
                <w:i w:val="0"/>
                <w:iCs/>
                <w:sz w:val="22"/>
                <w:szCs w:val="22"/>
              </w:rPr>
              <w:t>–</w:t>
            </w:r>
            <w:r w:rsidRPr="005B5418">
              <w:rPr>
                <w:rFonts w:eastAsia="Arial Unicode MS" w:cs="Arial"/>
                <w:i w:val="0"/>
                <w:iCs/>
                <w:sz w:val="22"/>
                <w:szCs w:val="22"/>
              </w:rPr>
              <w:t>91)</w:t>
            </w:r>
          </w:p>
        </w:tc>
      </w:tr>
      <w:tr w:rsidR="00811528" w:rsidRPr="005B5418" w14:paraId="0E70F2FA" w14:textId="77777777" w:rsidTr="00176E39">
        <w:trPr>
          <w:trHeight w:val="584"/>
        </w:trPr>
        <w:tc>
          <w:tcPr>
            <w:tcW w:w="5400" w:type="dxa"/>
          </w:tcPr>
          <w:p w14:paraId="23C2E57C" w14:textId="51005B85" w:rsidR="00811528" w:rsidRPr="005B5418" w:rsidRDefault="00811528" w:rsidP="008848DA">
            <w:pPr>
              <w:pStyle w:val="FAM-Table-outline"/>
              <w:spacing w:line="240" w:lineRule="auto"/>
            </w:pPr>
            <w:r w:rsidRPr="005B5418">
              <w:rPr>
                <w:rFonts w:eastAsia="Arial Unicode MS" w:cs="Arial"/>
                <w:szCs w:val="22"/>
              </w:rPr>
              <w:t>Has the entity defined and established responsibility segments? (SFFAS 4, par</w:t>
            </w:r>
            <w:r w:rsidR="00C86B3B" w:rsidRPr="005B5418">
              <w:rPr>
                <w:rFonts w:eastAsia="Arial Unicode MS" w:cs="Arial"/>
                <w:szCs w:val="22"/>
              </w:rPr>
              <w:t>a</w:t>
            </w:r>
            <w:r w:rsidRPr="005B5418">
              <w:rPr>
                <w:rFonts w:eastAsia="Arial Unicode MS" w:cs="Arial"/>
                <w:szCs w:val="22"/>
              </w:rPr>
              <w:t>. 77)</w:t>
            </w:r>
          </w:p>
        </w:tc>
        <w:tc>
          <w:tcPr>
            <w:tcW w:w="965" w:type="dxa"/>
          </w:tcPr>
          <w:p w14:paraId="06EA90E7" w14:textId="77777777" w:rsidR="00811528" w:rsidRPr="005B5418" w:rsidRDefault="00811528" w:rsidP="008848DA">
            <w:pPr>
              <w:pStyle w:val="Table-Cell-CenterBoldBefore6ptAfter6pt"/>
              <w:spacing w:before="60" w:after="60"/>
              <w:rPr>
                <w:rFonts w:cs="Arial"/>
              </w:rPr>
            </w:pPr>
          </w:p>
        </w:tc>
        <w:tc>
          <w:tcPr>
            <w:tcW w:w="3211" w:type="dxa"/>
          </w:tcPr>
          <w:p w14:paraId="6FC5B300" w14:textId="77777777" w:rsidR="00811528" w:rsidRPr="005B5418" w:rsidRDefault="00811528" w:rsidP="008848DA">
            <w:pPr>
              <w:spacing w:before="60" w:after="60" w:line="240" w:lineRule="auto"/>
              <w:rPr>
                <w:rFonts w:cs="Arial"/>
              </w:rPr>
            </w:pPr>
          </w:p>
        </w:tc>
      </w:tr>
      <w:tr w:rsidR="00811528" w:rsidRPr="005B5418" w14:paraId="475D8723" w14:textId="77777777" w:rsidTr="00F26968">
        <w:trPr>
          <w:trHeight w:val="1340"/>
        </w:trPr>
        <w:tc>
          <w:tcPr>
            <w:tcW w:w="5400" w:type="dxa"/>
          </w:tcPr>
          <w:p w14:paraId="1E260A8F" w14:textId="77777777" w:rsidR="00811528" w:rsidRPr="005B5418" w:rsidRDefault="00811528" w:rsidP="00BF16CD">
            <w:pPr>
              <w:pStyle w:val="FAM-Table-outline"/>
              <w:spacing w:line="240" w:lineRule="auto"/>
              <w:rPr>
                <w:rFonts w:eastAsia="Arial Unicode MS"/>
              </w:rPr>
            </w:pPr>
            <w:r w:rsidRPr="005B5418">
              <w:rPr>
                <w:rFonts w:eastAsia="Arial Unicode MS"/>
              </w:rPr>
              <w:lastRenderedPageBreak/>
              <w:t>Does management designate or establish responsibility segments based on</w:t>
            </w:r>
          </w:p>
          <w:p w14:paraId="346FCA18" w14:textId="77777777" w:rsidR="00811528" w:rsidRPr="005B5418" w:rsidRDefault="00811528" w:rsidP="005425ED">
            <w:pPr>
              <w:pStyle w:val="FAM-Table-outline2"/>
              <w:tabs>
                <w:tab w:val="num" w:pos="1530"/>
              </w:tabs>
              <w:spacing w:line="240" w:lineRule="auto"/>
              <w:ind w:left="1140" w:hanging="443"/>
              <w:rPr>
                <w:rFonts w:eastAsia="Arial Unicode MS"/>
              </w:rPr>
            </w:pPr>
            <w:r w:rsidRPr="005B5418">
              <w:rPr>
                <w:rFonts w:eastAsia="Arial Unicode MS"/>
              </w:rPr>
              <w:t xml:space="preserve">the entity’s organizational structure, </w:t>
            </w:r>
          </w:p>
          <w:p w14:paraId="3FA8D2C3" w14:textId="77777777" w:rsidR="00811528" w:rsidRPr="005B5418" w:rsidRDefault="00811528" w:rsidP="005425ED">
            <w:pPr>
              <w:pStyle w:val="FAM-Table-outline2"/>
              <w:tabs>
                <w:tab w:val="num" w:pos="1530"/>
              </w:tabs>
              <w:spacing w:line="240" w:lineRule="auto"/>
              <w:ind w:left="1140" w:hanging="443"/>
              <w:rPr>
                <w:rFonts w:eastAsia="Arial Unicode MS"/>
              </w:rPr>
            </w:pPr>
            <w:r w:rsidRPr="005B5418">
              <w:rPr>
                <w:rFonts w:eastAsia="Arial Unicode MS"/>
              </w:rPr>
              <w:t>its lines of responsibility and missions,</w:t>
            </w:r>
          </w:p>
          <w:p w14:paraId="4AAA46B9" w14:textId="77777777" w:rsidR="00811528" w:rsidRPr="005B5418" w:rsidRDefault="00811528" w:rsidP="005425ED">
            <w:pPr>
              <w:pStyle w:val="FAM-Table-outline2"/>
              <w:tabs>
                <w:tab w:val="num" w:pos="1530"/>
              </w:tabs>
              <w:spacing w:line="240" w:lineRule="auto"/>
              <w:ind w:left="1140" w:hanging="443"/>
              <w:rPr>
                <w:rFonts w:eastAsia="Arial Unicode MS"/>
              </w:rPr>
            </w:pPr>
            <w:r w:rsidRPr="005B5418">
              <w:rPr>
                <w:rFonts w:eastAsia="Arial Unicode MS"/>
              </w:rPr>
              <w:t>its output (goods or services it delivers), and</w:t>
            </w:r>
          </w:p>
          <w:p w14:paraId="016816C8" w14:textId="585EF7B8" w:rsidR="00811528" w:rsidRPr="005B5418" w:rsidRDefault="00811528" w:rsidP="005425ED">
            <w:pPr>
              <w:pStyle w:val="FAM-Table-outline2"/>
              <w:tabs>
                <w:tab w:val="num" w:pos="1530"/>
              </w:tabs>
              <w:spacing w:line="240" w:lineRule="auto"/>
              <w:ind w:left="1140" w:hanging="443"/>
              <w:rPr>
                <w:rFonts w:eastAsia="Arial Unicode MS"/>
              </w:rPr>
            </w:pPr>
            <w:r w:rsidRPr="005B5418">
              <w:rPr>
                <w:rFonts w:eastAsia="Arial Unicode MS"/>
              </w:rPr>
              <w:t>budget accounts and funding authorities? (SFFAS 4, par</w:t>
            </w:r>
            <w:r w:rsidR="00C86B3B" w:rsidRPr="005B5418">
              <w:rPr>
                <w:rFonts w:eastAsia="Arial Unicode MS"/>
              </w:rPr>
              <w:t>a</w:t>
            </w:r>
            <w:r w:rsidRPr="005B5418">
              <w:rPr>
                <w:rFonts w:eastAsia="Arial Unicode MS"/>
              </w:rPr>
              <w:t>. 86)</w:t>
            </w:r>
          </w:p>
        </w:tc>
        <w:tc>
          <w:tcPr>
            <w:tcW w:w="965" w:type="dxa"/>
          </w:tcPr>
          <w:p w14:paraId="113E9588" w14:textId="77777777" w:rsidR="00811528" w:rsidRPr="005B5418" w:rsidRDefault="00811528" w:rsidP="008848DA">
            <w:pPr>
              <w:pStyle w:val="Table-Cell-CenterBoldBefore6ptAfter6pt"/>
              <w:spacing w:before="60" w:after="60"/>
              <w:rPr>
                <w:rFonts w:cs="Arial"/>
              </w:rPr>
            </w:pPr>
          </w:p>
        </w:tc>
        <w:tc>
          <w:tcPr>
            <w:tcW w:w="3211" w:type="dxa"/>
          </w:tcPr>
          <w:p w14:paraId="28FB2F97" w14:textId="77777777" w:rsidR="00811528" w:rsidRPr="005B5418" w:rsidRDefault="00811528" w:rsidP="008848DA">
            <w:pPr>
              <w:spacing w:before="60" w:after="60" w:line="240" w:lineRule="auto"/>
              <w:rPr>
                <w:rFonts w:cs="Arial"/>
              </w:rPr>
            </w:pPr>
          </w:p>
        </w:tc>
      </w:tr>
      <w:tr w:rsidR="00811528" w:rsidRPr="005B5418" w14:paraId="00BBBDA9" w14:textId="77777777" w:rsidTr="005674AF">
        <w:trPr>
          <w:trHeight w:val="3707"/>
        </w:trPr>
        <w:tc>
          <w:tcPr>
            <w:tcW w:w="5400" w:type="dxa"/>
          </w:tcPr>
          <w:p w14:paraId="6A1632A6" w14:textId="77777777" w:rsidR="00811528" w:rsidRPr="005B5418" w:rsidRDefault="00811528" w:rsidP="00BF16CD">
            <w:pPr>
              <w:pStyle w:val="FAM-Table-outline"/>
              <w:spacing w:line="240" w:lineRule="auto"/>
              <w:rPr>
                <w:rFonts w:eastAsia="Arial Unicode MS"/>
              </w:rPr>
            </w:pPr>
            <w:r w:rsidRPr="005B5418">
              <w:rPr>
                <w:rFonts w:eastAsia="Arial Unicode MS"/>
              </w:rPr>
              <w:t xml:space="preserve">For each responsibility segment, does the entity  </w:t>
            </w:r>
          </w:p>
          <w:p w14:paraId="70A2063C" w14:textId="53943D83" w:rsidR="00811528" w:rsidRPr="005B5418" w:rsidRDefault="00811528" w:rsidP="005425ED">
            <w:pPr>
              <w:pStyle w:val="FAM-Table-outline2"/>
              <w:tabs>
                <w:tab w:val="num" w:pos="1530"/>
              </w:tabs>
              <w:spacing w:line="240" w:lineRule="auto"/>
              <w:ind w:left="1140" w:hanging="443"/>
              <w:rPr>
                <w:rFonts w:eastAsia="Arial Unicode MS"/>
              </w:rPr>
            </w:pPr>
            <w:r w:rsidRPr="005B5418">
              <w:rPr>
                <w:rFonts w:eastAsia="Arial Unicode MS"/>
              </w:rPr>
              <w:t>define and accumulate outputs and, if feasible, quantify each type of output in units</w:t>
            </w:r>
            <w:r w:rsidR="00C86B3B" w:rsidRPr="005B5418">
              <w:rPr>
                <w:rFonts w:eastAsia="Arial Unicode MS"/>
              </w:rPr>
              <w:t>;</w:t>
            </w:r>
          </w:p>
          <w:p w14:paraId="12D61646" w14:textId="1EAA4091" w:rsidR="00811528" w:rsidRPr="005B5418" w:rsidRDefault="00811528" w:rsidP="005425ED">
            <w:pPr>
              <w:pStyle w:val="FAM-Table-outline2"/>
              <w:tabs>
                <w:tab w:val="num" w:pos="1530"/>
              </w:tabs>
              <w:spacing w:line="240" w:lineRule="auto"/>
              <w:ind w:left="1140" w:hanging="443"/>
              <w:rPr>
                <w:rFonts w:eastAsia="Arial Unicode MS"/>
              </w:rPr>
            </w:pPr>
            <w:r w:rsidRPr="005B5418">
              <w:rPr>
                <w:rFonts w:eastAsia="Arial Unicode MS"/>
              </w:rPr>
              <w:t>accumulate costs and quantitative units of resources consumed in producing the outputs</w:t>
            </w:r>
            <w:r w:rsidR="00C86B3B" w:rsidRPr="005B5418">
              <w:rPr>
                <w:rFonts w:eastAsia="Arial Unicode MS"/>
              </w:rPr>
              <w:t>;</w:t>
            </w:r>
          </w:p>
          <w:p w14:paraId="3A213340" w14:textId="02B4D50C" w:rsidR="00811528" w:rsidRPr="005B5418" w:rsidRDefault="00811528" w:rsidP="005425ED">
            <w:pPr>
              <w:pStyle w:val="FAM-Table-outline2"/>
              <w:tabs>
                <w:tab w:val="num" w:pos="1530"/>
              </w:tabs>
              <w:spacing w:line="240" w:lineRule="auto"/>
              <w:ind w:left="1140" w:hanging="443"/>
              <w:rPr>
                <w:rFonts w:eastAsia="Arial Unicode MS"/>
              </w:rPr>
            </w:pPr>
            <w:r w:rsidRPr="005B5418">
              <w:rPr>
                <w:rFonts w:eastAsia="Arial Unicode MS"/>
              </w:rPr>
              <w:t>assign costs to outputs and calculate the cost per unit of each type of output</w:t>
            </w:r>
            <w:r w:rsidR="00C86B3B" w:rsidRPr="005B5418">
              <w:rPr>
                <w:rFonts w:eastAsia="Arial Unicode MS"/>
              </w:rPr>
              <w:t>;</w:t>
            </w:r>
            <w:r w:rsidRPr="005B5418">
              <w:rPr>
                <w:rFonts w:eastAsia="Arial Unicode MS"/>
              </w:rPr>
              <w:t xml:space="preserve"> and</w:t>
            </w:r>
          </w:p>
          <w:p w14:paraId="0597F730" w14:textId="77777777" w:rsidR="00811528" w:rsidRPr="005B5418" w:rsidRDefault="00811528" w:rsidP="005425ED">
            <w:pPr>
              <w:pStyle w:val="FAM-Table-outline2"/>
              <w:tabs>
                <w:tab w:val="num" w:pos="1530"/>
              </w:tabs>
              <w:spacing w:line="240" w:lineRule="auto"/>
              <w:ind w:left="1140" w:hanging="443"/>
              <w:rPr>
                <w:rFonts w:eastAsia="Arial Unicode MS"/>
              </w:rPr>
            </w:pPr>
            <w:r w:rsidRPr="005B5418">
              <w:rPr>
                <w:rFonts w:eastAsia="Arial Unicode MS"/>
              </w:rPr>
              <w:t>establish cost centers within responsibility segments? (SFFAS 4, par</w:t>
            </w:r>
            <w:r w:rsidR="00C86B3B" w:rsidRPr="005B5418">
              <w:rPr>
                <w:rFonts w:eastAsia="Arial Unicode MS"/>
              </w:rPr>
              <w:t>as</w:t>
            </w:r>
            <w:r w:rsidRPr="005B5418">
              <w:rPr>
                <w:rFonts w:eastAsia="Arial Unicode MS"/>
              </w:rPr>
              <w:t>. 79 and 88)</w:t>
            </w:r>
          </w:p>
          <w:p w14:paraId="695D2259" w14:textId="77777777" w:rsidR="009B794E" w:rsidRPr="005B5418" w:rsidRDefault="009B794E" w:rsidP="00BF16CD">
            <w:pPr>
              <w:pStyle w:val="FAM-Table-outline2"/>
              <w:numPr>
                <w:ilvl w:val="0"/>
                <w:numId w:val="0"/>
              </w:numPr>
              <w:spacing w:line="240" w:lineRule="auto"/>
              <w:ind w:left="564"/>
              <w:rPr>
                <w:rFonts w:eastAsia="Arial Unicode MS"/>
              </w:rPr>
            </w:pPr>
          </w:p>
          <w:p w14:paraId="26B80474" w14:textId="66050351" w:rsidR="00BF16CD" w:rsidRPr="005B5418" w:rsidRDefault="00BF16CD" w:rsidP="008848DA">
            <w:pPr>
              <w:pStyle w:val="FAM-Table-outline2"/>
              <w:numPr>
                <w:ilvl w:val="0"/>
                <w:numId w:val="0"/>
              </w:numPr>
              <w:spacing w:line="240" w:lineRule="auto"/>
              <w:ind w:left="564"/>
              <w:rPr>
                <w:rFonts w:eastAsia="Arial Unicode MS"/>
              </w:rPr>
            </w:pPr>
          </w:p>
        </w:tc>
        <w:tc>
          <w:tcPr>
            <w:tcW w:w="965" w:type="dxa"/>
          </w:tcPr>
          <w:p w14:paraId="7C8FA6AF" w14:textId="77777777" w:rsidR="00811528" w:rsidRPr="005B5418" w:rsidRDefault="00811528" w:rsidP="008848DA">
            <w:pPr>
              <w:pStyle w:val="Table-Cell-CenterBoldBefore6ptAfter6pt"/>
              <w:spacing w:before="60" w:after="60"/>
              <w:rPr>
                <w:rFonts w:cs="Arial"/>
              </w:rPr>
            </w:pPr>
          </w:p>
        </w:tc>
        <w:tc>
          <w:tcPr>
            <w:tcW w:w="3211" w:type="dxa"/>
          </w:tcPr>
          <w:p w14:paraId="2DFA91E5" w14:textId="77777777" w:rsidR="00811528" w:rsidRPr="005B5418" w:rsidRDefault="00811528" w:rsidP="008848DA">
            <w:pPr>
              <w:spacing w:before="60" w:after="60" w:line="240" w:lineRule="auto"/>
              <w:rPr>
                <w:rFonts w:cs="Arial"/>
              </w:rPr>
            </w:pPr>
          </w:p>
        </w:tc>
      </w:tr>
      <w:tr w:rsidR="00221CE4" w:rsidRPr="005B5418" w14:paraId="6FC117A0" w14:textId="77777777" w:rsidTr="008848DA">
        <w:trPr>
          <w:trHeight w:val="2402"/>
        </w:trPr>
        <w:tc>
          <w:tcPr>
            <w:tcW w:w="5400" w:type="dxa"/>
          </w:tcPr>
          <w:p w14:paraId="3D67AA1A" w14:textId="77777777" w:rsidR="00221CE4" w:rsidRPr="005B5418" w:rsidRDefault="00221CE4" w:rsidP="009B48C2">
            <w:pPr>
              <w:pStyle w:val="FAM-Table-outline"/>
              <w:spacing w:line="240" w:lineRule="auto"/>
              <w:rPr>
                <w:rFonts w:eastAsia="Arial Unicode MS"/>
              </w:rPr>
            </w:pPr>
            <w:r w:rsidRPr="005B5418">
              <w:rPr>
                <w:rFonts w:eastAsia="Arial Unicode MS"/>
              </w:rPr>
              <w:t>Are costs assigned to outputs through</w:t>
            </w:r>
          </w:p>
          <w:p w14:paraId="4CF579A4" w14:textId="38D663CC" w:rsidR="00221CE4" w:rsidRPr="005B5418" w:rsidRDefault="00221CE4" w:rsidP="005425ED">
            <w:pPr>
              <w:pStyle w:val="FAM-Table-outline2"/>
              <w:tabs>
                <w:tab w:val="num" w:pos="1530"/>
              </w:tabs>
              <w:spacing w:line="240" w:lineRule="auto"/>
              <w:ind w:left="1140" w:hanging="443"/>
              <w:rPr>
                <w:rFonts w:eastAsia="Arial Unicode MS"/>
              </w:rPr>
            </w:pPr>
            <w:r w:rsidRPr="005B5418">
              <w:rPr>
                <w:rFonts w:eastAsia="Arial Unicode MS"/>
              </w:rPr>
              <w:t>directly tracing costs used in the production of an output, wherever economically feasible</w:t>
            </w:r>
            <w:r w:rsidR="00C86B3B" w:rsidRPr="005B5418">
              <w:rPr>
                <w:rFonts w:eastAsia="Arial Unicode MS"/>
              </w:rPr>
              <w:t>;</w:t>
            </w:r>
          </w:p>
          <w:p w14:paraId="004877DA" w14:textId="7ED938BB" w:rsidR="00221CE4" w:rsidRPr="005B5418" w:rsidRDefault="00221CE4" w:rsidP="005425ED">
            <w:pPr>
              <w:pStyle w:val="FAM-Table-outline2"/>
              <w:tabs>
                <w:tab w:val="num" w:pos="1530"/>
              </w:tabs>
              <w:spacing w:line="240" w:lineRule="auto"/>
              <w:ind w:left="1140" w:hanging="443"/>
              <w:rPr>
                <w:rFonts w:eastAsia="Arial Unicode MS"/>
              </w:rPr>
            </w:pPr>
            <w:r w:rsidRPr="005B5418">
              <w:rPr>
                <w:rFonts w:eastAsia="Arial Unicode MS"/>
              </w:rPr>
              <w:t>assigning costs on a cause-and-effect basis</w:t>
            </w:r>
            <w:r w:rsidR="00C86B3B" w:rsidRPr="005B5418">
              <w:rPr>
                <w:rFonts w:eastAsia="Arial Unicode MS"/>
              </w:rPr>
              <w:t>;</w:t>
            </w:r>
            <w:r w:rsidRPr="005B5418">
              <w:rPr>
                <w:rFonts w:eastAsia="Arial Unicode MS"/>
              </w:rPr>
              <w:t xml:space="preserve"> or</w:t>
            </w:r>
          </w:p>
          <w:p w14:paraId="772A8F8D" w14:textId="48E86685" w:rsidR="00221CE4" w:rsidRPr="005B5418" w:rsidRDefault="00221CE4" w:rsidP="005425ED">
            <w:pPr>
              <w:pStyle w:val="FAM-Table-outline2"/>
              <w:tabs>
                <w:tab w:val="num" w:pos="1530"/>
              </w:tabs>
              <w:spacing w:line="240" w:lineRule="auto"/>
              <w:ind w:left="1140" w:hanging="443"/>
              <w:rPr>
                <w:rFonts w:eastAsia="Arial Unicode MS"/>
              </w:rPr>
            </w:pPr>
            <w:r w:rsidRPr="005B5418">
              <w:rPr>
                <w:rFonts w:eastAsia="Arial Unicode MS"/>
              </w:rPr>
              <w:t>allocating costs on a reasonable and consistent basis? (SFFAS 4, par</w:t>
            </w:r>
            <w:r w:rsidR="00C86B3B" w:rsidRPr="005B5418">
              <w:rPr>
                <w:rFonts w:eastAsia="Arial Unicode MS"/>
              </w:rPr>
              <w:t>a</w:t>
            </w:r>
            <w:r w:rsidRPr="005B5418">
              <w:rPr>
                <w:rFonts w:eastAsia="Arial Unicode MS"/>
              </w:rPr>
              <w:t>. 124)</w:t>
            </w:r>
          </w:p>
        </w:tc>
        <w:tc>
          <w:tcPr>
            <w:tcW w:w="965" w:type="dxa"/>
          </w:tcPr>
          <w:p w14:paraId="36D21E9E" w14:textId="77777777" w:rsidR="00221CE4" w:rsidRPr="005B5418" w:rsidRDefault="00221CE4" w:rsidP="008848DA">
            <w:pPr>
              <w:pStyle w:val="Table-Cell-CenterBoldBefore6ptAfter6pt"/>
              <w:spacing w:before="60" w:after="60"/>
              <w:rPr>
                <w:rFonts w:cs="Arial"/>
              </w:rPr>
            </w:pPr>
          </w:p>
        </w:tc>
        <w:tc>
          <w:tcPr>
            <w:tcW w:w="3211" w:type="dxa"/>
          </w:tcPr>
          <w:p w14:paraId="35ED6825" w14:textId="77777777" w:rsidR="00221CE4" w:rsidRPr="005B5418" w:rsidRDefault="00221CE4" w:rsidP="008848DA">
            <w:pPr>
              <w:spacing w:before="60" w:after="60" w:line="240" w:lineRule="auto"/>
              <w:rPr>
                <w:rFonts w:cs="Arial"/>
              </w:rPr>
            </w:pPr>
          </w:p>
        </w:tc>
      </w:tr>
      <w:tr w:rsidR="00221CE4" w:rsidRPr="005B5418" w14:paraId="15F586BC" w14:textId="77777777" w:rsidTr="008848DA">
        <w:trPr>
          <w:trHeight w:val="980"/>
        </w:trPr>
        <w:tc>
          <w:tcPr>
            <w:tcW w:w="5400" w:type="dxa"/>
          </w:tcPr>
          <w:p w14:paraId="5DB43A34" w14:textId="024700C0" w:rsidR="00221CE4" w:rsidRPr="005B5418" w:rsidRDefault="00221CE4" w:rsidP="008848DA">
            <w:pPr>
              <w:pStyle w:val="FAM-Table-outline"/>
              <w:spacing w:line="240" w:lineRule="auto"/>
              <w:rPr>
                <w:rFonts w:eastAsia="Arial Unicode MS"/>
              </w:rPr>
            </w:pPr>
            <w:r w:rsidRPr="005B5418">
              <w:rPr>
                <w:rFonts w:eastAsia="Arial Unicode MS"/>
              </w:rPr>
              <w:t>For cost allocation purposes, do indirect costs assigned to a given cost pool have similar characteristics? (SFFAS 4, par</w:t>
            </w:r>
            <w:r w:rsidR="00A10B71" w:rsidRPr="005B5418">
              <w:rPr>
                <w:rFonts w:eastAsia="Arial Unicode MS"/>
              </w:rPr>
              <w:t>a</w:t>
            </w:r>
            <w:r w:rsidRPr="005B5418">
              <w:rPr>
                <w:rFonts w:eastAsia="Arial Unicode MS"/>
              </w:rPr>
              <w:t>. 136)</w:t>
            </w:r>
          </w:p>
        </w:tc>
        <w:tc>
          <w:tcPr>
            <w:tcW w:w="965" w:type="dxa"/>
          </w:tcPr>
          <w:p w14:paraId="6629B814" w14:textId="77777777" w:rsidR="00221CE4" w:rsidRPr="005B5418" w:rsidRDefault="00221CE4" w:rsidP="008848DA">
            <w:pPr>
              <w:pStyle w:val="Table-Cell-CenterBoldBefore6ptAfter6pt"/>
              <w:spacing w:before="60" w:after="60"/>
              <w:rPr>
                <w:rFonts w:cs="Arial"/>
              </w:rPr>
            </w:pPr>
          </w:p>
        </w:tc>
        <w:tc>
          <w:tcPr>
            <w:tcW w:w="3211" w:type="dxa"/>
          </w:tcPr>
          <w:p w14:paraId="6987B346" w14:textId="77777777" w:rsidR="00221CE4" w:rsidRPr="005B5418" w:rsidRDefault="00221CE4" w:rsidP="008848DA">
            <w:pPr>
              <w:spacing w:before="60" w:after="60" w:line="240" w:lineRule="auto"/>
              <w:rPr>
                <w:rFonts w:cs="Arial"/>
              </w:rPr>
            </w:pPr>
          </w:p>
        </w:tc>
      </w:tr>
      <w:tr w:rsidR="00221CE4" w:rsidRPr="005B5418" w14:paraId="24FA534A" w14:textId="77777777" w:rsidTr="008848DA">
        <w:trPr>
          <w:trHeight w:val="1520"/>
        </w:trPr>
        <w:tc>
          <w:tcPr>
            <w:tcW w:w="5400" w:type="dxa"/>
          </w:tcPr>
          <w:p w14:paraId="073E88E8" w14:textId="0870875C" w:rsidR="00221CE4" w:rsidRPr="005B5418" w:rsidRDefault="00221CE4" w:rsidP="008848DA">
            <w:pPr>
              <w:pStyle w:val="FAM-Table-outline"/>
              <w:spacing w:line="240" w:lineRule="auto"/>
              <w:rPr>
                <w:rFonts w:eastAsia="Arial Unicode MS"/>
              </w:rPr>
            </w:pPr>
            <w:r w:rsidRPr="005B5418">
              <w:rPr>
                <w:rFonts w:eastAsia="Arial Unicode MS"/>
              </w:rPr>
              <w:t>Are the full costing methodologies that are appropriate to a segment's operating environment used and consistently followed and any changes documented and explained? (SFFAS 4, par</w:t>
            </w:r>
            <w:r w:rsidR="00A10B71" w:rsidRPr="005B5418">
              <w:rPr>
                <w:rFonts w:eastAsia="Arial Unicode MS"/>
              </w:rPr>
              <w:t>as</w:t>
            </w:r>
            <w:r w:rsidRPr="005B5418">
              <w:rPr>
                <w:rFonts w:eastAsia="Arial Unicode MS"/>
              </w:rPr>
              <w:t>. 145</w:t>
            </w:r>
            <w:r w:rsidR="00A10B71" w:rsidRPr="005B5418">
              <w:rPr>
                <w:rFonts w:eastAsia="Arial Unicode MS"/>
              </w:rPr>
              <w:t>–</w:t>
            </w:r>
            <w:r w:rsidRPr="005B5418">
              <w:rPr>
                <w:rFonts w:eastAsia="Arial Unicode MS"/>
              </w:rPr>
              <w:t>146)</w:t>
            </w:r>
          </w:p>
        </w:tc>
        <w:tc>
          <w:tcPr>
            <w:tcW w:w="965" w:type="dxa"/>
          </w:tcPr>
          <w:p w14:paraId="0516DF03" w14:textId="77777777" w:rsidR="00221CE4" w:rsidRPr="005B5418" w:rsidRDefault="00221CE4" w:rsidP="008848DA">
            <w:pPr>
              <w:pStyle w:val="Table-Cell-CenterBoldBefore6ptAfter6pt"/>
              <w:spacing w:before="60" w:after="60"/>
              <w:rPr>
                <w:rFonts w:cs="Arial"/>
              </w:rPr>
            </w:pPr>
          </w:p>
        </w:tc>
        <w:tc>
          <w:tcPr>
            <w:tcW w:w="3211" w:type="dxa"/>
          </w:tcPr>
          <w:p w14:paraId="59762871" w14:textId="77777777" w:rsidR="00221CE4" w:rsidRPr="005B5418" w:rsidRDefault="00221CE4" w:rsidP="008848DA">
            <w:pPr>
              <w:spacing w:before="60" w:after="60" w:line="240" w:lineRule="auto"/>
              <w:rPr>
                <w:rFonts w:cs="Arial"/>
              </w:rPr>
            </w:pPr>
          </w:p>
        </w:tc>
      </w:tr>
      <w:tr w:rsidR="007105C6" w:rsidRPr="005B5418" w14:paraId="2A98BD59" w14:textId="77777777" w:rsidTr="008848DA">
        <w:trPr>
          <w:trHeight w:val="3770"/>
        </w:trPr>
        <w:tc>
          <w:tcPr>
            <w:tcW w:w="5400" w:type="dxa"/>
          </w:tcPr>
          <w:p w14:paraId="325A085D" w14:textId="77777777" w:rsidR="007105C6" w:rsidRPr="005B5418" w:rsidRDefault="007105C6" w:rsidP="00BF16CD">
            <w:pPr>
              <w:pStyle w:val="FAM-Table-outline"/>
              <w:spacing w:line="240" w:lineRule="auto"/>
              <w:rPr>
                <w:rFonts w:eastAsia="Arial Unicode MS"/>
              </w:rPr>
            </w:pPr>
            <w:r w:rsidRPr="005B5418">
              <w:rPr>
                <w:rFonts w:eastAsia="Arial Unicode MS"/>
              </w:rPr>
              <w:lastRenderedPageBreak/>
              <w:t>Does the entity include all direct costs in the full cost of outputs, including</w:t>
            </w:r>
          </w:p>
          <w:p w14:paraId="42FFA064" w14:textId="5AFE7EB4" w:rsidR="007105C6" w:rsidRPr="005B5418" w:rsidRDefault="007105C6" w:rsidP="009B48C2">
            <w:pPr>
              <w:pStyle w:val="FAM-Table-outline2"/>
              <w:spacing w:line="240" w:lineRule="auto"/>
              <w:ind w:left="1140" w:hanging="443"/>
              <w:rPr>
                <w:rFonts w:eastAsia="Arial Unicode MS"/>
              </w:rPr>
            </w:pPr>
            <w:r w:rsidRPr="005B5418">
              <w:rPr>
                <w:rFonts w:eastAsia="Arial Unicode MS"/>
              </w:rPr>
              <w:t>salaries and other benefits for employees who work directly on the output</w:t>
            </w:r>
            <w:r w:rsidR="00A10B71" w:rsidRPr="005B5418">
              <w:rPr>
                <w:rFonts w:eastAsia="Arial Unicode MS"/>
              </w:rPr>
              <w:t xml:space="preserve">; </w:t>
            </w:r>
          </w:p>
          <w:p w14:paraId="63B8F68A" w14:textId="16ECCBD6" w:rsidR="007105C6" w:rsidRPr="005B5418" w:rsidRDefault="007105C6" w:rsidP="009B48C2">
            <w:pPr>
              <w:pStyle w:val="FAM-Table-outline2"/>
              <w:spacing w:line="240" w:lineRule="auto"/>
              <w:ind w:left="1140" w:hanging="443"/>
              <w:rPr>
                <w:rFonts w:eastAsia="Arial Unicode MS"/>
              </w:rPr>
            </w:pPr>
            <w:r w:rsidRPr="005B5418">
              <w:rPr>
                <w:rFonts w:eastAsia="Arial Unicode MS"/>
              </w:rPr>
              <w:t>materials and supplies used in the work</w:t>
            </w:r>
            <w:r w:rsidR="00A10B71" w:rsidRPr="005B5418">
              <w:rPr>
                <w:rFonts w:eastAsia="Arial Unicode MS"/>
              </w:rPr>
              <w:t>;</w:t>
            </w:r>
          </w:p>
          <w:p w14:paraId="49D700A5" w14:textId="617F7186" w:rsidR="007105C6" w:rsidRPr="005B5418" w:rsidRDefault="007105C6" w:rsidP="009B48C2">
            <w:pPr>
              <w:pStyle w:val="FAM-Table-outline2"/>
              <w:spacing w:line="240" w:lineRule="auto"/>
              <w:ind w:left="1140" w:hanging="443"/>
              <w:rPr>
                <w:rFonts w:eastAsia="Arial Unicode MS"/>
              </w:rPr>
            </w:pPr>
            <w:r w:rsidRPr="005B5418">
              <w:rPr>
                <w:rFonts w:eastAsia="Arial Unicode MS"/>
              </w:rPr>
              <w:t>various costs associated with office space, equipment, facilities, and utilities that are used exclusively to produce the output</w:t>
            </w:r>
            <w:r w:rsidR="00A10B71" w:rsidRPr="005B5418">
              <w:rPr>
                <w:rFonts w:eastAsia="Arial Unicode MS"/>
              </w:rPr>
              <w:t>;</w:t>
            </w:r>
            <w:r w:rsidRPr="005B5418">
              <w:rPr>
                <w:rFonts w:eastAsia="Arial Unicode MS"/>
              </w:rPr>
              <w:t xml:space="preserve"> and </w:t>
            </w:r>
          </w:p>
          <w:p w14:paraId="5840A516" w14:textId="72F29F6A" w:rsidR="007105C6" w:rsidRPr="005B5418" w:rsidRDefault="007105C6" w:rsidP="009B48C2">
            <w:pPr>
              <w:pStyle w:val="FAM-Table-outline2"/>
              <w:spacing w:line="240" w:lineRule="auto"/>
              <w:ind w:left="1140" w:hanging="443"/>
              <w:rPr>
                <w:rFonts w:eastAsia="Arial Unicode MS"/>
              </w:rPr>
            </w:pPr>
            <w:r w:rsidRPr="005B5418">
              <w:rPr>
                <w:rFonts w:eastAsia="Arial Unicode MS"/>
              </w:rPr>
              <w:t>costs of goods or services received from other segments or entities that are used to produce the output? (SFFAS 4, par</w:t>
            </w:r>
            <w:r w:rsidR="00A10B71" w:rsidRPr="005B5418">
              <w:rPr>
                <w:rFonts w:eastAsia="Arial Unicode MS"/>
              </w:rPr>
              <w:t>a</w:t>
            </w:r>
            <w:r w:rsidRPr="005B5418">
              <w:rPr>
                <w:rFonts w:eastAsia="Arial Unicode MS"/>
              </w:rPr>
              <w:t>. 90)</w:t>
            </w:r>
          </w:p>
        </w:tc>
        <w:tc>
          <w:tcPr>
            <w:tcW w:w="965" w:type="dxa"/>
          </w:tcPr>
          <w:p w14:paraId="430A3374" w14:textId="77777777" w:rsidR="007105C6" w:rsidRPr="005B5418" w:rsidRDefault="007105C6" w:rsidP="008848DA">
            <w:pPr>
              <w:pStyle w:val="Table-Cell-CenterBoldBefore6ptAfter6pt"/>
              <w:spacing w:before="60" w:after="60"/>
              <w:rPr>
                <w:rFonts w:cs="Arial"/>
              </w:rPr>
            </w:pPr>
          </w:p>
        </w:tc>
        <w:tc>
          <w:tcPr>
            <w:tcW w:w="3211" w:type="dxa"/>
          </w:tcPr>
          <w:p w14:paraId="7964C9A5" w14:textId="77777777" w:rsidR="007105C6" w:rsidRPr="005B5418" w:rsidRDefault="007105C6" w:rsidP="008848DA">
            <w:pPr>
              <w:spacing w:before="60" w:after="60" w:line="240" w:lineRule="auto"/>
              <w:rPr>
                <w:rFonts w:cs="Arial"/>
              </w:rPr>
            </w:pPr>
          </w:p>
        </w:tc>
      </w:tr>
      <w:tr w:rsidR="007105C6" w:rsidRPr="005B5418" w14:paraId="78B9020E" w14:textId="77777777" w:rsidTr="00F26968">
        <w:trPr>
          <w:trHeight w:val="1340"/>
        </w:trPr>
        <w:tc>
          <w:tcPr>
            <w:tcW w:w="5400" w:type="dxa"/>
          </w:tcPr>
          <w:p w14:paraId="40A4C34B" w14:textId="77777777" w:rsidR="007105C6" w:rsidRPr="005B5418" w:rsidRDefault="007105C6" w:rsidP="00BF16CD">
            <w:pPr>
              <w:pStyle w:val="FAM-Table-outline"/>
              <w:spacing w:line="240" w:lineRule="auto"/>
              <w:rPr>
                <w:rFonts w:eastAsia="Arial Unicode MS"/>
              </w:rPr>
            </w:pPr>
            <w:r w:rsidRPr="005B5418">
              <w:rPr>
                <w:rFonts w:eastAsia="Arial Unicode MS"/>
              </w:rPr>
              <w:t>In the full cost of outputs, does the reporting entity include</w:t>
            </w:r>
          </w:p>
          <w:p w14:paraId="0BE4E46C" w14:textId="254B9AE4" w:rsidR="007105C6" w:rsidRPr="005B5418" w:rsidRDefault="007105C6" w:rsidP="009B48C2">
            <w:pPr>
              <w:pStyle w:val="FAM-Table-outline2"/>
              <w:spacing w:line="240" w:lineRule="auto"/>
              <w:ind w:left="1140" w:hanging="443"/>
              <w:rPr>
                <w:rFonts w:eastAsia="Arial Unicode MS"/>
              </w:rPr>
            </w:pPr>
            <w:r w:rsidRPr="005B5418">
              <w:rPr>
                <w:rFonts w:eastAsia="Arial Unicode MS"/>
              </w:rPr>
              <w:t>indirect costs incurred within a responsibility segment and</w:t>
            </w:r>
          </w:p>
          <w:p w14:paraId="1351B7FD" w14:textId="77777777" w:rsidR="009B794E" w:rsidRPr="005B5418" w:rsidRDefault="007105C6" w:rsidP="009B48C2">
            <w:pPr>
              <w:pStyle w:val="FAM-Table-outline2"/>
              <w:spacing w:line="240" w:lineRule="auto"/>
              <w:ind w:left="1140" w:hanging="443"/>
              <w:rPr>
                <w:rFonts w:eastAsia="Arial Unicode MS"/>
              </w:rPr>
            </w:pPr>
            <w:r w:rsidRPr="005B5418">
              <w:rPr>
                <w:rFonts w:eastAsia="Arial Unicode MS"/>
              </w:rPr>
              <w:t>the costs of support services that a responsibility segment receives from other segments or entities? (SFFAS 4, par</w:t>
            </w:r>
            <w:r w:rsidR="00A10B71" w:rsidRPr="005B5418">
              <w:rPr>
                <w:rFonts w:eastAsia="Arial Unicode MS"/>
              </w:rPr>
              <w:t>as</w:t>
            </w:r>
            <w:r w:rsidRPr="005B5418">
              <w:rPr>
                <w:rFonts w:eastAsia="Arial Unicode MS"/>
              </w:rPr>
              <w:t>. 91, 122, and 123)</w:t>
            </w:r>
          </w:p>
          <w:p w14:paraId="671BC458" w14:textId="64B3A7FF" w:rsidR="00BF16CD" w:rsidRPr="005B5418" w:rsidRDefault="00BF16CD" w:rsidP="008848DA">
            <w:pPr>
              <w:pStyle w:val="FAM-Table-outline2"/>
              <w:numPr>
                <w:ilvl w:val="0"/>
                <w:numId w:val="0"/>
              </w:numPr>
              <w:spacing w:line="240" w:lineRule="auto"/>
              <w:rPr>
                <w:rFonts w:eastAsia="Arial Unicode MS"/>
              </w:rPr>
            </w:pPr>
          </w:p>
        </w:tc>
        <w:tc>
          <w:tcPr>
            <w:tcW w:w="965" w:type="dxa"/>
          </w:tcPr>
          <w:p w14:paraId="2F485E41" w14:textId="77777777" w:rsidR="007105C6" w:rsidRPr="005B5418" w:rsidRDefault="007105C6" w:rsidP="008848DA">
            <w:pPr>
              <w:pStyle w:val="Table-Cell-CenterBoldBefore6ptAfter6pt"/>
              <w:spacing w:before="60" w:after="60"/>
              <w:rPr>
                <w:rFonts w:cs="Arial"/>
              </w:rPr>
            </w:pPr>
          </w:p>
        </w:tc>
        <w:tc>
          <w:tcPr>
            <w:tcW w:w="3211" w:type="dxa"/>
          </w:tcPr>
          <w:p w14:paraId="0654A7E0" w14:textId="77777777" w:rsidR="007105C6" w:rsidRPr="005B5418" w:rsidRDefault="007105C6" w:rsidP="008848DA">
            <w:pPr>
              <w:spacing w:before="60" w:after="60" w:line="240" w:lineRule="auto"/>
              <w:rPr>
                <w:rFonts w:cs="Arial"/>
              </w:rPr>
            </w:pPr>
          </w:p>
        </w:tc>
      </w:tr>
      <w:tr w:rsidR="007105C6" w:rsidRPr="005B5418" w14:paraId="29068E1A" w14:textId="77777777" w:rsidTr="008848DA">
        <w:trPr>
          <w:trHeight w:val="467"/>
        </w:trPr>
        <w:tc>
          <w:tcPr>
            <w:tcW w:w="5400" w:type="dxa"/>
          </w:tcPr>
          <w:p w14:paraId="6C90D070" w14:textId="501B5767" w:rsidR="007105C6" w:rsidRPr="005B5418" w:rsidRDefault="007105C6" w:rsidP="008848DA">
            <w:pPr>
              <w:pStyle w:val="FAM-Table-outline"/>
              <w:spacing w:line="240" w:lineRule="auto"/>
            </w:pPr>
            <w:r w:rsidRPr="005B5418">
              <w:rPr>
                <w:rFonts w:eastAsia="Arial Unicode MS"/>
              </w:rPr>
              <w:t>Are the costs of employee benefits</w:t>
            </w:r>
            <w:r w:rsidR="001863D0" w:rsidRPr="005B5418">
              <w:t xml:space="preserve"> </w:t>
            </w:r>
            <w:r w:rsidR="001863D0" w:rsidRPr="005B5418">
              <w:rPr>
                <w:rFonts w:eastAsia="Arial Unicode MS"/>
              </w:rPr>
              <w:t>included as part of the cost of outputs?</w:t>
            </w:r>
            <w:r w:rsidRPr="005B5418">
              <w:rPr>
                <w:rStyle w:val="FootnoteReference"/>
                <w:rFonts w:eastAsia="Arial Unicode MS" w:cs="Arial"/>
                <w:szCs w:val="22"/>
              </w:rPr>
              <w:footnoteReference w:id="51"/>
            </w:r>
            <w:r w:rsidRPr="005B5418">
              <w:rPr>
                <w:rFonts w:eastAsia="Arial Unicode MS"/>
              </w:rPr>
              <w:t xml:space="preserve"> (SFFAS 4, par</w:t>
            </w:r>
            <w:r w:rsidR="001863D0" w:rsidRPr="005B5418">
              <w:rPr>
                <w:rFonts w:eastAsia="Arial Unicode MS"/>
              </w:rPr>
              <w:t>as</w:t>
            </w:r>
            <w:r w:rsidRPr="005B5418">
              <w:rPr>
                <w:rFonts w:eastAsia="Arial Unicode MS"/>
              </w:rPr>
              <w:t>. 93</w:t>
            </w:r>
            <w:r w:rsidR="001863D0" w:rsidRPr="005B5418">
              <w:rPr>
                <w:rFonts w:eastAsia="Arial Unicode MS"/>
              </w:rPr>
              <w:t>–</w:t>
            </w:r>
            <w:r w:rsidRPr="005B5418">
              <w:rPr>
                <w:rFonts w:eastAsia="Arial Unicode MS"/>
              </w:rPr>
              <w:t>97)</w:t>
            </w:r>
          </w:p>
        </w:tc>
        <w:tc>
          <w:tcPr>
            <w:tcW w:w="965" w:type="dxa"/>
          </w:tcPr>
          <w:p w14:paraId="0A99548C" w14:textId="77777777" w:rsidR="007105C6" w:rsidRPr="005B5418" w:rsidRDefault="007105C6" w:rsidP="008848DA">
            <w:pPr>
              <w:pStyle w:val="Table-Cell-CenterBoldBefore6ptAfter6pt"/>
              <w:spacing w:before="60" w:after="60"/>
              <w:rPr>
                <w:rFonts w:cs="Arial"/>
              </w:rPr>
            </w:pPr>
          </w:p>
        </w:tc>
        <w:tc>
          <w:tcPr>
            <w:tcW w:w="3211" w:type="dxa"/>
          </w:tcPr>
          <w:p w14:paraId="374D3C14" w14:textId="77777777" w:rsidR="007105C6" w:rsidRPr="005B5418" w:rsidRDefault="007105C6" w:rsidP="008848DA">
            <w:pPr>
              <w:spacing w:before="60" w:after="60" w:line="240" w:lineRule="auto"/>
              <w:rPr>
                <w:rFonts w:cs="Arial"/>
              </w:rPr>
            </w:pPr>
          </w:p>
        </w:tc>
      </w:tr>
      <w:tr w:rsidR="007105C6" w:rsidRPr="005B5418" w14:paraId="11327047" w14:textId="77777777" w:rsidTr="00F26968">
        <w:trPr>
          <w:trHeight w:val="1340"/>
        </w:trPr>
        <w:tc>
          <w:tcPr>
            <w:tcW w:w="5400" w:type="dxa"/>
          </w:tcPr>
          <w:p w14:paraId="7B86562E" w14:textId="381CF794" w:rsidR="007105C6" w:rsidRPr="005B5418" w:rsidRDefault="007105C6" w:rsidP="008848DA">
            <w:pPr>
              <w:pStyle w:val="FAM-Table-outline"/>
              <w:spacing w:line="240" w:lineRule="auto"/>
            </w:pPr>
            <w:r w:rsidRPr="005B5418">
              <w:rPr>
                <w:rFonts w:eastAsia="Arial Unicode MS"/>
              </w:rPr>
              <w:t>Are the full costs of transfer payments for welfare, insurance, grants, and other public assistance programs separately identified from the costs of operating such programs? (SFFAS 4, par</w:t>
            </w:r>
            <w:r w:rsidR="00582044" w:rsidRPr="005B5418">
              <w:rPr>
                <w:rFonts w:eastAsia="Arial Unicode MS"/>
              </w:rPr>
              <w:t>as</w:t>
            </w:r>
            <w:r w:rsidRPr="005B5418">
              <w:rPr>
                <w:rFonts w:eastAsia="Arial Unicode MS"/>
              </w:rPr>
              <w:t>. 98</w:t>
            </w:r>
            <w:r w:rsidR="00582044" w:rsidRPr="005B5418">
              <w:rPr>
                <w:rFonts w:eastAsia="Arial Unicode MS"/>
              </w:rPr>
              <w:t>–</w:t>
            </w:r>
            <w:r w:rsidRPr="005B5418">
              <w:rPr>
                <w:rFonts w:eastAsia="Arial Unicode MS"/>
              </w:rPr>
              <w:t>101)</w:t>
            </w:r>
          </w:p>
        </w:tc>
        <w:tc>
          <w:tcPr>
            <w:tcW w:w="965" w:type="dxa"/>
          </w:tcPr>
          <w:p w14:paraId="6BA521A3" w14:textId="77777777" w:rsidR="007105C6" w:rsidRPr="005B5418" w:rsidRDefault="007105C6" w:rsidP="008848DA">
            <w:pPr>
              <w:pStyle w:val="Table-Cell-CenterBoldBefore6ptAfter6pt"/>
              <w:spacing w:before="60" w:after="60"/>
              <w:rPr>
                <w:rFonts w:cs="Arial"/>
              </w:rPr>
            </w:pPr>
          </w:p>
        </w:tc>
        <w:tc>
          <w:tcPr>
            <w:tcW w:w="3211" w:type="dxa"/>
          </w:tcPr>
          <w:p w14:paraId="39085F07" w14:textId="77777777" w:rsidR="007105C6" w:rsidRPr="005B5418" w:rsidRDefault="007105C6" w:rsidP="008848DA">
            <w:pPr>
              <w:spacing w:before="60" w:after="60" w:line="240" w:lineRule="auto"/>
              <w:rPr>
                <w:rFonts w:cs="Arial"/>
              </w:rPr>
            </w:pPr>
          </w:p>
        </w:tc>
      </w:tr>
      <w:tr w:rsidR="007105C6" w:rsidRPr="005B5418" w14:paraId="61F02BA7" w14:textId="77777777" w:rsidTr="005B57ED">
        <w:trPr>
          <w:trHeight w:val="494"/>
        </w:trPr>
        <w:tc>
          <w:tcPr>
            <w:tcW w:w="5400" w:type="dxa"/>
          </w:tcPr>
          <w:p w14:paraId="570A1A60" w14:textId="366789CF" w:rsidR="007105C6" w:rsidRPr="005B5418" w:rsidRDefault="007105C6" w:rsidP="008848DA">
            <w:pPr>
              <w:pStyle w:val="FAM-Table-outline"/>
              <w:spacing w:line="240" w:lineRule="auto"/>
            </w:pPr>
            <w:r w:rsidRPr="005B5418">
              <w:rPr>
                <w:rFonts w:eastAsia="Arial Unicode MS"/>
              </w:rPr>
              <w:t xml:space="preserve">Is depreciation expense incurred by responsibility segments on </w:t>
            </w:r>
            <w:r w:rsidR="000A0C1F" w:rsidRPr="005B5418">
              <w:rPr>
                <w:rFonts w:eastAsia="Arial Unicode MS"/>
              </w:rPr>
              <w:t>PP&amp;E</w:t>
            </w:r>
            <w:r w:rsidRPr="005B5418">
              <w:rPr>
                <w:rFonts w:eastAsia="Arial Unicode MS"/>
              </w:rPr>
              <w:t xml:space="preserve"> included in the full cost of goods and services that the segments produce? (SFFAS 4, par</w:t>
            </w:r>
            <w:r w:rsidR="00582044" w:rsidRPr="005B5418">
              <w:rPr>
                <w:rFonts w:eastAsia="Arial Unicode MS"/>
              </w:rPr>
              <w:t>a</w:t>
            </w:r>
            <w:r w:rsidRPr="005B5418">
              <w:rPr>
                <w:rFonts w:eastAsia="Arial Unicode MS"/>
              </w:rPr>
              <w:t>. 102)</w:t>
            </w:r>
          </w:p>
        </w:tc>
        <w:tc>
          <w:tcPr>
            <w:tcW w:w="965" w:type="dxa"/>
          </w:tcPr>
          <w:p w14:paraId="39A2B2C3" w14:textId="77777777" w:rsidR="007105C6" w:rsidRPr="005B5418" w:rsidRDefault="007105C6" w:rsidP="008848DA">
            <w:pPr>
              <w:pStyle w:val="Table-Cell-CenterBoldBefore6ptAfter6pt"/>
              <w:spacing w:before="60" w:after="60"/>
              <w:rPr>
                <w:rFonts w:cs="Arial"/>
              </w:rPr>
            </w:pPr>
          </w:p>
        </w:tc>
        <w:tc>
          <w:tcPr>
            <w:tcW w:w="3211" w:type="dxa"/>
          </w:tcPr>
          <w:p w14:paraId="31B0AD2B" w14:textId="77777777" w:rsidR="007105C6" w:rsidRPr="005B5418" w:rsidRDefault="007105C6" w:rsidP="008848DA">
            <w:pPr>
              <w:spacing w:before="60" w:after="60" w:line="240" w:lineRule="auto"/>
              <w:rPr>
                <w:rFonts w:cs="Arial"/>
              </w:rPr>
            </w:pPr>
          </w:p>
        </w:tc>
      </w:tr>
      <w:tr w:rsidR="007105C6" w:rsidRPr="005B5418" w14:paraId="0A1E5076" w14:textId="77777777" w:rsidTr="00F26968">
        <w:trPr>
          <w:trHeight w:val="1340"/>
        </w:trPr>
        <w:tc>
          <w:tcPr>
            <w:tcW w:w="5400" w:type="dxa"/>
          </w:tcPr>
          <w:p w14:paraId="55C7881F" w14:textId="6E42206B" w:rsidR="007105C6" w:rsidRPr="005B5418" w:rsidRDefault="007105C6" w:rsidP="008848DA">
            <w:pPr>
              <w:pStyle w:val="FAM-Table-outline"/>
              <w:spacing w:line="240" w:lineRule="auto"/>
            </w:pPr>
            <w:r w:rsidRPr="005B5418">
              <w:rPr>
                <w:rFonts w:eastAsia="Arial Unicode MS"/>
              </w:rPr>
              <w:lastRenderedPageBreak/>
              <w:t>Are the costs of acquiring or constructing heritage assets excluded from the full cost of goods and services and treated as a program cost</w:t>
            </w:r>
            <w:r w:rsidR="0041068B" w:rsidRPr="005B5418">
              <w:t xml:space="preserve"> </w:t>
            </w:r>
            <w:r w:rsidR="0041068B" w:rsidRPr="005B5418">
              <w:rPr>
                <w:rFonts w:eastAsia="Arial Unicode MS"/>
              </w:rPr>
              <w:t>or period expense?</w:t>
            </w:r>
            <w:r w:rsidRPr="005B5418">
              <w:rPr>
                <w:rStyle w:val="FootnoteReference"/>
                <w:rFonts w:eastAsia="Arial Unicode MS"/>
              </w:rPr>
              <w:footnoteReference w:id="52"/>
            </w:r>
            <w:r w:rsidRPr="005B5418">
              <w:rPr>
                <w:rFonts w:eastAsia="Arial Unicode MS"/>
              </w:rPr>
              <w:t xml:space="preserve"> (SFFAS 4, par</w:t>
            </w:r>
            <w:r w:rsidR="00582044" w:rsidRPr="005B5418">
              <w:rPr>
                <w:rFonts w:eastAsia="Arial Unicode MS"/>
              </w:rPr>
              <w:t>a</w:t>
            </w:r>
            <w:r w:rsidRPr="005B5418">
              <w:rPr>
                <w:rFonts w:eastAsia="Arial Unicode MS"/>
              </w:rPr>
              <w:t>. 103)</w:t>
            </w:r>
          </w:p>
        </w:tc>
        <w:tc>
          <w:tcPr>
            <w:tcW w:w="965" w:type="dxa"/>
          </w:tcPr>
          <w:p w14:paraId="62BE0106" w14:textId="77777777" w:rsidR="007105C6" w:rsidRPr="005B5418" w:rsidRDefault="007105C6" w:rsidP="008848DA">
            <w:pPr>
              <w:pStyle w:val="Table-Cell-CenterBoldBefore6ptAfter6pt"/>
              <w:spacing w:before="60" w:after="60"/>
              <w:rPr>
                <w:rFonts w:cs="Arial"/>
              </w:rPr>
            </w:pPr>
          </w:p>
        </w:tc>
        <w:tc>
          <w:tcPr>
            <w:tcW w:w="3211" w:type="dxa"/>
          </w:tcPr>
          <w:p w14:paraId="2E3A355F" w14:textId="77777777" w:rsidR="007105C6" w:rsidRPr="005B5418" w:rsidRDefault="007105C6" w:rsidP="008848DA">
            <w:pPr>
              <w:spacing w:before="60" w:after="60" w:line="240" w:lineRule="auto"/>
              <w:rPr>
                <w:rFonts w:cs="Arial"/>
              </w:rPr>
            </w:pPr>
          </w:p>
        </w:tc>
      </w:tr>
      <w:tr w:rsidR="007105C6" w:rsidRPr="005B5418" w14:paraId="3EB16F3A" w14:textId="77777777" w:rsidTr="00F26968">
        <w:trPr>
          <w:trHeight w:val="1340"/>
        </w:trPr>
        <w:tc>
          <w:tcPr>
            <w:tcW w:w="5400" w:type="dxa"/>
          </w:tcPr>
          <w:p w14:paraId="48017544" w14:textId="14EB9A47" w:rsidR="007105C6" w:rsidRPr="005B5418" w:rsidRDefault="007105C6" w:rsidP="008848DA">
            <w:pPr>
              <w:pStyle w:val="FAM-Table-outline"/>
              <w:spacing w:line="240" w:lineRule="auto"/>
            </w:pPr>
            <w:r w:rsidRPr="005B5418">
              <w:rPr>
                <w:rFonts w:eastAsia="Arial Unicode MS"/>
              </w:rPr>
              <w:t>Are nonproduction costs incurred by responsibility segments, such as reorganization costs and nonrecurring cleanup costs resulting from facility abandonment, excluded from the full cost of outputs and treated as current-period expenses? (SFFAS 4, par</w:t>
            </w:r>
            <w:r w:rsidR="00582044" w:rsidRPr="005B5418">
              <w:rPr>
                <w:rFonts w:eastAsia="Arial Unicode MS"/>
              </w:rPr>
              <w:t>a</w:t>
            </w:r>
            <w:r w:rsidRPr="005B5418">
              <w:rPr>
                <w:rFonts w:eastAsia="Arial Unicode MS"/>
              </w:rPr>
              <w:t>. 104)</w:t>
            </w:r>
          </w:p>
        </w:tc>
        <w:tc>
          <w:tcPr>
            <w:tcW w:w="965" w:type="dxa"/>
          </w:tcPr>
          <w:p w14:paraId="7AFC8698" w14:textId="77777777" w:rsidR="007105C6" w:rsidRPr="005B5418" w:rsidRDefault="007105C6" w:rsidP="008848DA">
            <w:pPr>
              <w:pStyle w:val="Table-Cell-CenterBoldBefore6ptAfter6pt"/>
              <w:spacing w:before="60" w:after="60"/>
              <w:rPr>
                <w:rFonts w:cs="Arial"/>
              </w:rPr>
            </w:pPr>
          </w:p>
        </w:tc>
        <w:tc>
          <w:tcPr>
            <w:tcW w:w="3211" w:type="dxa"/>
          </w:tcPr>
          <w:p w14:paraId="44C46DB4" w14:textId="77777777" w:rsidR="007105C6" w:rsidRPr="005B5418" w:rsidRDefault="007105C6" w:rsidP="008848DA">
            <w:pPr>
              <w:spacing w:before="60" w:after="60" w:line="240" w:lineRule="auto"/>
              <w:rPr>
                <w:rFonts w:cs="Arial"/>
              </w:rPr>
            </w:pPr>
          </w:p>
        </w:tc>
      </w:tr>
      <w:tr w:rsidR="007105C6" w:rsidRPr="005B5418" w14:paraId="67BB0EA0" w14:textId="77777777" w:rsidTr="00F26968">
        <w:trPr>
          <w:trHeight w:val="1340"/>
        </w:trPr>
        <w:tc>
          <w:tcPr>
            <w:tcW w:w="9576" w:type="dxa"/>
            <w:gridSpan w:val="3"/>
          </w:tcPr>
          <w:p w14:paraId="3804DFEF" w14:textId="77777777" w:rsidR="007105C6" w:rsidRPr="005B5418" w:rsidRDefault="007105C6" w:rsidP="008848DA">
            <w:pPr>
              <w:pStyle w:val="Table-Cell-Left"/>
              <w:spacing w:before="60" w:after="60" w:line="240" w:lineRule="auto"/>
              <w:rPr>
                <w:rFonts w:eastAsia="Arial Unicode MS" w:cs="Arial"/>
                <w:b/>
                <w:sz w:val="22"/>
                <w:szCs w:val="22"/>
              </w:rPr>
            </w:pPr>
            <w:r w:rsidRPr="005B5418">
              <w:rPr>
                <w:rFonts w:eastAsia="Arial Unicode MS" w:cs="Arial"/>
                <w:b/>
                <w:sz w:val="22"/>
                <w:szCs w:val="22"/>
              </w:rPr>
              <w:t>Inter-entity Costs</w:t>
            </w:r>
          </w:p>
          <w:p w14:paraId="2E0FA1D3" w14:textId="00F347AD" w:rsidR="007105C6" w:rsidRPr="005B5418" w:rsidRDefault="007105C6" w:rsidP="008848DA">
            <w:pPr>
              <w:pStyle w:val="Table-Cell-Left"/>
              <w:spacing w:before="60" w:after="60" w:line="240" w:lineRule="auto"/>
              <w:jc w:val="left"/>
              <w:rPr>
                <w:rFonts w:eastAsia="Arial Unicode MS" w:cs="Arial"/>
                <w:sz w:val="22"/>
                <w:szCs w:val="22"/>
              </w:rPr>
            </w:pPr>
            <w:r w:rsidRPr="005B5418">
              <w:rPr>
                <w:rFonts w:eastAsia="Arial Unicode MS" w:cs="Arial"/>
                <w:sz w:val="22"/>
                <w:szCs w:val="22"/>
              </w:rPr>
              <w:t xml:space="preserve">Within the federal government, some reporting entities rely on other federal entities to help them achieve their missions. Often, this involves support services but may include </w:t>
            </w:r>
            <w:r w:rsidR="00525DBA" w:rsidRPr="005B5418">
              <w:rPr>
                <w:rFonts w:eastAsia="Arial Unicode MS" w:cs="Arial"/>
                <w:sz w:val="22"/>
                <w:szCs w:val="22"/>
              </w:rPr>
              <w:t>providing</w:t>
            </w:r>
            <w:r w:rsidRPr="005B5418">
              <w:rPr>
                <w:rFonts w:eastAsia="Arial Unicode MS" w:cs="Arial"/>
                <w:sz w:val="22"/>
                <w:szCs w:val="22"/>
              </w:rPr>
              <w:t xml:space="preserve"> goods. </w:t>
            </w:r>
            <w:r w:rsidRPr="005B5418">
              <w:rPr>
                <w:rFonts w:eastAsiaTheme="minorHAnsi" w:cs="Arial"/>
                <w:color w:val="auto"/>
                <w:sz w:val="22"/>
                <w:szCs w:val="22"/>
              </w:rPr>
              <w:t>SFFAS 55 (</w:t>
            </w:r>
            <w:r w:rsidR="00525DBA" w:rsidRPr="005B5418">
              <w:rPr>
                <w:rFonts w:eastAsiaTheme="minorHAnsi" w:cs="Arial"/>
                <w:color w:val="auto"/>
                <w:sz w:val="22"/>
                <w:szCs w:val="22"/>
              </w:rPr>
              <w:t xml:space="preserve">which </w:t>
            </w:r>
            <w:r w:rsidRPr="005B5418">
              <w:rPr>
                <w:rFonts w:eastAsiaTheme="minorHAnsi" w:cs="Arial"/>
                <w:color w:val="auto"/>
                <w:sz w:val="22"/>
                <w:szCs w:val="22"/>
              </w:rPr>
              <w:t xml:space="preserve">amended SFFAS 4 and rescinded SFFAS 30 and Interpretation 6) requires reporting entities to recognize inter-entity cost relating to business-type activities. </w:t>
            </w:r>
            <w:r w:rsidR="00022AF5" w:rsidRPr="005B5418">
              <w:rPr>
                <w:rFonts w:eastAsiaTheme="minorHAnsi" w:cs="Arial"/>
                <w:color w:val="auto"/>
                <w:sz w:val="22"/>
                <w:szCs w:val="22"/>
              </w:rPr>
              <w:t>Non</w:t>
            </w:r>
            <w:r w:rsidR="00E316EB" w:rsidRPr="005B5418">
              <w:rPr>
                <w:rFonts w:eastAsiaTheme="minorHAnsi" w:cs="Arial"/>
                <w:color w:val="auto"/>
                <w:sz w:val="22"/>
                <w:szCs w:val="22"/>
              </w:rPr>
              <w:t>-</w:t>
            </w:r>
            <w:r w:rsidR="00022AF5" w:rsidRPr="005B5418">
              <w:rPr>
                <w:rFonts w:eastAsiaTheme="minorHAnsi" w:cs="Arial"/>
                <w:color w:val="auto"/>
                <w:sz w:val="22"/>
                <w:szCs w:val="22"/>
              </w:rPr>
              <w:t>business-type activities are not required to recognize</w:t>
            </w:r>
            <w:r w:rsidRPr="005B5418">
              <w:rPr>
                <w:rFonts w:eastAsiaTheme="minorHAnsi" w:cs="Arial"/>
                <w:color w:val="auto"/>
                <w:sz w:val="22"/>
                <w:szCs w:val="22"/>
              </w:rPr>
              <w:t xml:space="preserve"> inter-entity costs</w:t>
            </w:r>
            <w:r w:rsidR="00F55536" w:rsidRPr="005B5418">
              <w:rPr>
                <w:rFonts w:eastAsiaTheme="minorHAnsi" w:cs="Arial"/>
                <w:color w:val="auto"/>
                <w:sz w:val="22"/>
                <w:szCs w:val="22"/>
              </w:rPr>
              <w:t xml:space="preserve"> </w:t>
            </w:r>
            <w:r w:rsidR="006A3658" w:rsidRPr="005B5418">
              <w:rPr>
                <w:rFonts w:eastAsiaTheme="minorHAnsi" w:cs="Arial"/>
                <w:color w:val="auto"/>
                <w:sz w:val="22"/>
                <w:szCs w:val="22"/>
              </w:rPr>
              <w:t xml:space="preserve">to the extent that they are not fully reimbursed [imputed costs] </w:t>
            </w:r>
            <w:r w:rsidRPr="005B5418">
              <w:rPr>
                <w:rFonts w:eastAsiaTheme="minorHAnsi" w:cs="Arial"/>
                <w:color w:val="auto"/>
                <w:sz w:val="22"/>
                <w:szCs w:val="22"/>
              </w:rPr>
              <w:t xml:space="preserve">with the exception of </w:t>
            </w:r>
            <w:r w:rsidR="007C2081" w:rsidRPr="005B5418">
              <w:rPr>
                <w:rFonts w:eastAsiaTheme="minorHAnsi" w:cs="Arial"/>
                <w:color w:val="auto"/>
                <w:sz w:val="22"/>
                <w:szCs w:val="22"/>
              </w:rPr>
              <w:t xml:space="preserve">(1) </w:t>
            </w:r>
            <w:r w:rsidRPr="005B5418">
              <w:rPr>
                <w:rFonts w:eastAsiaTheme="minorHAnsi" w:cs="Arial"/>
                <w:color w:val="auto"/>
                <w:sz w:val="22"/>
                <w:szCs w:val="22"/>
              </w:rPr>
              <w:t>inter-entity costs for personnel benefits and the Treasury Judgment Fund settlements</w:t>
            </w:r>
            <w:r w:rsidR="00022AF5" w:rsidRPr="005B5418">
              <w:rPr>
                <w:rFonts w:eastAsiaTheme="minorHAnsi" w:cs="Arial"/>
                <w:color w:val="auto"/>
                <w:sz w:val="22"/>
                <w:szCs w:val="22"/>
              </w:rPr>
              <w:t>,</w:t>
            </w:r>
            <w:r w:rsidRPr="005B5418">
              <w:rPr>
                <w:rFonts w:eastAsiaTheme="minorHAnsi" w:cs="Arial"/>
                <w:color w:val="auto"/>
                <w:sz w:val="22"/>
                <w:szCs w:val="22"/>
              </w:rPr>
              <w:t xml:space="preserve"> </w:t>
            </w:r>
            <w:r w:rsidR="007C2081" w:rsidRPr="005B5418">
              <w:rPr>
                <w:rFonts w:eastAsiaTheme="minorHAnsi" w:cs="Arial"/>
                <w:color w:val="auto"/>
                <w:sz w:val="22"/>
                <w:szCs w:val="22"/>
              </w:rPr>
              <w:t xml:space="preserve">and (2) any other inter-entity costs that might </w:t>
            </w:r>
            <w:r w:rsidRPr="005B5418">
              <w:rPr>
                <w:rFonts w:eastAsiaTheme="minorHAnsi" w:cs="Arial"/>
                <w:color w:val="auto"/>
                <w:sz w:val="22"/>
                <w:szCs w:val="22"/>
              </w:rPr>
              <w:t xml:space="preserve">otherwise </w:t>
            </w:r>
            <w:r w:rsidR="007C2081" w:rsidRPr="005B5418">
              <w:rPr>
                <w:rFonts w:eastAsiaTheme="minorHAnsi" w:cs="Arial"/>
                <w:color w:val="auto"/>
                <w:sz w:val="22"/>
                <w:szCs w:val="22"/>
              </w:rPr>
              <w:t xml:space="preserve">be required </w:t>
            </w:r>
            <w:r w:rsidRPr="005B5418">
              <w:rPr>
                <w:rFonts w:eastAsiaTheme="minorHAnsi" w:cs="Arial"/>
                <w:color w:val="auto"/>
                <w:sz w:val="22"/>
                <w:szCs w:val="22"/>
              </w:rPr>
              <w:t xml:space="preserve">by </w:t>
            </w:r>
            <w:r w:rsidR="0074776C" w:rsidRPr="005B5418">
              <w:rPr>
                <w:rFonts w:eastAsiaTheme="minorHAnsi" w:cs="Arial"/>
                <w:color w:val="auto"/>
                <w:sz w:val="22"/>
                <w:szCs w:val="22"/>
              </w:rPr>
              <w:t>OMB</w:t>
            </w:r>
            <w:r w:rsidRPr="005B5418">
              <w:rPr>
                <w:rFonts w:eastAsiaTheme="minorHAnsi" w:cs="Arial"/>
                <w:color w:val="auto"/>
                <w:sz w:val="22"/>
                <w:szCs w:val="22"/>
              </w:rPr>
              <w:t xml:space="preserve">. </w:t>
            </w:r>
            <w:r w:rsidR="00643269" w:rsidRPr="005B5418">
              <w:rPr>
                <w:rFonts w:eastAsiaTheme="minorHAnsi" w:cs="Arial"/>
                <w:color w:val="auto"/>
                <w:sz w:val="22"/>
                <w:szCs w:val="22"/>
              </w:rPr>
              <w:t>Although not required</w:t>
            </w:r>
            <w:r w:rsidR="00022AF5" w:rsidRPr="005B5418">
              <w:rPr>
                <w:rFonts w:eastAsiaTheme="minorHAnsi" w:cs="Arial"/>
                <w:color w:val="auto"/>
                <w:sz w:val="22"/>
                <w:szCs w:val="22"/>
              </w:rPr>
              <w:t xml:space="preserve"> to do so</w:t>
            </w:r>
            <w:r w:rsidRPr="005B5418">
              <w:rPr>
                <w:rFonts w:eastAsiaTheme="minorHAnsi" w:cs="Arial"/>
                <w:color w:val="auto"/>
                <w:sz w:val="22"/>
                <w:szCs w:val="22"/>
              </w:rPr>
              <w:t>, reporting entities may elect to recognize imputed cost and corresponding imputed financing for other types of inter-entity costs.</w:t>
            </w:r>
            <w:r w:rsidRPr="005B5418">
              <w:rPr>
                <w:rStyle w:val="FootnoteReference"/>
                <w:rFonts w:eastAsia="Arial Unicode MS" w:cs="Arial"/>
                <w:sz w:val="22"/>
                <w:szCs w:val="22"/>
              </w:rPr>
              <w:t xml:space="preserve"> </w:t>
            </w:r>
          </w:p>
          <w:p w14:paraId="28BFF8DD" w14:textId="4C992007" w:rsidR="007105C6" w:rsidRPr="005B5418" w:rsidRDefault="007105C6" w:rsidP="006D1321">
            <w:pPr>
              <w:spacing w:before="60" w:after="60" w:line="240" w:lineRule="auto"/>
              <w:rPr>
                <w:rFonts w:cs="Arial"/>
              </w:rPr>
            </w:pPr>
            <w:r w:rsidRPr="005B5418">
              <w:rPr>
                <w:rFonts w:ascii="Arial" w:eastAsia="Arial Unicode MS" w:hAnsi="Arial" w:cs="Arial"/>
              </w:rPr>
              <w:t>Business-type activity is defined as a significantly self-sustaining activity which finances its continuing cycle of operations through collection of exchange revenue. (SFFAS 4, par</w:t>
            </w:r>
            <w:r w:rsidR="00FD7943" w:rsidRPr="005B5418">
              <w:rPr>
                <w:rFonts w:ascii="Arial" w:eastAsia="Arial Unicode MS" w:hAnsi="Arial" w:cs="Arial"/>
              </w:rPr>
              <w:t>a</w:t>
            </w:r>
            <w:r w:rsidRPr="005B5418">
              <w:rPr>
                <w:rFonts w:ascii="Arial" w:eastAsia="Arial Unicode MS" w:hAnsi="Arial" w:cs="Arial"/>
              </w:rPr>
              <w:t>. 111)</w:t>
            </w:r>
          </w:p>
        </w:tc>
      </w:tr>
      <w:tr w:rsidR="007105C6" w:rsidRPr="005B5418" w14:paraId="63A52DA1" w14:textId="77777777" w:rsidTr="00F26968">
        <w:trPr>
          <w:trHeight w:val="1340"/>
        </w:trPr>
        <w:tc>
          <w:tcPr>
            <w:tcW w:w="5400" w:type="dxa"/>
          </w:tcPr>
          <w:p w14:paraId="0E2CEFE3" w14:textId="54017110" w:rsidR="007105C6" w:rsidRPr="005B5418" w:rsidRDefault="007105C6" w:rsidP="008848DA">
            <w:pPr>
              <w:pStyle w:val="FAM-Table-outline"/>
              <w:spacing w:line="240" w:lineRule="auto"/>
              <w:rPr>
                <w:rFonts w:eastAsia="Arial Unicode MS"/>
              </w:rPr>
            </w:pPr>
            <w:r w:rsidRPr="005B5418">
              <w:rPr>
                <w:rFonts w:eastAsia="Arial Unicode MS"/>
              </w:rPr>
              <w:t>Concerning business-type activities:</w:t>
            </w:r>
          </w:p>
          <w:p w14:paraId="6CFB902F" w14:textId="296E7BBE" w:rsidR="007105C6" w:rsidRPr="005B5418" w:rsidRDefault="007105C6" w:rsidP="009B48C2">
            <w:pPr>
              <w:pStyle w:val="FAM-Table-outline2"/>
              <w:spacing w:line="240" w:lineRule="auto"/>
              <w:ind w:left="1140" w:hanging="443"/>
              <w:rPr>
                <w:rFonts w:eastAsia="Arial Unicode MS"/>
              </w:rPr>
            </w:pPr>
            <w:r w:rsidRPr="005B5418">
              <w:rPr>
                <w:rFonts w:eastAsia="Arial Unicode MS"/>
              </w:rPr>
              <w:t xml:space="preserve">Does the entity recognize all material inter-entity costs </w:t>
            </w:r>
            <w:r w:rsidR="008308E1" w:rsidRPr="005B5418">
              <w:rPr>
                <w:rFonts w:eastAsia="Arial Unicode MS"/>
              </w:rPr>
              <w:t>regardless of whether</w:t>
            </w:r>
            <w:r w:rsidRPr="005B5418">
              <w:rPr>
                <w:rFonts w:eastAsia="Arial Unicode MS"/>
              </w:rPr>
              <w:t xml:space="preserve"> the entity reimburses the providing entity? </w:t>
            </w:r>
            <w:r w:rsidRPr="005B5418">
              <w:rPr>
                <w:rFonts w:eastAsia="Arial Unicode MS"/>
                <w:lang w:val="pt-BR"/>
              </w:rPr>
              <w:t>(SFFAS 4, par</w:t>
            </w:r>
            <w:r w:rsidR="00D673C0" w:rsidRPr="005B5418">
              <w:rPr>
                <w:rFonts w:eastAsia="Arial Unicode MS"/>
                <w:lang w:val="pt-BR"/>
              </w:rPr>
              <w:t>as.</w:t>
            </w:r>
            <w:r w:rsidRPr="005B5418">
              <w:rPr>
                <w:rFonts w:eastAsia="Arial Unicode MS"/>
                <w:lang w:val="pt-BR"/>
              </w:rPr>
              <w:t xml:space="preserve"> 111</w:t>
            </w:r>
            <w:r w:rsidR="00D673C0" w:rsidRPr="005B5418">
              <w:rPr>
                <w:rFonts w:eastAsia="Arial Unicode MS"/>
                <w:lang w:val="pt-BR"/>
              </w:rPr>
              <w:t>–</w:t>
            </w:r>
            <w:r w:rsidRPr="005B5418">
              <w:rPr>
                <w:rFonts w:eastAsia="Arial Unicode MS"/>
                <w:lang w:val="pt-BR"/>
              </w:rPr>
              <w:t>112)</w:t>
            </w:r>
          </w:p>
          <w:p w14:paraId="09D7482C" w14:textId="77777777" w:rsidR="007105C6" w:rsidRPr="005B5418" w:rsidRDefault="007105C6" w:rsidP="009B48C2">
            <w:pPr>
              <w:pStyle w:val="FAM-Table-outline2"/>
              <w:spacing w:line="240" w:lineRule="auto"/>
              <w:ind w:left="1140" w:hanging="443"/>
              <w:rPr>
                <w:rFonts w:eastAsia="Arial Unicode MS"/>
              </w:rPr>
            </w:pPr>
            <w:r w:rsidRPr="005B5418">
              <w:rPr>
                <w:rFonts w:eastAsia="Arial Unicode MS"/>
              </w:rPr>
              <w:t xml:space="preserve">Is recognition of inter-entity costs that are not fully reimbursed limited to material items based on an assessment of the importance of the individual inter-entity transaction in light of </w:t>
            </w:r>
          </w:p>
          <w:p w14:paraId="22F88572" w14:textId="77777777" w:rsidR="007105C6" w:rsidRPr="005B5418" w:rsidRDefault="007105C6"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significance to the entity,</w:t>
            </w:r>
          </w:p>
          <w:p w14:paraId="33242880" w14:textId="77777777" w:rsidR="007105C6" w:rsidRPr="005B5418" w:rsidRDefault="007105C6"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directness of relationship to the entity’s operations, and</w:t>
            </w:r>
          </w:p>
          <w:p w14:paraId="0D329849" w14:textId="635D05F2" w:rsidR="007105C6" w:rsidRPr="005B5418" w:rsidRDefault="007105C6"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identifiability? (SFFAS 4, par</w:t>
            </w:r>
            <w:r w:rsidR="00D673C0" w:rsidRPr="005B5418">
              <w:rPr>
                <w:rFonts w:cs="Arial"/>
                <w:sz w:val="22"/>
                <w:szCs w:val="22"/>
              </w:rPr>
              <w:t>a</w:t>
            </w:r>
            <w:r w:rsidRPr="005B5418">
              <w:rPr>
                <w:rFonts w:cs="Arial"/>
                <w:sz w:val="22"/>
                <w:szCs w:val="22"/>
              </w:rPr>
              <w:t>. 112)</w:t>
            </w:r>
          </w:p>
          <w:p w14:paraId="6908DD91" w14:textId="5103EE92" w:rsidR="007105C6" w:rsidRPr="005B5418" w:rsidRDefault="007105C6" w:rsidP="009B48C2">
            <w:pPr>
              <w:pStyle w:val="FAM-Table-outline2"/>
              <w:spacing w:line="240" w:lineRule="auto"/>
              <w:ind w:left="1140" w:hanging="443"/>
            </w:pPr>
            <w:r w:rsidRPr="005B5418">
              <w:rPr>
                <w:rFonts w:eastAsia="Arial Unicode MS"/>
              </w:rPr>
              <w:t xml:space="preserve">Are the costs of broad, general support </w:t>
            </w:r>
            <w:r w:rsidRPr="005B5418">
              <w:rPr>
                <w:rFonts w:eastAsia="Arial Unicode MS"/>
              </w:rPr>
              <w:lastRenderedPageBreak/>
              <w:t xml:space="preserve">services provided by a federal entity to other federal entities </w:t>
            </w:r>
            <w:r w:rsidRPr="005B5418">
              <w:rPr>
                <w:rFonts w:eastAsia="Arial Unicode MS"/>
                <w:u w:val="single"/>
              </w:rPr>
              <w:t>excluded</w:t>
            </w:r>
            <w:r w:rsidRPr="005B5418">
              <w:rPr>
                <w:rFonts w:eastAsia="Arial Unicode MS"/>
              </w:rPr>
              <w:t xml:space="preserve"> from the costs of the recipient entity unless such services are integral to the receiving entity (e.g., Treasury check-writing services provided for the Social Security Administration)? (SFFAS 4, par</w:t>
            </w:r>
            <w:r w:rsidR="00D673C0" w:rsidRPr="005B5418">
              <w:rPr>
                <w:rFonts w:eastAsia="Arial Unicode MS"/>
              </w:rPr>
              <w:t>a</w:t>
            </w:r>
            <w:r w:rsidRPr="005B5418">
              <w:rPr>
                <w:rFonts w:eastAsia="Arial Unicode MS"/>
              </w:rPr>
              <w:t>. 112)</w:t>
            </w:r>
          </w:p>
          <w:p w14:paraId="1428F499" w14:textId="15BF8272" w:rsidR="007105C6" w:rsidRPr="005B5418" w:rsidRDefault="007105C6" w:rsidP="009B48C2">
            <w:pPr>
              <w:pStyle w:val="FAM-Table-outline2"/>
              <w:spacing w:line="240" w:lineRule="auto"/>
              <w:ind w:left="1140" w:hanging="443"/>
            </w:pPr>
            <w:r w:rsidRPr="005B5418">
              <w:rPr>
                <w:rFonts w:eastAsia="Arial Unicode MS"/>
              </w:rPr>
              <w:t>If the receiving entity cannot get complete information on the full cost of goods or services provided by another reporting entity, does the receiving entity use a reasonable estimate of the cost of the goods or services received or the market value of the goods or services received if an estimate of the cost cannot be made? (SFFAS 4, par</w:t>
            </w:r>
            <w:r w:rsidR="00D673C0" w:rsidRPr="005B5418">
              <w:rPr>
                <w:rFonts w:eastAsia="Arial Unicode MS"/>
              </w:rPr>
              <w:t>a</w:t>
            </w:r>
            <w:r w:rsidRPr="005B5418">
              <w:rPr>
                <w:rFonts w:eastAsia="Arial Unicode MS"/>
              </w:rPr>
              <w:t>. 109)</w:t>
            </w:r>
          </w:p>
        </w:tc>
        <w:tc>
          <w:tcPr>
            <w:tcW w:w="965" w:type="dxa"/>
          </w:tcPr>
          <w:p w14:paraId="023C3ACC" w14:textId="77777777" w:rsidR="007105C6" w:rsidRPr="005B5418" w:rsidRDefault="007105C6" w:rsidP="008848DA">
            <w:pPr>
              <w:pStyle w:val="Table-Cell-CenterBoldBefore6ptAfter6pt"/>
              <w:spacing w:before="60" w:after="60"/>
              <w:rPr>
                <w:rFonts w:cs="Arial"/>
              </w:rPr>
            </w:pPr>
          </w:p>
        </w:tc>
        <w:tc>
          <w:tcPr>
            <w:tcW w:w="3211" w:type="dxa"/>
          </w:tcPr>
          <w:p w14:paraId="5BA853D6" w14:textId="77777777" w:rsidR="007105C6" w:rsidRPr="005B5418" w:rsidRDefault="007105C6" w:rsidP="008848DA">
            <w:pPr>
              <w:spacing w:before="60" w:after="60" w:line="240" w:lineRule="auto"/>
              <w:rPr>
                <w:rFonts w:cs="Arial"/>
              </w:rPr>
            </w:pPr>
          </w:p>
        </w:tc>
      </w:tr>
      <w:tr w:rsidR="007105C6" w:rsidRPr="005B5418" w14:paraId="47064FCD" w14:textId="77777777" w:rsidTr="00F26968">
        <w:trPr>
          <w:trHeight w:val="1340"/>
        </w:trPr>
        <w:tc>
          <w:tcPr>
            <w:tcW w:w="5400" w:type="dxa"/>
          </w:tcPr>
          <w:p w14:paraId="52D4781E" w14:textId="04C205D1" w:rsidR="007105C6" w:rsidRPr="005B5418" w:rsidRDefault="007105C6" w:rsidP="008848DA">
            <w:pPr>
              <w:pStyle w:val="FAM-Table-outline"/>
              <w:spacing w:line="240" w:lineRule="auto"/>
            </w:pPr>
            <w:r w:rsidRPr="005B5418">
              <w:rPr>
                <w:rFonts w:eastAsia="Arial Unicode MS"/>
              </w:rPr>
              <w:t>Concerning non</w:t>
            </w:r>
            <w:r w:rsidR="00E316EB" w:rsidRPr="005B5418">
              <w:rPr>
                <w:rFonts w:eastAsia="Arial Unicode MS"/>
              </w:rPr>
              <w:t>-</w:t>
            </w:r>
            <w:r w:rsidRPr="005B5418">
              <w:rPr>
                <w:rFonts w:eastAsia="Arial Unicode MS"/>
              </w:rPr>
              <w:t xml:space="preserve">business-type activities, does the reporting entity recognize </w:t>
            </w:r>
            <w:bookmarkStart w:id="70" w:name="_Hlk168989223"/>
            <w:r w:rsidR="006A3658" w:rsidRPr="005B5418">
              <w:rPr>
                <w:rFonts w:eastAsia="Arial Unicode MS"/>
              </w:rPr>
              <w:t xml:space="preserve">unreimbursed (imputed) </w:t>
            </w:r>
            <w:bookmarkEnd w:id="70"/>
            <w:r w:rsidRPr="005B5418">
              <w:rPr>
                <w:rFonts w:eastAsia="Arial Unicode MS"/>
              </w:rPr>
              <w:t>inter-entity cost</w:t>
            </w:r>
            <w:r w:rsidR="006A3658" w:rsidRPr="005B5418">
              <w:rPr>
                <w:rFonts w:eastAsia="Arial Unicode MS"/>
              </w:rPr>
              <w:t>s</w:t>
            </w:r>
            <w:r w:rsidRPr="005B5418">
              <w:rPr>
                <w:rFonts w:eastAsia="Arial Unicode MS"/>
              </w:rPr>
              <w:t xml:space="preserve"> for personnel benefits and Treasury Judgment Fund settlements? (SFFAS 4, par</w:t>
            </w:r>
            <w:r w:rsidR="00D673C0" w:rsidRPr="005B5418">
              <w:rPr>
                <w:rFonts w:eastAsia="Arial Unicode MS"/>
              </w:rPr>
              <w:t>a</w:t>
            </w:r>
            <w:r w:rsidRPr="005B5418">
              <w:rPr>
                <w:rFonts w:eastAsia="Arial Unicode MS"/>
              </w:rPr>
              <w:t>. 111)?</w:t>
            </w:r>
          </w:p>
        </w:tc>
        <w:tc>
          <w:tcPr>
            <w:tcW w:w="965" w:type="dxa"/>
          </w:tcPr>
          <w:p w14:paraId="3C10EFB0" w14:textId="77777777" w:rsidR="007105C6" w:rsidRPr="005B5418" w:rsidRDefault="007105C6" w:rsidP="008848DA">
            <w:pPr>
              <w:pStyle w:val="Table-Cell-CenterBoldBefore6ptAfter6pt"/>
              <w:spacing w:before="60" w:after="60"/>
              <w:rPr>
                <w:rFonts w:cs="Arial"/>
              </w:rPr>
            </w:pPr>
          </w:p>
        </w:tc>
        <w:tc>
          <w:tcPr>
            <w:tcW w:w="3211" w:type="dxa"/>
          </w:tcPr>
          <w:p w14:paraId="70C81624" w14:textId="77777777" w:rsidR="007105C6" w:rsidRPr="005B5418" w:rsidRDefault="007105C6" w:rsidP="008848DA">
            <w:pPr>
              <w:spacing w:before="60" w:after="60" w:line="240" w:lineRule="auto"/>
              <w:rPr>
                <w:rFonts w:cs="Arial"/>
              </w:rPr>
            </w:pPr>
          </w:p>
        </w:tc>
      </w:tr>
      <w:tr w:rsidR="007105C6" w:rsidRPr="005B5418" w14:paraId="436EE8BE" w14:textId="77777777" w:rsidTr="00F26968">
        <w:trPr>
          <w:trHeight w:val="1340"/>
        </w:trPr>
        <w:tc>
          <w:tcPr>
            <w:tcW w:w="5400" w:type="dxa"/>
          </w:tcPr>
          <w:p w14:paraId="58303487" w14:textId="76618A26" w:rsidR="007105C6" w:rsidRPr="005B5418" w:rsidRDefault="00E45B86">
            <w:pPr>
              <w:pStyle w:val="FAM-Table-outline"/>
              <w:spacing w:line="240" w:lineRule="auto"/>
            </w:pPr>
            <w:r w:rsidRPr="005B5418">
              <w:rPr>
                <w:rFonts w:eastAsia="Arial Unicode MS"/>
              </w:rPr>
              <w:t xml:space="preserve">Concerning non-business-type activities, </w:t>
            </w:r>
            <w:r w:rsidRPr="005B5418">
              <w:t>d</w:t>
            </w:r>
            <w:r w:rsidR="007105C6" w:rsidRPr="005B5418">
              <w:t xml:space="preserve">oes the reporting entity recognize other </w:t>
            </w:r>
            <w:r w:rsidR="006A3658" w:rsidRPr="005B5418">
              <w:t xml:space="preserve">(imputed) </w:t>
            </w:r>
            <w:r w:rsidR="007105C6" w:rsidRPr="005B5418">
              <w:t>inter-entity costs as directed by OMB? (SFFAS 4, par</w:t>
            </w:r>
            <w:r w:rsidR="006009D4" w:rsidRPr="005B5418">
              <w:t>a.</w:t>
            </w:r>
            <w:r w:rsidR="007105C6" w:rsidRPr="005B5418">
              <w:t xml:space="preserve"> 111)</w:t>
            </w:r>
            <w:r w:rsidR="007105C6" w:rsidRPr="005B5418">
              <w:rPr>
                <w:vertAlign w:val="superscript"/>
              </w:rPr>
              <w:footnoteReference w:id="53"/>
            </w:r>
            <w:r w:rsidR="007105C6" w:rsidRPr="005B5418">
              <w:t xml:space="preserve"> (As of the date of this checklist, OMB had not established any additional inter-entity costs requiring recognition.)</w:t>
            </w:r>
          </w:p>
        </w:tc>
        <w:tc>
          <w:tcPr>
            <w:tcW w:w="965" w:type="dxa"/>
          </w:tcPr>
          <w:p w14:paraId="4C5BFCB4" w14:textId="77777777" w:rsidR="007105C6" w:rsidRPr="005B5418" w:rsidRDefault="007105C6" w:rsidP="008848DA">
            <w:pPr>
              <w:pStyle w:val="Table-Cell-CenterBoldBefore6ptAfter6pt"/>
              <w:spacing w:before="60" w:after="60"/>
              <w:rPr>
                <w:rFonts w:cs="Arial"/>
              </w:rPr>
            </w:pPr>
          </w:p>
        </w:tc>
        <w:tc>
          <w:tcPr>
            <w:tcW w:w="3211" w:type="dxa"/>
          </w:tcPr>
          <w:p w14:paraId="7FFA612D" w14:textId="77777777" w:rsidR="007105C6" w:rsidRPr="005B5418" w:rsidRDefault="007105C6" w:rsidP="008848DA">
            <w:pPr>
              <w:spacing w:before="60" w:after="60" w:line="240" w:lineRule="auto"/>
              <w:rPr>
                <w:rFonts w:cs="Arial"/>
              </w:rPr>
            </w:pPr>
          </w:p>
        </w:tc>
      </w:tr>
      <w:tr w:rsidR="007105C6" w:rsidRPr="005B5418" w14:paraId="45923E31" w14:textId="77777777" w:rsidTr="00981ECE">
        <w:trPr>
          <w:trHeight w:val="1340"/>
        </w:trPr>
        <w:tc>
          <w:tcPr>
            <w:tcW w:w="9576" w:type="dxa"/>
            <w:gridSpan w:val="3"/>
          </w:tcPr>
          <w:p w14:paraId="10E3A25C" w14:textId="77777777" w:rsidR="007105C6" w:rsidRPr="005B5418" w:rsidRDefault="007105C6" w:rsidP="008848DA">
            <w:pPr>
              <w:pStyle w:val="Table-Note"/>
              <w:keepNext w:val="0"/>
              <w:spacing w:before="60" w:after="60" w:line="240" w:lineRule="auto"/>
              <w:ind w:left="0"/>
              <w:jc w:val="left"/>
              <w:rPr>
                <w:rFonts w:eastAsia="Arial Unicode MS" w:cs="Arial"/>
                <w:b/>
                <w:i w:val="0"/>
                <w:sz w:val="22"/>
                <w:szCs w:val="22"/>
              </w:rPr>
            </w:pPr>
            <w:r w:rsidRPr="005B5418">
              <w:rPr>
                <w:rFonts w:eastAsia="Arial Unicode MS" w:cs="Arial"/>
                <w:b/>
                <w:i w:val="0"/>
                <w:sz w:val="22"/>
                <w:szCs w:val="22"/>
              </w:rPr>
              <w:t>Revenues</w:t>
            </w:r>
          </w:p>
          <w:p w14:paraId="07D85507" w14:textId="5FC66191" w:rsidR="007105C6" w:rsidRPr="005B5418" w:rsidRDefault="007105C6" w:rsidP="008848DA">
            <w:pPr>
              <w:pStyle w:val="Table-Note"/>
              <w:keepNext w:val="0"/>
              <w:spacing w:before="60" w:after="60" w:line="240" w:lineRule="auto"/>
              <w:ind w:left="0"/>
              <w:jc w:val="left"/>
              <w:rPr>
                <w:rFonts w:eastAsia="Arial Unicode MS" w:cs="Arial"/>
                <w:i w:val="0"/>
                <w:sz w:val="22"/>
                <w:szCs w:val="22"/>
              </w:rPr>
            </w:pPr>
            <w:r w:rsidRPr="005B5418">
              <w:rPr>
                <w:rFonts w:eastAsia="Arial Unicode MS" w:cs="Arial"/>
                <w:i w:val="0"/>
                <w:sz w:val="22"/>
                <w:szCs w:val="22"/>
              </w:rPr>
              <w:t>Revenues are inflows of resources that the government demands, earns, or receives by donation. Revenue comes from two sources: exchange transactions and nonexchange transactions. (SFFAS 7, par</w:t>
            </w:r>
            <w:r w:rsidR="0038241A" w:rsidRPr="005B5418">
              <w:rPr>
                <w:rFonts w:eastAsia="Arial Unicode MS" w:cs="Arial"/>
                <w:i w:val="0"/>
                <w:sz w:val="22"/>
                <w:szCs w:val="22"/>
              </w:rPr>
              <w:t>a</w:t>
            </w:r>
            <w:r w:rsidRPr="005B5418">
              <w:rPr>
                <w:rFonts w:eastAsia="Arial Unicode MS" w:cs="Arial"/>
                <w:i w:val="0"/>
                <w:sz w:val="22"/>
                <w:szCs w:val="22"/>
              </w:rPr>
              <w:t xml:space="preserve">. 30) </w:t>
            </w:r>
          </w:p>
          <w:p w14:paraId="1142AA76" w14:textId="7CA1625E" w:rsidR="007105C6" w:rsidRPr="005B5418" w:rsidRDefault="007105C6" w:rsidP="008848DA">
            <w:pPr>
              <w:pStyle w:val="Table-Note"/>
              <w:keepNext w:val="0"/>
              <w:spacing w:before="60" w:after="60" w:line="240" w:lineRule="auto"/>
              <w:ind w:left="0"/>
              <w:jc w:val="left"/>
            </w:pPr>
            <w:r w:rsidRPr="005B5418">
              <w:rPr>
                <w:rFonts w:eastAsia="Arial Unicode MS" w:cs="Arial"/>
                <w:i w:val="0"/>
                <w:sz w:val="22"/>
                <w:szCs w:val="22"/>
              </w:rPr>
              <w:t>Exchange (or earned) revenues arise when a government entity provides goods or services to the public or to another government entity for a price. (SFFAS 7, par</w:t>
            </w:r>
            <w:r w:rsidR="0038241A" w:rsidRPr="005B5418">
              <w:rPr>
                <w:rFonts w:eastAsia="Arial Unicode MS" w:cs="Arial"/>
                <w:i w:val="0"/>
                <w:sz w:val="22"/>
                <w:szCs w:val="22"/>
              </w:rPr>
              <w:t>a</w:t>
            </w:r>
            <w:r w:rsidRPr="005B5418">
              <w:rPr>
                <w:rFonts w:eastAsia="Arial Unicode MS" w:cs="Arial"/>
                <w:i w:val="0"/>
                <w:sz w:val="22"/>
                <w:szCs w:val="22"/>
              </w:rPr>
              <w:t xml:space="preserve">. 30) Nonexchange revenues arise primarily from the government’s sovereign power to demand payments from the public (e.g., taxes, duties, </w:t>
            </w:r>
            <w:r w:rsidR="0038241A" w:rsidRPr="005B5418">
              <w:rPr>
                <w:rFonts w:eastAsia="Arial Unicode MS" w:cs="Arial"/>
                <w:i w:val="0"/>
                <w:sz w:val="22"/>
                <w:szCs w:val="22"/>
              </w:rPr>
              <w:t xml:space="preserve">and </w:t>
            </w:r>
            <w:r w:rsidRPr="005B5418">
              <w:rPr>
                <w:rFonts w:eastAsia="Arial Unicode MS" w:cs="Arial"/>
                <w:i w:val="0"/>
                <w:sz w:val="22"/>
                <w:szCs w:val="22"/>
              </w:rPr>
              <w:t>fines) and also include donations. (SFFAS 7, par</w:t>
            </w:r>
            <w:r w:rsidR="0038241A" w:rsidRPr="005B5418">
              <w:rPr>
                <w:rFonts w:eastAsia="Arial Unicode MS" w:cs="Arial"/>
                <w:i w:val="0"/>
                <w:sz w:val="22"/>
                <w:szCs w:val="22"/>
              </w:rPr>
              <w:t>a</w:t>
            </w:r>
            <w:r w:rsidRPr="005B5418">
              <w:rPr>
                <w:rFonts w:eastAsia="Arial Unicode MS" w:cs="Arial"/>
                <w:i w:val="0"/>
                <w:sz w:val="22"/>
                <w:szCs w:val="22"/>
              </w:rPr>
              <w:t>. 30)</w:t>
            </w:r>
            <w:r w:rsidRPr="005B5418">
              <w:rPr>
                <w:rFonts w:eastAsia="Arial Unicode MS" w:cs="Arial"/>
                <w:sz w:val="22"/>
                <w:szCs w:val="22"/>
              </w:rPr>
              <w:t xml:space="preserve"> </w:t>
            </w:r>
          </w:p>
        </w:tc>
      </w:tr>
      <w:tr w:rsidR="007105C6" w:rsidRPr="005B5418" w14:paraId="1F05A0D9" w14:textId="77777777" w:rsidTr="00E162E0">
        <w:trPr>
          <w:trHeight w:val="1340"/>
        </w:trPr>
        <w:tc>
          <w:tcPr>
            <w:tcW w:w="5400" w:type="dxa"/>
          </w:tcPr>
          <w:p w14:paraId="1668C907" w14:textId="75796E8B" w:rsidR="007105C6" w:rsidRPr="005B5418" w:rsidRDefault="007105C6" w:rsidP="008848DA">
            <w:pPr>
              <w:pStyle w:val="FAM-Table-outline"/>
              <w:spacing w:line="240" w:lineRule="auto"/>
              <w:rPr>
                <w:rFonts w:cs="Arial"/>
              </w:rPr>
            </w:pPr>
            <w:r w:rsidRPr="005B5418">
              <w:rPr>
                <w:rFonts w:eastAsia="Arial Unicode MS"/>
              </w:rPr>
              <w:lastRenderedPageBreak/>
              <w:t>Is collected custodial nonexchange revenue that is legally retained by the collecting entity as reimbursement for the cost of collection recognized as exchange revenue</w:t>
            </w:r>
            <w:r w:rsidR="008F57EE" w:rsidRPr="005B5418">
              <w:rPr>
                <w:rFonts w:eastAsia="Arial Unicode MS"/>
              </w:rPr>
              <w:t xml:space="preserve"> and deducted in determining the collecting entity’s net cost of operations</w:t>
            </w:r>
            <w:r w:rsidRPr="005B5418">
              <w:rPr>
                <w:rFonts w:eastAsia="Arial Unicode MS"/>
              </w:rPr>
              <w:t>? (SFFAS 7, par</w:t>
            </w:r>
            <w:r w:rsidR="000D6B09" w:rsidRPr="005B5418">
              <w:rPr>
                <w:rFonts w:eastAsia="Arial Unicode MS"/>
              </w:rPr>
              <w:t>a</w:t>
            </w:r>
            <w:r w:rsidRPr="005B5418">
              <w:rPr>
                <w:rFonts w:eastAsia="Arial Unicode MS"/>
              </w:rPr>
              <w:t>. 60.3)</w:t>
            </w:r>
          </w:p>
        </w:tc>
        <w:tc>
          <w:tcPr>
            <w:tcW w:w="965" w:type="dxa"/>
          </w:tcPr>
          <w:p w14:paraId="4CF4C23F" w14:textId="77777777" w:rsidR="007105C6" w:rsidRPr="005B5418" w:rsidRDefault="007105C6" w:rsidP="008848DA">
            <w:pPr>
              <w:pStyle w:val="Table-Cell-CenterBoldBefore6ptAfter6pt"/>
              <w:spacing w:before="60" w:after="60"/>
              <w:rPr>
                <w:rFonts w:cs="Arial"/>
              </w:rPr>
            </w:pPr>
          </w:p>
        </w:tc>
        <w:tc>
          <w:tcPr>
            <w:tcW w:w="3211" w:type="dxa"/>
          </w:tcPr>
          <w:p w14:paraId="64CCC745" w14:textId="77777777" w:rsidR="007105C6" w:rsidRPr="005B5418" w:rsidRDefault="007105C6" w:rsidP="008848DA">
            <w:pPr>
              <w:spacing w:before="60" w:after="60" w:line="240" w:lineRule="auto"/>
              <w:rPr>
                <w:rFonts w:cs="Arial"/>
              </w:rPr>
            </w:pPr>
          </w:p>
        </w:tc>
      </w:tr>
      <w:tr w:rsidR="007105C6" w:rsidRPr="005B5418" w14:paraId="1D679005" w14:textId="77777777" w:rsidTr="00E162E0">
        <w:trPr>
          <w:trHeight w:val="1340"/>
        </w:trPr>
        <w:tc>
          <w:tcPr>
            <w:tcW w:w="5400" w:type="dxa"/>
          </w:tcPr>
          <w:p w14:paraId="35F86532" w14:textId="220429D0" w:rsidR="007105C6" w:rsidRPr="005B5418" w:rsidRDefault="007105C6" w:rsidP="008848DA">
            <w:pPr>
              <w:pStyle w:val="FAM-Table-outline"/>
              <w:spacing w:line="240" w:lineRule="auto"/>
              <w:rPr>
                <w:rFonts w:eastAsia="Arial Unicode MS"/>
              </w:rPr>
            </w:pPr>
            <w:r w:rsidRPr="005B5418">
              <w:rPr>
                <w:rFonts w:eastAsia="Arial Unicode MS"/>
              </w:rPr>
              <w:t>Is revenue received from the public or other government entity in return for providing goods or services recognized as exchange revenue? (SFFAS 7, par</w:t>
            </w:r>
            <w:r w:rsidR="000D6B09" w:rsidRPr="005B5418">
              <w:rPr>
                <w:rFonts w:eastAsia="Arial Unicode MS"/>
              </w:rPr>
              <w:t>a</w:t>
            </w:r>
            <w:r w:rsidRPr="005B5418">
              <w:rPr>
                <w:rFonts w:eastAsia="Arial Unicode MS"/>
              </w:rPr>
              <w:t>. 34)</w:t>
            </w:r>
          </w:p>
        </w:tc>
        <w:tc>
          <w:tcPr>
            <w:tcW w:w="965" w:type="dxa"/>
          </w:tcPr>
          <w:p w14:paraId="154F0A21" w14:textId="77777777" w:rsidR="007105C6" w:rsidRPr="005B5418" w:rsidRDefault="007105C6" w:rsidP="008848DA">
            <w:pPr>
              <w:pStyle w:val="Table-Cell-CenterBoldBefore6ptAfter6pt"/>
              <w:spacing w:before="60" w:after="60"/>
              <w:rPr>
                <w:rFonts w:cs="Arial"/>
              </w:rPr>
            </w:pPr>
          </w:p>
        </w:tc>
        <w:tc>
          <w:tcPr>
            <w:tcW w:w="3211" w:type="dxa"/>
          </w:tcPr>
          <w:p w14:paraId="14445B19" w14:textId="77777777" w:rsidR="007105C6" w:rsidRPr="005B5418" w:rsidRDefault="007105C6" w:rsidP="008848DA">
            <w:pPr>
              <w:spacing w:before="60" w:after="60" w:line="240" w:lineRule="auto"/>
              <w:rPr>
                <w:rFonts w:cs="Arial"/>
              </w:rPr>
            </w:pPr>
          </w:p>
        </w:tc>
      </w:tr>
      <w:tr w:rsidR="007105C6" w:rsidRPr="005B5418" w14:paraId="2797FBBD" w14:textId="77777777" w:rsidTr="00E162E0">
        <w:trPr>
          <w:trHeight w:val="1340"/>
        </w:trPr>
        <w:tc>
          <w:tcPr>
            <w:tcW w:w="5400" w:type="dxa"/>
          </w:tcPr>
          <w:p w14:paraId="290CE3AA" w14:textId="4EF63649" w:rsidR="007105C6" w:rsidRPr="005B5418" w:rsidRDefault="007105C6" w:rsidP="008848DA">
            <w:pPr>
              <w:pStyle w:val="FAM-Table-outline"/>
              <w:spacing w:line="240" w:lineRule="auto"/>
              <w:rPr>
                <w:rFonts w:eastAsia="Arial Unicode MS"/>
              </w:rPr>
            </w:pPr>
            <w:r w:rsidRPr="005B5418">
              <w:rPr>
                <w:rFonts w:eastAsia="Arial Unicode MS"/>
              </w:rPr>
              <w:t>If an exchange transaction is unusual or nonrecurring for a particular entity, is a gain or loss recognized rather than a revenue or expense? (SFFAS 7, par</w:t>
            </w:r>
            <w:r w:rsidR="000D6B09" w:rsidRPr="005B5418">
              <w:rPr>
                <w:rFonts w:eastAsia="Arial Unicode MS"/>
              </w:rPr>
              <w:t>a</w:t>
            </w:r>
            <w:r w:rsidRPr="005B5418">
              <w:rPr>
                <w:rFonts w:eastAsia="Arial Unicode MS"/>
              </w:rPr>
              <w:t>. 35)</w:t>
            </w:r>
          </w:p>
        </w:tc>
        <w:tc>
          <w:tcPr>
            <w:tcW w:w="965" w:type="dxa"/>
          </w:tcPr>
          <w:p w14:paraId="6E86AE0C" w14:textId="77777777" w:rsidR="007105C6" w:rsidRPr="005B5418" w:rsidRDefault="007105C6" w:rsidP="008848DA">
            <w:pPr>
              <w:pStyle w:val="Table-Cell-CenterBoldBefore6ptAfter6pt"/>
              <w:spacing w:before="60" w:after="60"/>
              <w:rPr>
                <w:rFonts w:cs="Arial"/>
              </w:rPr>
            </w:pPr>
          </w:p>
        </w:tc>
        <w:tc>
          <w:tcPr>
            <w:tcW w:w="3211" w:type="dxa"/>
          </w:tcPr>
          <w:p w14:paraId="3FCFF287" w14:textId="77777777" w:rsidR="007105C6" w:rsidRPr="005B5418" w:rsidRDefault="007105C6" w:rsidP="008848DA">
            <w:pPr>
              <w:spacing w:before="60" w:after="60" w:line="240" w:lineRule="auto"/>
              <w:rPr>
                <w:rFonts w:cs="Arial"/>
              </w:rPr>
            </w:pPr>
          </w:p>
        </w:tc>
      </w:tr>
      <w:tr w:rsidR="007105C6" w:rsidRPr="005B5418" w14:paraId="01D4FDB6" w14:textId="77777777" w:rsidTr="00E162E0">
        <w:trPr>
          <w:trHeight w:val="1340"/>
        </w:trPr>
        <w:tc>
          <w:tcPr>
            <w:tcW w:w="5400" w:type="dxa"/>
          </w:tcPr>
          <w:p w14:paraId="0CA13B35" w14:textId="76DCF4D9" w:rsidR="007105C6" w:rsidRPr="005B5418" w:rsidRDefault="007105C6" w:rsidP="008848DA">
            <w:pPr>
              <w:pStyle w:val="FAM-Table-outline"/>
              <w:spacing w:line="240" w:lineRule="auto"/>
              <w:rPr>
                <w:rFonts w:eastAsia="Arial Unicode MS"/>
              </w:rPr>
            </w:pPr>
            <w:r w:rsidRPr="005B5418">
              <w:rPr>
                <w:rFonts w:eastAsia="Arial Unicode MS"/>
              </w:rPr>
              <w:t>Is exchange revenue recognized when services are performed for transactions in which services are provided to the public or another government entity? (SFFAS 7, par</w:t>
            </w:r>
            <w:r w:rsidR="000D6B09" w:rsidRPr="005B5418">
              <w:rPr>
                <w:rFonts w:eastAsia="Arial Unicode MS"/>
              </w:rPr>
              <w:t>a</w:t>
            </w:r>
            <w:r w:rsidR="007A6E42" w:rsidRPr="005B5418">
              <w:rPr>
                <w:rFonts w:eastAsia="Arial Unicode MS"/>
              </w:rPr>
              <w:t>s</w:t>
            </w:r>
            <w:r w:rsidRPr="005B5418">
              <w:rPr>
                <w:rFonts w:eastAsia="Arial Unicode MS"/>
              </w:rPr>
              <w:t>. 34 and 36 (a))</w:t>
            </w:r>
          </w:p>
        </w:tc>
        <w:tc>
          <w:tcPr>
            <w:tcW w:w="965" w:type="dxa"/>
          </w:tcPr>
          <w:p w14:paraId="206926EA" w14:textId="77777777" w:rsidR="007105C6" w:rsidRPr="005B5418" w:rsidRDefault="007105C6" w:rsidP="008848DA">
            <w:pPr>
              <w:pStyle w:val="Table-Cell-CenterBoldBefore6ptAfter6pt"/>
              <w:spacing w:before="60" w:after="60"/>
              <w:rPr>
                <w:rFonts w:cs="Arial"/>
              </w:rPr>
            </w:pPr>
          </w:p>
        </w:tc>
        <w:tc>
          <w:tcPr>
            <w:tcW w:w="3211" w:type="dxa"/>
          </w:tcPr>
          <w:p w14:paraId="7D069D7F" w14:textId="77777777" w:rsidR="007105C6" w:rsidRPr="005B5418" w:rsidRDefault="007105C6" w:rsidP="008848DA">
            <w:pPr>
              <w:spacing w:before="60" w:after="60" w:line="240" w:lineRule="auto"/>
              <w:rPr>
                <w:rFonts w:cs="Arial"/>
              </w:rPr>
            </w:pPr>
          </w:p>
        </w:tc>
      </w:tr>
      <w:tr w:rsidR="007105C6" w:rsidRPr="005B5418" w14:paraId="15C3D58D" w14:textId="77777777" w:rsidTr="00E162E0">
        <w:trPr>
          <w:trHeight w:val="1340"/>
        </w:trPr>
        <w:tc>
          <w:tcPr>
            <w:tcW w:w="5400" w:type="dxa"/>
          </w:tcPr>
          <w:p w14:paraId="6315EA3C" w14:textId="10AF8355" w:rsidR="007105C6" w:rsidRPr="005B5418" w:rsidRDefault="007105C6" w:rsidP="008848DA">
            <w:pPr>
              <w:pStyle w:val="FAM-Table-outline"/>
              <w:spacing w:line="240" w:lineRule="auto"/>
              <w:rPr>
                <w:rFonts w:eastAsia="Arial Unicode MS"/>
              </w:rPr>
            </w:pPr>
            <w:r w:rsidRPr="005B5418">
              <w:rPr>
                <w:rFonts w:eastAsia="Arial Unicode MS"/>
              </w:rPr>
              <w:t>If specific goods or services are made to order under terms of a contract, is exchange revenue (and any probable loss) recognized in proportion to estimated total cost when goods and services are acquired to fulfill the contract? (SFFAS 7, par</w:t>
            </w:r>
            <w:r w:rsidR="0026428E" w:rsidRPr="005B5418">
              <w:rPr>
                <w:rFonts w:eastAsia="Arial Unicode MS"/>
              </w:rPr>
              <w:t>a</w:t>
            </w:r>
            <w:r w:rsidRPr="005B5418">
              <w:rPr>
                <w:rFonts w:eastAsia="Arial Unicode MS"/>
              </w:rPr>
              <w:t>. 36(b))</w:t>
            </w:r>
          </w:p>
        </w:tc>
        <w:tc>
          <w:tcPr>
            <w:tcW w:w="965" w:type="dxa"/>
          </w:tcPr>
          <w:p w14:paraId="5AC7E5B3" w14:textId="77777777" w:rsidR="007105C6" w:rsidRPr="005B5418" w:rsidRDefault="007105C6" w:rsidP="008848DA">
            <w:pPr>
              <w:pStyle w:val="Table-Cell-CenterBoldBefore6ptAfter6pt"/>
              <w:spacing w:before="60" w:after="60"/>
              <w:rPr>
                <w:rFonts w:cs="Arial"/>
              </w:rPr>
            </w:pPr>
          </w:p>
        </w:tc>
        <w:tc>
          <w:tcPr>
            <w:tcW w:w="3211" w:type="dxa"/>
          </w:tcPr>
          <w:p w14:paraId="41C3F612" w14:textId="77777777" w:rsidR="007105C6" w:rsidRPr="005B5418" w:rsidRDefault="007105C6" w:rsidP="008848DA">
            <w:pPr>
              <w:spacing w:before="60" w:after="60" w:line="240" w:lineRule="auto"/>
              <w:rPr>
                <w:rFonts w:cs="Arial"/>
              </w:rPr>
            </w:pPr>
          </w:p>
        </w:tc>
      </w:tr>
      <w:tr w:rsidR="007105C6" w:rsidRPr="005B5418" w14:paraId="1A89CE50" w14:textId="77777777" w:rsidTr="00E162E0">
        <w:trPr>
          <w:trHeight w:val="1340"/>
        </w:trPr>
        <w:tc>
          <w:tcPr>
            <w:tcW w:w="5400" w:type="dxa"/>
          </w:tcPr>
          <w:p w14:paraId="14E440DE" w14:textId="1197A2E7" w:rsidR="007105C6" w:rsidRPr="005B5418" w:rsidRDefault="007105C6" w:rsidP="008848DA">
            <w:pPr>
              <w:pStyle w:val="FAM-Table-outline"/>
              <w:spacing w:line="240" w:lineRule="auto"/>
              <w:rPr>
                <w:rFonts w:eastAsia="Arial Unicode MS"/>
              </w:rPr>
            </w:pPr>
            <w:r w:rsidRPr="005B5418">
              <w:rPr>
                <w:rFonts w:eastAsia="Arial Unicode MS"/>
              </w:rPr>
              <w:t>When goods are kept in inventory so that they are available to customers when ordered, is exchange revenue recognized when the goods are delivered to the customer? (SFFAS 7, par</w:t>
            </w:r>
            <w:r w:rsidR="0026428E" w:rsidRPr="005B5418">
              <w:rPr>
                <w:rFonts w:eastAsia="Arial Unicode MS"/>
              </w:rPr>
              <w:t>a</w:t>
            </w:r>
            <w:r w:rsidRPr="005B5418">
              <w:rPr>
                <w:rFonts w:eastAsia="Arial Unicode MS"/>
              </w:rPr>
              <w:t>. 36(c))</w:t>
            </w:r>
          </w:p>
        </w:tc>
        <w:tc>
          <w:tcPr>
            <w:tcW w:w="965" w:type="dxa"/>
          </w:tcPr>
          <w:p w14:paraId="1399326F" w14:textId="77777777" w:rsidR="007105C6" w:rsidRPr="005B5418" w:rsidRDefault="007105C6" w:rsidP="008848DA">
            <w:pPr>
              <w:pStyle w:val="Table-Cell-CenterBoldBefore6ptAfter6pt"/>
              <w:spacing w:before="60" w:after="60"/>
              <w:rPr>
                <w:rFonts w:cs="Arial"/>
              </w:rPr>
            </w:pPr>
          </w:p>
        </w:tc>
        <w:tc>
          <w:tcPr>
            <w:tcW w:w="3211" w:type="dxa"/>
          </w:tcPr>
          <w:p w14:paraId="77307F1F" w14:textId="77777777" w:rsidR="007105C6" w:rsidRPr="005B5418" w:rsidRDefault="007105C6" w:rsidP="008848DA">
            <w:pPr>
              <w:spacing w:before="60" w:after="60" w:line="240" w:lineRule="auto"/>
              <w:rPr>
                <w:rFonts w:cs="Arial"/>
              </w:rPr>
            </w:pPr>
          </w:p>
        </w:tc>
      </w:tr>
      <w:tr w:rsidR="007105C6" w:rsidRPr="005B5418" w14:paraId="3526C7D6" w14:textId="77777777" w:rsidTr="00E162E0">
        <w:trPr>
          <w:trHeight w:val="1340"/>
        </w:trPr>
        <w:tc>
          <w:tcPr>
            <w:tcW w:w="5400" w:type="dxa"/>
          </w:tcPr>
          <w:p w14:paraId="33BC84E4" w14:textId="507DC7DE" w:rsidR="007105C6" w:rsidRPr="005B5418" w:rsidRDefault="007105C6" w:rsidP="008848DA">
            <w:pPr>
              <w:pStyle w:val="FAM-Table-outline"/>
              <w:spacing w:line="240" w:lineRule="auto"/>
              <w:rPr>
                <w:rFonts w:eastAsia="Arial Unicode MS"/>
              </w:rPr>
            </w:pPr>
            <w:r w:rsidRPr="005B5418">
              <w:rPr>
                <w:rFonts w:eastAsia="Arial Unicode MS"/>
              </w:rPr>
              <w:t>If services are rendered continuously or the right to use an asset extends continually over time, is exchange revenue recognized in proportion to the passage of time or the use of the asset? (SFFAS 7, par</w:t>
            </w:r>
            <w:r w:rsidR="0026428E" w:rsidRPr="005B5418">
              <w:rPr>
                <w:rFonts w:eastAsia="Arial Unicode MS"/>
              </w:rPr>
              <w:t>a</w:t>
            </w:r>
            <w:r w:rsidRPr="005B5418">
              <w:rPr>
                <w:rFonts w:eastAsia="Arial Unicode MS"/>
              </w:rPr>
              <w:t>. 36(d))</w:t>
            </w:r>
          </w:p>
        </w:tc>
        <w:tc>
          <w:tcPr>
            <w:tcW w:w="965" w:type="dxa"/>
          </w:tcPr>
          <w:p w14:paraId="6242F0A6" w14:textId="77777777" w:rsidR="007105C6" w:rsidRPr="005B5418" w:rsidRDefault="007105C6" w:rsidP="008848DA">
            <w:pPr>
              <w:pStyle w:val="Table-Cell-CenterBoldBefore6ptAfter6pt"/>
              <w:spacing w:before="60" w:after="60"/>
              <w:rPr>
                <w:rFonts w:cs="Arial"/>
              </w:rPr>
            </w:pPr>
          </w:p>
        </w:tc>
        <w:tc>
          <w:tcPr>
            <w:tcW w:w="3211" w:type="dxa"/>
          </w:tcPr>
          <w:p w14:paraId="3D16F7A2" w14:textId="77777777" w:rsidR="007105C6" w:rsidRPr="005B5418" w:rsidRDefault="007105C6" w:rsidP="008848DA">
            <w:pPr>
              <w:spacing w:before="60" w:after="60" w:line="240" w:lineRule="auto"/>
              <w:rPr>
                <w:rFonts w:cs="Arial"/>
              </w:rPr>
            </w:pPr>
          </w:p>
        </w:tc>
      </w:tr>
      <w:tr w:rsidR="007105C6" w:rsidRPr="005B5418" w14:paraId="3192F07E" w14:textId="77777777" w:rsidTr="00E162E0">
        <w:trPr>
          <w:trHeight w:val="1340"/>
        </w:trPr>
        <w:tc>
          <w:tcPr>
            <w:tcW w:w="5400" w:type="dxa"/>
          </w:tcPr>
          <w:p w14:paraId="2BCD293F" w14:textId="45392C2D" w:rsidR="007105C6" w:rsidRPr="005B5418" w:rsidRDefault="007105C6" w:rsidP="008848DA">
            <w:pPr>
              <w:pStyle w:val="FAM-Table-outline"/>
              <w:spacing w:line="240" w:lineRule="auto"/>
              <w:rPr>
                <w:rFonts w:eastAsia="Arial Unicode MS"/>
              </w:rPr>
            </w:pPr>
            <w:r w:rsidRPr="005B5418">
              <w:rPr>
                <w:rFonts w:eastAsia="Arial Unicode MS"/>
              </w:rPr>
              <w:t>Is interest received on intragovernmental loans recognized as exchange revenue if the source of borrowed funds is predominately exchange revenue? (SFFAS 7, par</w:t>
            </w:r>
            <w:r w:rsidR="0026428E" w:rsidRPr="005B5418">
              <w:rPr>
                <w:rFonts w:eastAsia="Arial Unicode MS"/>
              </w:rPr>
              <w:t>a</w:t>
            </w:r>
            <w:r w:rsidRPr="005B5418">
              <w:rPr>
                <w:rFonts w:eastAsia="Arial Unicode MS"/>
              </w:rPr>
              <w:t>. 36(d))</w:t>
            </w:r>
          </w:p>
        </w:tc>
        <w:tc>
          <w:tcPr>
            <w:tcW w:w="965" w:type="dxa"/>
          </w:tcPr>
          <w:p w14:paraId="78B41AD1" w14:textId="77777777" w:rsidR="007105C6" w:rsidRPr="005B5418" w:rsidRDefault="007105C6" w:rsidP="008848DA">
            <w:pPr>
              <w:pStyle w:val="Table-Cell-CenterBoldBefore6ptAfter6pt"/>
              <w:spacing w:before="60" w:after="60"/>
              <w:rPr>
                <w:rFonts w:cs="Arial"/>
              </w:rPr>
            </w:pPr>
          </w:p>
        </w:tc>
        <w:tc>
          <w:tcPr>
            <w:tcW w:w="3211" w:type="dxa"/>
          </w:tcPr>
          <w:p w14:paraId="3075C853" w14:textId="77777777" w:rsidR="007105C6" w:rsidRPr="005B5418" w:rsidRDefault="007105C6" w:rsidP="008848DA">
            <w:pPr>
              <w:spacing w:before="60" w:after="60" w:line="240" w:lineRule="auto"/>
              <w:rPr>
                <w:rFonts w:cs="Arial"/>
              </w:rPr>
            </w:pPr>
          </w:p>
        </w:tc>
      </w:tr>
      <w:tr w:rsidR="007105C6" w:rsidRPr="005B5418" w14:paraId="42DB1D8E" w14:textId="77777777" w:rsidTr="00E162E0">
        <w:trPr>
          <w:trHeight w:val="1340"/>
        </w:trPr>
        <w:tc>
          <w:tcPr>
            <w:tcW w:w="5400" w:type="dxa"/>
          </w:tcPr>
          <w:p w14:paraId="6D20F188" w14:textId="0419E149" w:rsidR="007105C6" w:rsidRPr="005B5418" w:rsidRDefault="007105C6" w:rsidP="008848DA">
            <w:pPr>
              <w:pStyle w:val="FAM-Table-outline"/>
              <w:spacing w:line="240" w:lineRule="auto"/>
              <w:rPr>
                <w:rFonts w:eastAsia="Arial Unicode MS"/>
              </w:rPr>
            </w:pPr>
            <w:r w:rsidRPr="005B5418">
              <w:rPr>
                <w:rFonts w:eastAsia="Arial Unicode MS"/>
              </w:rPr>
              <w:lastRenderedPageBreak/>
              <w:t>When an asset other than inventory is sold, is any gain (or loss) recognized when the asset is delivered to the purchaser? (SFFAS 7, par</w:t>
            </w:r>
            <w:r w:rsidR="0026428E" w:rsidRPr="005B5418">
              <w:rPr>
                <w:rFonts w:eastAsia="Arial Unicode MS"/>
              </w:rPr>
              <w:t>a</w:t>
            </w:r>
            <w:r w:rsidRPr="005B5418">
              <w:rPr>
                <w:rFonts w:eastAsia="Arial Unicode MS"/>
              </w:rPr>
              <w:t>. 36(e))</w:t>
            </w:r>
          </w:p>
        </w:tc>
        <w:tc>
          <w:tcPr>
            <w:tcW w:w="965" w:type="dxa"/>
          </w:tcPr>
          <w:p w14:paraId="23DECD7E" w14:textId="77777777" w:rsidR="007105C6" w:rsidRPr="005B5418" w:rsidRDefault="007105C6" w:rsidP="008848DA">
            <w:pPr>
              <w:pStyle w:val="Table-Cell-CenterBoldBefore6ptAfter6pt"/>
              <w:spacing w:before="60" w:after="60"/>
              <w:rPr>
                <w:rFonts w:cs="Arial"/>
              </w:rPr>
            </w:pPr>
          </w:p>
        </w:tc>
        <w:tc>
          <w:tcPr>
            <w:tcW w:w="3211" w:type="dxa"/>
          </w:tcPr>
          <w:p w14:paraId="357E2195" w14:textId="77777777" w:rsidR="007105C6" w:rsidRPr="005B5418" w:rsidRDefault="007105C6" w:rsidP="008848DA">
            <w:pPr>
              <w:spacing w:before="60" w:after="60" w:line="240" w:lineRule="auto"/>
              <w:rPr>
                <w:rFonts w:cs="Arial"/>
              </w:rPr>
            </w:pPr>
          </w:p>
        </w:tc>
      </w:tr>
      <w:tr w:rsidR="007105C6" w:rsidRPr="005B5418" w14:paraId="5C1B53EE" w14:textId="77777777" w:rsidTr="00E162E0">
        <w:trPr>
          <w:trHeight w:val="1340"/>
        </w:trPr>
        <w:tc>
          <w:tcPr>
            <w:tcW w:w="5400" w:type="dxa"/>
          </w:tcPr>
          <w:p w14:paraId="6B09B4EA" w14:textId="261072E9" w:rsidR="007105C6" w:rsidRPr="005B5418" w:rsidRDefault="007105C6" w:rsidP="008848DA">
            <w:pPr>
              <w:pStyle w:val="FAM-Table-outline"/>
              <w:spacing w:line="240" w:lineRule="auto"/>
              <w:rPr>
                <w:rFonts w:eastAsia="Arial Unicode MS"/>
              </w:rPr>
            </w:pPr>
            <w:r w:rsidRPr="005B5418">
              <w:rPr>
                <w:rFonts w:eastAsia="Arial Unicode MS"/>
              </w:rPr>
              <w:t>When advance fees or payments are received, such as for large-scale, long-term projects, is revenue recognized only as the cost of providing the corresponding goods and services are incurred? (SFFAS 7, par</w:t>
            </w:r>
            <w:r w:rsidR="0026428E" w:rsidRPr="005B5418">
              <w:rPr>
                <w:rFonts w:eastAsia="Arial Unicode MS"/>
              </w:rPr>
              <w:t>a</w:t>
            </w:r>
            <w:r w:rsidRPr="005B5418">
              <w:rPr>
                <w:rFonts w:eastAsia="Arial Unicode MS"/>
              </w:rPr>
              <w:t>. 37)</w:t>
            </w:r>
          </w:p>
        </w:tc>
        <w:tc>
          <w:tcPr>
            <w:tcW w:w="965" w:type="dxa"/>
          </w:tcPr>
          <w:p w14:paraId="6E6E5729" w14:textId="77777777" w:rsidR="007105C6" w:rsidRPr="005B5418" w:rsidRDefault="007105C6" w:rsidP="008848DA">
            <w:pPr>
              <w:pStyle w:val="Table-Cell-CenterBoldBefore6ptAfter6pt"/>
              <w:spacing w:before="60" w:after="60"/>
              <w:rPr>
                <w:rFonts w:cs="Arial"/>
              </w:rPr>
            </w:pPr>
          </w:p>
        </w:tc>
        <w:tc>
          <w:tcPr>
            <w:tcW w:w="3211" w:type="dxa"/>
          </w:tcPr>
          <w:p w14:paraId="1A12BE4D" w14:textId="77777777" w:rsidR="007105C6" w:rsidRPr="005B5418" w:rsidRDefault="007105C6" w:rsidP="008848DA">
            <w:pPr>
              <w:spacing w:before="60" w:after="60" w:line="240" w:lineRule="auto"/>
              <w:rPr>
                <w:rFonts w:cs="Arial"/>
              </w:rPr>
            </w:pPr>
          </w:p>
        </w:tc>
      </w:tr>
      <w:tr w:rsidR="007105C6" w:rsidRPr="005B5418" w14:paraId="6CD2B9C3" w14:textId="77777777" w:rsidTr="00E162E0">
        <w:trPr>
          <w:trHeight w:val="1340"/>
        </w:trPr>
        <w:tc>
          <w:tcPr>
            <w:tcW w:w="5400" w:type="dxa"/>
          </w:tcPr>
          <w:p w14:paraId="1F6FC800" w14:textId="3231002D" w:rsidR="007105C6" w:rsidRPr="005B5418" w:rsidRDefault="007105C6" w:rsidP="008848DA">
            <w:pPr>
              <w:pStyle w:val="FAM-Table-outline"/>
              <w:spacing w:line="240" w:lineRule="auto"/>
              <w:rPr>
                <w:rFonts w:eastAsia="Arial Unicode MS"/>
              </w:rPr>
            </w:pPr>
            <w:r w:rsidRPr="005B5418">
              <w:rPr>
                <w:rFonts w:eastAsia="Arial Unicode MS"/>
              </w:rPr>
              <w:t>Is the measurement of revenue from exchange transactions based on the actual price received or</w:t>
            </w:r>
            <w:r w:rsidR="008A04D9" w:rsidRPr="005B5418">
              <w:rPr>
                <w:rFonts w:eastAsia="Arial Unicode MS"/>
              </w:rPr>
              <w:t xml:space="preserve"> a</w:t>
            </w:r>
            <w:r w:rsidRPr="005B5418">
              <w:rPr>
                <w:rFonts w:eastAsia="Arial Unicode MS"/>
              </w:rPr>
              <w:t xml:space="preserve"> receivable under established pricing arrangements? (SFFAS 7, par</w:t>
            </w:r>
            <w:r w:rsidR="0026428E" w:rsidRPr="005B5418">
              <w:rPr>
                <w:rFonts w:eastAsia="Arial Unicode MS"/>
              </w:rPr>
              <w:t>a</w:t>
            </w:r>
            <w:r w:rsidRPr="005B5418">
              <w:rPr>
                <w:rFonts w:eastAsia="Arial Unicode MS"/>
              </w:rPr>
              <w:t>. 38)</w:t>
            </w:r>
          </w:p>
        </w:tc>
        <w:tc>
          <w:tcPr>
            <w:tcW w:w="965" w:type="dxa"/>
          </w:tcPr>
          <w:p w14:paraId="1E58691D" w14:textId="77777777" w:rsidR="007105C6" w:rsidRPr="005B5418" w:rsidRDefault="007105C6" w:rsidP="008848DA">
            <w:pPr>
              <w:pStyle w:val="Table-Cell-CenterBoldBefore6ptAfter6pt"/>
              <w:spacing w:before="60" w:after="60"/>
              <w:rPr>
                <w:rFonts w:cs="Arial"/>
              </w:rPr>
            </w:pPr>
          </w:p>
        </w:tc>
        <w:tc>
          <w:tcPr>
            <w:tcW w:w="3211" w:type="dxa"/>
          </w:tcPr>
          <w:p w14:paraId="40C55175" w14:textId="77777777" w:rsidR="007105C6" w:rsidRPr="005B5418" w:rsidRDefault="007105C6" w:rsidP="008848DA">
            <w:pPr>
              <w:spacing w:before="60" w:after="60" w:line="240" w:lineRule="auto"/>
              <w:rPr>
                <w:rFonts w:cs="Arial"/>
              </w:rPr>
            </w:pPr>
          </w:p>
        </w:tc>
      </w:tr>
      <w:tr w:rsidR="007105C6" w:rsidRPr="005B5418" w14:paraId="087966ED" w14:textId="77777777" w:rsidTr="008848DA">
        <w:trPr>
          <w:trHeight w:val="917"/>
        </w:trPr>
        <w:tc>
          <w:tcPr>
            <w:tcW w:w="5400" w:type="dxa"/>
          </w:tcPr>
          <w:p w14:paraId="6B2D59E2" w14:textId="4B21514A" w:rsidR="007105C6" w:rsidRPr="005B5418" w:rsidRDefault="007105C6" w:rsidP="008848DA">
            <w:pPr>
              <w:pStyle w:val="FAM-Table-outline"/>
              <w:spacing w:line="240" w:lineRule="auto"/>
              <w:rPr>
                <w:rFonts w:eastAsia="Arial Unicode MS"/>
              </w:rPr>
            </w:pPr>
            <w:r w:rsidRPr="005B5418">
              <w:rPr>
                <w:rFonts w:eastAsia="Arial Unicode MS"/>
              </w:rPr>
              <w:t>To the extent that realization of the full amount of exchange revenue is not probable due to credit losses (caused by the failure of the debtor to pay the established or negotiated price), is an expense recognized and the allowance for bad debts increased, if the bad debts can be reasonably estimated? (SFFAS 7, par</w:t>
            </w:r>
            <w:r w:rsidR="0026428E" w:rsidRPr="005B5418">
              <w:rPr>
                <w:rFonts w:eastAsia="Arial Unicode MS"/>
              </w:rPr>
              <w:t>a</w:t>
            </w:r>
            <w:r w:rsidRPr="005B5418">
              <w:rPr>
                <w:rFonts w:eastAsia="Arial Unicode MS"/>
              </w:rPr>
              <w:t>. 40)</w:t>
            </w:r>
          </w:p>
        </w:tc>
        <w:tc>
          <w:tcPr>
            <w:tcW w:w="965" w:type="dxa"/>
          </w:tcPr>
          <w:p w14:paraId="45DE309B" w14:textId="77777777" w:rsidR="007105C6" w:rsidRPr="005B5418" w:rsidRDefault="007105C6" w:rsidP="008848DA">
            <w:pPr>
              <w:pStyle w:val="Table-Cell-CenterBoldBefore6ptAfter6pt"/>
              <w:spacing w:before="60" w:after="60"/>
              <w:rPr>
                <w:rFonts w:cs="Arial"/>
              </w:rPr>
            </w:pPr>
          </w:p>
        </w:tc>
        <w:tc>
          <w:tcPr>
            <w:tcW w:w="3211" w:type="dxa"/>
          </w:tcPr>
          <w:p w14:paraId="77FB8DBC" w14:textId="77777777" w:rsidR="007105C6" w:rsidRPr="005B5418" w:rsidRDefault="007105C6" w:rsidP="008848DA">
            <w:pPr>
              <w:spacing w:before="60" w:after="60" w:line="240" w:lineRule="auto"/>
              <w:rPr>
                <w:rFonts w:cs="Arial"/>
              </w:rPr>
            </w:pPr>
          </w:p>
        </w:tc>
      </w:tr>
      <w:tr w:rsidR="007105C6" w:rsidRPr="005B5418" w14:paraId="57CF489D" w14:textId="77777777" w:rsidTr="008848DA">
        <w:trPr>
          <w:trHeight w:val="692"/>
        </w:trPr>
        <w:tc>
          <w:tcPr>
            <w:tcW w:w="5400" w:type="dxa"/>
          </w:tcPr>
          <w:p w14:paraId="346E4EDE" w14:textId="64D19255" w:rsidR="007105C6" w:rsidRPr="005B5418" w:rsidRDefault="007105C6" w:rsidP="008848DA">
            <w:pPr>
              <w:pStyle w:val="FAM-Table-outline"/>
              <w:spacing w:line="240" w:lineRule="auto"/>
              <w:rPr>
                <w:rFonts w:eastAsia="Arial Unicode MS"/>
              </w:rPr>
            </w:pPr>
            <w:r w:rsidRPr="005B5418">
              <w:rPr>
                <w:rFonts w:eastAsia="Arial Unicode MS"/>
              </w:rPr>
              <w:t>If the realization of the full amount of exchange revenue is not probable for reasons apart from credit losses (e.g., returns and allowances), is a provision made to reduce the recognized revenue (if amounts can be reasonably estimated), with the provision recognized as a revenue adjustment? (SFFAS 7, par</w:t>
            </w:r>
            <w:r w:rsidR="004D7433" w:rsidRPr="005B5418">
              <w:rPr>
                <w:rFonts w:eastAsia="Arial Unicode MS"/>
              </w:rPr>
              <w:t>a</w:t>
            </w:r>
            <w:r w:rsidRPr="005B5418">
              <w:rPr>
                <w:rFonts w:eastAsia="Arial Unicode MS"/>
              </w:rPr>
              <w:t>. 41)</w:t>
            </w:r>
          </w:p>
        </w:tc>
        <w:tc>
          <w:tcPr>
            <w:tcW w:w="965" w:type="dxa"/>
          </w:tcPr>
          <w:p w14:paraId="06D45A0B" w14:textId="77777777" w:rsidR="007105C6" w:rsidRPr="005B5418" w:rsidRDefault="007105C6" w:rsidP="008848DA">
            <w:pPr>
              <w:pStyle w:val="Table-Cell-CenterBoldBefore6ptAfter6pt"/>
              <w:spacing w:before="60" w:after="60"/>
              <w:rPr>
                <w:rFonts w:cs="Arial"/>
              </w:rPr>
            </w:pPr>
          </w:p>
        </w:tc>
        <w:tc>
          <w:tcPr>
            <w:tcW w:w="3211" w:type="dxa"/>
          </w:tcPr>
          <w:p w14:paraId="1B8EFEBD" w14:textId="77777777" w:rsidR="007105C6" w:rsidRPr="005B5418" w:rsidRDefault="007105C6" w:rsidP="008848DA">
            <w:pPr>
              <w:spacing w:before="60" w:after="60" w:line="240" w:lineRule="auto"/>
              <w:rPr>
                <w:rFonts w:cs="Arial"/>
              </w:rPr>
            </w:pPr>
          </w:p>
        </w:tc>
      </w:tr>
      <w:tr w:rsidR="008A04D9" w:rsidRPr="005B5418" w14:paraId="5E8C01ED" w14:textId="77777777" w:rsidTr="00E162E0">
        <w:trPr>
          <w:trHeight w:val="1340"/>
        </w:trPr>
        <w:tc>
          <w:tcPr>
            <w:tcW w:w="5400" w:type="dxa"/>
          </w:tcPr>
          <w:p w14:paraId="46219277" w14:textId="1A8F8C3B" w:rsidR="008A04D9" w:rsidRPr="005B5418" w:rsidRDefault="008A04D9" w:rsidP="008848DA">
            <w:pPr>
              <w:pStyle w:val="FAM-Table-outline"/>
              <w:spacing w:line="240" w:lineRule="auto"/>
              <w:rPr>
                <w:rFonts w:eastAsia="Arial Unicode MS"/>
              </w:rPr>
            </w:pPr>
            <w:r w:rsidRPr="005B5418">
              <w:rPr>
                <w:rFonts w:eastAsia="Arial Unicode MS"/>
              </w:rPr>
              <w:t>Is exchange revenue recognized regardless of whether the entity retains the revenue for its own use or transfers it to other entities? (SFFAS 7, par</w:t>
            </w:r>
            <w:r w:rsidR="004D7433" w:rsidRPr="005B5418">
              <w:rPr>
                <w:rFonts w:eastAsia="Arial Unicode MS"/>
              </w:rPr>
              <w:t>a</w:t>
            </w:r>
            <w:r w:rsidRPr="005B5418">
              <w:rPr>
                <w:rFonts w:eastAsia="Arial Unicode MS"/>
              </w:rPr>
              <w:t>. 43)</w:t>
            </w:r>
          </w:p>
        </w:tc>
        <w:tc>
          <w:tcPr>
            <w:tcW w:w="965" w:type="dxa"/>
          </w:tcPr>
          <w:p w14:paraId="10FCBA7F" w14:textId="77777777" w:rsidR="008A04D9" w:rsidRPr="005B5418" w:rsidRDefault="008A04D9" w:rsidP="008848DA">
            <w:pPr>
              <w:pStyle w:val="Table-Cell-CenterBoldBefore6ptAfter6pt"/>
              <w:spacing w:before="60" w:after="60"/>
              <w:rPr>
                <w:rFonts w:cs="Arial"/>
              </w:rPr>
            </w:pPr>
          </w:p>
        </w:tc>
        <w:tc>
          <w:tcPr>
            <w:tcW w:w="3211" w:type="dxa"/>
          </w:tcPr>
          <w:p w14:paraId="4A8B56C1" w14:textId="77777777" w:rsidR="008A04D9" w:rsidRPr="005B5418" w:rsidRDefault="008A04D9" w:rsidP="008848DA">
            <w:pPr>
              <w:spacing w:before="60" w:after="60" w:line="240" w:lineRule="auto"/>
              <w:rPr>
                <w:rFonts w:cs="Arial"/>
              </w:rPr>
            </w:pPr>
          </w:p>
        </w:tc>
      </w:tr>
    </w:tbl>
    <w:p w14:paraId="3C32DCCE" w14:textId="77777777" w:rsidR="004A7B37" w:rsidRPr="005B5418" w:rsidRDefault="004A7B37"/>
    <w:p w14:paraId="064DA068" w14:textId="77777777" w:rsidR="00097A06" w:rsidRPr="005B5418" w:rsidRDefault="00097A06">
      <w:bookmarkStart w:id="71" w:name="_II.3.4_Statement_of"/>
      <w:bookmarkStart w:id="72" w:name="_Ref392097283"/>
      <w:bookmarkStart w:id="73" w:name="_Toc394667877"/>
      <w:bookmarkStart w:id="74" w:name="_Ref384815436"/>
      <w:bookmarkEnd w:id="71"/>
    </w:p>
    <w:p w14:paraId="6B0F79E4" w14:textId="77777777" w:rsidR="00097A06" w:rsidRPr="005B5418" w:rsidRDefault="00097A06">
      <w:r w:rsidRPr="005B5418">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221E16" w:rsidRPr="005B5418" w14:paraId="73FD8F7F" w14:textId="77777777" w:rsidTr="00176E39">
        <w:trPr>
          <w:tblHeader/>
        </w:trPr>
        <w:tc>
          <w:tcPr>
            <w:tcW w:w="5400" w:type="dxa"/>
          </w:tcPr>
          <w:p w14:paraId="4BC3FDF0" w14:textId="77777777" w:rsidR="00221E16" w:rsidRPr="005B5418" w:rsidRDefault="004A7B37" w:rsidP="008848DA">
            <w:pPr>
              <w:pStyle w:val="Heading4"/>
              <w:spacing w:before="60" w:after="60" w:line="240" w:lineRule="auto"/>
              <w:jc w:val="left"/>
              <w:rPr>
                <w:b/>
                <w:i/>
                <w:u w:val="none"/>
              </w:rPr>
            </w:pPr>
            <w:bookmarkStart w:id="75" w:name="_II.3.4_Statement_of_1"/>
            <w:bookmarkEnd w:id="75"/>
            <w:r w:rsidRPr="005B5418">
              <w:rPr>
                <w:rFonts w:asciiTheme="minorHAnsi" w:eastAsiaTheme="minorHAnsi" w:hAnsiTheme="minorHAnsi" w:cstheme="minorBidi"/>
                <w:iCs w:val="0"/>
                <w:color w:val="auto"/>
                <w:kern w:val="0"/>
                <w:sz w:val="22"/>
                <w:szCs w:val="22"/>
                <w:u w:val="none"/>
              </w:rPr>
              <w:lastRenderedPageBreak/>
              <w:br w:type="page"/>
            </w:r>
            <w:r w:rsidRPr="005B5418">
              <w:rPr>
                <w:rFonts w:asciiTheme="minorHAnsi" w:eastAsiaTheme="minorHAnsi" w:hAnsiTheme="minorHAnsi" w:cstheme="minorBidi"/>
                <w:iCs w:val="0"/>
                <w:color w:val="auto"/>
                <w:kern w:val="0"/>
                <w:sz w:val="22"/>
                <w:szCs w:val="22"/>
                <w:u w:val="none"/>
              </w:rPr>
              <w:br w:type="page"/>
            </w:r>
            <w:r w:rsidRPr="005B5418">
              <w:rPr>
                <w:rFonts w:asciiTheme="minorHAnsi" w:eastAsiaTheme="minorHAnsi" w:hAnsiTheme="minorHAnsi" w:cstheme="minorBidi"/>
                <w:iCs w:val="0"/>
                <w:color w:val="auto"/>
                <w:kern w:val="0"/>
                <w:sz w:val="22"/>
                <w:szCs w:val="22"/>
                <w:u w:val="none"/>
              </w:rPr>
              <w:br w:type="page"/>
            </w:r>
            <w:r w:rsidR="00E36C6B" w:rsidRPr="005B5418">
              <w:rPr>
                <w:rFonts w:asciiTheme="minorHAnsi" w:eastAsiaTheme="minorHAnsi" w:hAnsiTheme="minorHAnsi" w:cstheme="minorBidi"/>
                <w:iCs w:val="0"/>
                <w:color w:val="auto"/>
                <w:kern w:val="0"/>
                <w:sz w:val="22"/>
                <w:szCs w:val="22"/>
                <w:u w:val="none"/>
              </w:rPr>
              <w:br w:type="page"/>
            </w:r>
            <w:r w:rsidR="00221E16" w:rsidRPr="005B5418">
              <w:rPr>
                <w:b/>
                <w:u w:val="none"/>
              </w:rPr>
              <w:t>II.3.4 Statement of Changes in Net Position</w:t>
            </w:r>
            <w:bookmarkEnd w:id="72"/>
            <w:bookmarkEnd w:id="73"/>
            <w:r w:rsidR="00221E16" w:rsidRPr="005B5418">
              <w:rPr>
                <w:b/>
                <w:u w:val="none"/>
              </w:rPr>
              <w:t xml:space="preserve"> </w:t>
            </w:r>
            <w:bookmarkEnd w:id="74"/>
          </w:p>
        </w:tc>
        <w:tc>
          <w:tcPr>
            <w:tcW w:w="965" w:type="dxa"/>
          </w:tcPr>
          <w:p w14:paraId="38F1BF6C" w14:textId="77777777" w:rsidR="00221E16" w:rsidRPr="005B5418" w:rsidRDefault="00221E16" w:rsidP="008848DA">
            <w:pPr>
              <w:pStyle w:val="TableCellCenter"/>
              <w:spacing w:before="60" w:after="60"/>
              <w:jc w:val="left"/>
            </w:pPr>
            <w:r w:rsidRPr="005B5418">
              <w:t>Yes, No, or N/A</w:t>
            </w:r>
          </w:p>
        </w:tc>
        <w:tc>
          <w:tcPr>
            <w:tcW w:w="3211" w:type="dxa"/>
          </w:tcPr>
          <w:p w14:paraId="2D4966E8" w14:textId="0700FD5C" w:rsidR="00221E16" w:rsidRPr="005B5418" w:rsidRDefault="00221E16" w:rsidP="008848DA">
            <w:pPr>
              <w:pStyle w:val="TableCellCenter"/>
              <w:spacing w:before="60" w:after="60"/>
              <w:jc w:val="left"/>
            </w:pPr>
            <w:r w:rsidRPr="005B5418">
              <w:t xml:space="preserve">Explanation </w:t>
            </w:r>
            <w:r w:rsidR="0026169D" w:rsidRPr="005B5418">
              <w:t xml:space="preserve">and </w:t>
            </w:r>
            <w:r w:rsidRPr="005B5418">
              <w:t>Reference</w:t>
            </w:r>
          </w:p>
        </w:tc>
      </w:tr>
      <w:tr w:rsidR="00221E16" w:rsidRPr="005B5418" w14:paraId="2E4722C0" w14:textId="77777777" w:rsidTr="00E162E0">
        <w:trPr>
          <w:cantSplit/>
        </w:trPr>
        <w:tc>
          <w:tcPr>
            <w:tcW w:w="9576" w:type="dxa"/>
            <w:gridSpan w:val="3"/>
          </w:tcPr>
          <w:p w14:paraId="6176E456" w14:textId="125A25C2" w:rsidR="00221E16" w:rsidRPr="005B5418" w:rsidRDefault="00221E16" w:rsidP="008848DA">
            <w:pPr>
              <w:pStyle w:val="Table-Note"/>
              <w:spacing w:before="60" w:after="60" w:line="240" w:lineRule="auto"/>
              <w:ind w:left="0"/>
              <w:jc w:val="left"/>
              <w:rPr>
                <w:rFonts w:cs="Arial"/>
                <w:i w:val="0"/>
                <w:sz w:val="22"/>
                <w:szCs w:val="22"/>
              </w:rPr>
            </w:pPr>
            <w:r w:rsidRPr="005B5418">
              <w:rPr>
                <w:rFonts w:cs="Arial"/>
                <w:i w:val="0"/>
                <w:sz w:val="22"/>
                <w:szCs w:val="22"/>
              </w:rPr>
              <w:t>The Statement of Changes in Net Position (SCNP) reports the change in net position during the reporting period</w:t>
            </w:r>
            <w:r w:rsidR="006C1238" w:rsidRPr="005B5418">
              <w:rPr>
                <w:rFonts w:cs="Arial"/>
                <w:i w:val="0"/>
                <w:sz w:val="22"/>
                <w:szCs w:val="22"/>
              </w:rPr>
              <w:t>, which results from changes to Unexpended Appropriations and Cumulative Results of Operations.</w:t>
            </w:r>
            <w:r w:rsidRPr="005B5418">
              <w:rPr>
                <w:rFonts w:cs="Arial"/>
                <w:i w:val="0"/>
                <w:sz w:val="22"/>
                <w:szCs w:val="22"/>
              </w:rPr>
              <w:t xml:space="preserve"> </w:t>
            </w:r>
            <w:r w:rsidR="00594EEA" w:rsidRPr="005B5418">
              <w:rPr>
                <w:rFonts w:cs="Arial"/>
                <w:i w:val="0"/>
                <w:sz w:val="22"/>
                <w:szCs w:val="22"/>
              </w:rPr>
              <w:t>(A-136, section II.3.4.1)</w:t>
            </w:r>
          </w:p>
          <w:p w14:paraId="36A55410" w14:textId="6ABE1B2F" w:rsidR="00DE13DD" w:rsidRPr="005B5418" w:rsidRDefault="00191DBC" w:rsidP="00DE13DD">
            <w:pPr>
              <w:pStyle w:val="BodyText"/>
              <w:spacing w:line="240" w:lineRule="auto"/>
              <w:rPr>
                <w:spacing w:val="-2"/>
                <w:sz w:val="22"/>
                <w:szCs w:val="22"/>
              </w:rPr>
            </w:pPr>
            <w:r w:rsidRPr="005B5418">
              <w:rPr>
                <w:spacing w:val="-1"/>
                <w:sz w:val="22"/>
                <w:szCs w:val="22"/>
              </w:rPr>
              <w:t>Significant entities</w:t>
            </w:r>
            <w:r w:rsidRPr="005B5418">
              <w:rPr>
                <w:sz w:val="22"/>
                <w:szCs w:val="22"/>
              </w:rPr>
              <w:t xml:space="preserve"> </w:t>
            </w:r>
            <w:r w:rsidR="00F43777" w:rsidRPr="005B5418">
              <w:rPr>
                <w:sz w:val="22"/>
                <w:szCs w:val="22"/>
              </w:rPr>
              <w:t xml:space="preserve">are required to </w:t>
            </w:r>
            <w:r w:rsidR="00DE13DD" w:rsidRPr="005B5418">
              <w:rPr>
                <w:spacing w:val="-1"/>
                <w:sz w:val="22"/>
                <w:szCs w:val="22"/>
              </w:rPr>
              <w:t>present</w:t>
            </w:r>
            <w:r w:rsidR="00DE13DD" w:rsidRPr="005B5418">
              <w:rPr>
                <w:sz w:val="22"/>
                <w:szCs w:val="22"/>
              </w:rPr>
              <w:t xml:space="preserve"> Funds from Dedicated Collections on a consolidated basis in the SCNP (and on a combined and consolidated basis in the notes, as discussed in </w:t>
            </w:r>
            <w:r w:rsidR="00C2289E" w:rsidRPr="005B5418">
              <w:rPr>
                <w:sz w:val="22"/>
                <w:szCs w:val="22"/>
              </w:rPr>
              <w:t xml:space="preserve">the Funds from Dedicated Collections </w:t>
            </w:r>
            <w:r w:rsidR="00ED0A84" w:rsidRPr="005B5418">
              <w:rPr>
                <w:sz w:val="22"/>
                <w:szCs w:val="22"/>
              </w:rPr>
              <w:t>note</w:t>
            </w:r>
            <w:r w:rsidR="00DE13DD" w:rsidRPr="005B5418">
              <w:rPr>
                <w:sz w:val="22"/>
                <w:szCs w:val="22"/>
              </w:rPr>
              <w:t>)</w:t>
            </w:r>
            <w:r w:rsidR="009817B2" w:rsidRPr="005B5418">
              <w:rPr>
                <w:sz w:val="22"/>
                <w:szCs w:val="22"/>
              </w:rPr>
              <w:t>.</w:t>
            </w:r>
            <w:r w:rsidR="00DE13DD" w:rsidRPr="005B5418">
              <w:rPr>
                <w:sz w:val="22"/>
                <w:szCs w:val="22"/>
              </w:rPr>
              <w:t xml:space="preserve"> </w:t>
            </w:r>
            <w:r w:rsidR="009817B2" w:rsidRPr="005B5418">
              <w:rPr>
                <w:sz w:val="22"/>
                <w:szCs w:val="22"/>
              </w:rPr>
              <w:t xml:space="preserve">These entities </w:t>
            </w:r>
            <w:r w:rsidR="00DE13DD" w:rsidRPr="005B5418">
              <w:rPr>
                <w:sz w:val="22"/>
                <w:szCs w:val="22"/>
              </w:rPr>
              <w:t xml:space="preserve">are </w:t>
            </w:r>
            <w:r w:rsidR="009817B2" w:rsidRPr="005B5418">
              <w:rPr>
                <w:sz w:val="22"/>
                <w:szCs w:val="22"/>
              </w:rPr>
              <w:t xml:space="preserve">also </w:t>
            </w:r>
            <w:r w:rsidR="00DE13DD" w:rsidRPr="005B5418">
              <w:rPr>
                <w:sz w:val="22"/>
                <w:szCs w:val="22"/>
              </w:rPr>
              <w:t xml:space="preserve">required to show components of net position for Funds from Dedicated Collections on the </w:t>
            </w:r>
            <w:r w:rsidR="001B5C17" w:rsidRPr="005B5418">
              <w:rPr>
                <w:sz w:val="22"/>
                <w:szCs w:val="22"/>
              </w:rPr>
              <w:t>balance sheet</w:t>
            </w:r>
            <w:r w:rsidR="00DE13DD" w:rsidRPr="005B5418">
              <w:rPr>
                <w:sz w:val="22"/>
                <w:szCs w:val="22"/>
              </w:rPr>
              <w:t xml:space="preserve"> if material, as noted in sections II.3.2.1 and II.3.4.3 of A-136. </w:t>
            </w:r>
            <w:r w:rsidR="00DE13DD" w:rsidRPr="005B5418">
              <w:rPr>
                <w:spacing w:val="-1"/>
                <w:sz w:val="22"/>
                <w:szCs w:val="22"/>
              </w:rPr>
              <w:t>Agencies</w:t>
            </w:r>
            <w:r w:rsidR="00DE13DD" w:rsidRPr="005B5418">
              <w:rPr>
                <w:sz w:val="22"/>
                <w:szCs w:val="22"/>
              </w:rPr>
              <w:t xml:space="preserve"> have the </w:t>
            </w:r>
            <w:r w:rsidR="00DE13DD" w:rsidRPr="005B5418">
              <w:rPr>
                <w:spacing w:val="-1"/>
                <w:sz w:val="22"/>
                <w:szCs w:val="22"/>
              </w:rPr>
              <w:t>option</w:t>
            </w:r>
            <w:r w:rsidR="00DE13DD" w:rsidRPr="005B5418">
              <w:rPr>
                <w:sz w:val="22"/>
                <w:szCs w:val="22"/>
              </w:rPr>
              <w:t xml:space="preserve"> to display</w:t>
            </w:r>
            <w:r w:rsidR="00DE13DD" w:rsidRPr="005B5418">
              <w:rPr>
                <w:spacing w:val="-5"/>
                <w:sz w:val="22"/>
                <w:szCs w:val="22"/>
              </w:rPr>
              <w:t xml:space="preserve"> </w:t>
            </w:r>
            <w:r w:rsidR="00DE13DD" w:rsidRPr="005B5418">
              <w:rPr>
                <w:spacing w:val="-1"/>
                <w:sz w:val="22"/>
                <w:szCs w:val="22"/>
              </w:rPr>
              <w:t>information</w:t>
            </w:r>
            <w:r w:rsidR="00DE13DD" w:rsidRPr="005B5418">
              <w:rPr>
                <w:sz w:val="22"/>
                <w:szCs w:val="22"/>
              </w:rPr>
              <w:t xml:space="preserve"> on </w:t>
            </w:r>
            <w:r w:rsidR="00DE13DD" w:rsidRPr="005B5418">
              <w:rPr>
                <w:spacing w:val="-1"/>
                <w:sz w:val="22"/>
                <w:szCs w:val="22"/>
              </w:rPr>
              <w:t>Funds</w:t>
            </w:r>
            <w:r w:rsidR="00DE13DD" w:rsidRPr="005B5418">
              <w:rPr>
                <w:sz w:val="22"/>
                <w:szCs w:val="22"/>
              </w:rPr>
              <w:t xml:space="preserve"> </w:t>
            </w:r>
            <w:r w:rsidR="00DE13DD" w:rsidRPr="005B5418">
              <w:rPr>
                <w:spacing w:val="-1"/>
                <w:sz w:val="22"/>
                <w:szCs w:val="22"/>
              </w:rPr>
              <w:t xml:space="preserve">from Dedicated Collections in a separate column </w:t>
            </w:r>
            <w:r w:rsidR="00DE13DD" w:rsidRPr="005B5418">
              <w:rPr>
                <w:sz w:val="22"/>
                <w:szCs w:val="22"/>
              </w:rPr>
              <w:t xml:space="preserve">on </w:t>
            </w:r>
            <w:r w:rsidR="00DE13DD" w:rsidRPr="005B5418">
              <w:rPr>
                <w:spacing w:val="1"/>
                <w:sz w:val="22"/>
                <w:szCs w:val="22"/>
              </w:rPr>
              <w:t>the</w:t>
            </w:r>
            <w:r w:rsidR="00DE13DD" w:rsidRPr="005B5418">
              <w:rPr>
                <w:spacing w:val="-1"/>
                <w:sz w:val="22"/>
                <w:szCs w:val="22"/>
              </w:rPr>
              <w:t xml:space="preserve"> SCN</w:t>
            </w:r>
            <w:r w:rsidR="00DE13DD" w:rsidRPr="005B5418">
              <w:rPr>
                <w:sz w:val="22"/>
                <w:szCs w:val="22"/>
              </w:rPr>
              <w:t xml:space="preserve">P </w:t>
            </w:r>
            <w:r w:rsidR="00DE13DD" w:rsidRPr="005B5418">
              <w:rPr>
                <w:spacing w:val="-1"/>
                <w:sz w:val="22"/>
                <w:szCs w:val="22"/>
              </w:rPr>
              <w:t>(</w:t>
            </w:r>
            <w:r w:rsidR="00D52F17" w:rsidRPr="005B5418">
              <w:rPr>
                <w:spacing w:val="-1"/>
                <w:sz w:val="22"/>
                <w:szCs w:val="22"/>
              </w:rPr>
              <w:t xml:space="preserve">as shown </w:t>
            </w:r>
            <w:r w:rsidR="004E6FCC" w:rsidRPr="005B5418">
              <w:rPr>
                <w:spacing w:val="-1"/>
                <w:sz w:val="22"/>
                <w:szCs w:val="22"/>
              </w:rPr>
              <w:t>in the Illustrative Statements)</w:t>
            </w:r>
            <w:r w:rsidR="00DE13DD" w:rsidRPr="005B5418">
              <w:rPr>
                <w:spacing w:val="-2"/>
                <w:sz w:val="22"/>
                <w:szCs w:val="22"/>
              </w:rPr>
              <w:t xml:space="preserve"> </w:t>
            </w:r>
            <w:r w:rsidR="00DE13DD" w:rsidRPr="005B5418">
              <w:rPr>
                <w:sz w:val="22"/>
                <w:szCs w:val="22"/>
              </w:rPr>
              <w:t>or</w:t>
            </w:r>
            <w:r w:rsidR="00DE13DD" w:rsidRPr="005B5418">
              <w:rPr>
                <w:spacing w:val="-1"/>
                <w:sz w:val="22"/>
                <w:szCs w:val="22"/>
              </w:rPr>
              <w:t xml:space="preserve"> </w:t>
            </w:r>
            <w:r w:rsidR="00DE13DD" w:rsidRPr="005B5418">
              <w:rPr>
                <w:sz w:val="22"/>
                <w:szCs w:val="22"/>
              </w:rPr>
              <w:t xml:space="preserve">to use an </w:t>
            </w:r>
            <w:r w:rsidR="00DE13DD" w:rsidRPr="005B5418">
              <w:rPr>
                <w:spacing w:val="-1"/>
                <w:sz w:val="22"/>
                <w:szCs w:val="22"/>
              </w:rPr>
              <w:t>alternative format with</w:t>
            </w:r>
            <w:r w:rsidR="00DE13DD" w:rsidRPr="005B5418">
              <w:rPr>
                <w:sz w:val="22"/>
                <w:szCs w:val="22"/>
              </w:rPr>
              <w:t xml:space="preserve"> </w:t>
            </w:r>
            <w:r w:rsidR="00DE13DD" w:rsidRPr="005B5418">
              <w:rPr>
                <w:spacing w:val="-1"/>
                <w:sz w:val="22"/>
                <w:szCs w:val="22"/>
              </w:rPr>
              <w:t>parenthetical</w:t>
            </w:r>
            <w:r w:rsidR="00DE13DD" w:rsidRPr="005B5418">
              <w:rPr>
                <w:sz w:val="22"/>
                <w:szCs w:val="22"/>
              </w:rPr>
              <w:t xml:space="preserve"> </w:t>
            </w:r>
            <w:r w:rsidR="00DE13DD" w:rsidRPr="005B5418">
              <w:rPr>
                <w:spacing w:val="-1"/>
                <w:sz w:val="22"/>
                <w:szCs w:val="22"/>
              </w:rPr>
              <w:t>amounts</w:t>
            </w:r>
            <w:r w:rsidR="00DE13DD" w:rsidRPr="005B5418">
              <w:rPr>
                <w:sz w:val="22"/>
                <w:szCs w:val="22"/>
              </w:rPr>
              <w:t xml:space="preserve"> within line</w:t>
            </w:r>
            <w:r w:rsidR="00DE13DD" w:rsidRPr="005B5418">
              <w:rPr>
                <w:spacing w:val="-2"/>
                <w:sz w:val="22"/>
                <w:szCs w:val="22"/>
              </w:rPr>
              <w:t xml:space="preserve"> </w:t>
            </w:r>
            <w:r w:rsidR="00DE13DD" w:rsidRPr="005B5418">
              <w:rPr>
                <w:spacing w:val="-1"/>
                <w:sz w:val="22"/>
                <w:szCs w:val="22"/>
              </w:rPr>
              <w:t>item titles</w:t>
            </w:r>
            <w:r w:rsidR="00D52F17" w:rsidRPr="005B5418">
              <w:rPr>
                <w:spacing w:val="-1"/>
                <w:sz w:val="22"/>
                <w:szCs w:val="22"/>
              </w:rPr>
              <w:t xml:space="preserve">. </w:t>
            </w:r>
            <w:r w:rsidR="009C19C5" w:rsidRPr="005B5418">
              <w:rPr>
                <w:spacing w:val="-2"/>
                <w:sz w:val="22"/>
                <w:szCs w:val="22"/>
              </w:rPr>
              <w:t>(A-136, section II.3.4.1</w:t>
            </w:r>
            <w:r w:rsidR="00F43777" w:rsidRPr="005B5418">
              <w:rPr>
                <w:spacing w:val="-2"/>
                <w:sz w:val="22"/>
                <w:szCs w:val="22"/>
              </w:rPr>
              <w:t>; SFFAS 27, para 19a</w:t>
            </w:r>
            <w:r w:rsidR="009C19C5" w:rsidRPr="005B5418">
              <w:rPr>
                <w:spacing w:val="-2"/>
                <w:sz w:val="22"/>
                <w:szCs w:val="22"/>
              </w:rPr>
              <w:t>)</w:t>
            </w:r>
          </w:p>
          <w:p w14:paraId="292291FB" w14:textId="4E53AF39" w:rsidR="0092204E" w:rsidRPr="005B5418" w:rsidRDefault="003E18F5" w:rsidP="007E5F7C">
            <w:pPr>
              <w:pStyle w:val="Table-Note"/>
              <w:spacing w:before="60" w:after="60" w:line="240" w:lineRule="auto"/>
              <w:ind w:left="0"/>
              <w:jc w:val="left"/>
              <w:rPr>
                <w:rFonts w:cs="Arial"/>
                <w:sz w:val="22"/>
                <w:szCs w:val="22"/>
              </w:rPr>
            </w:pPr>
            <w:r w:rsidRPr="005B5418">
              <w:rPr>
                <w:rFonts w:cs="Arial"/>
                <w:i w:val="0"/>
                <w:sz w:val="22"/>
                <w:szCs w:val="22"/>
              </w:rPr>
              <w:t xml:space="preserve">The </w:t>
            </w:r>
            <w:r w:rsidR="00920610" w:rsidRPr="005B5418">
              <w:rPr>
                <w:rFonts w:cs="Arial"/>
                <w:i w:val="0"/>
                <w:sz w:val="22"/>
                <w:szCs w:val="22"/>
              </w:rPr>
              <w:t xml:space="preserve">Statement of Changes in Net Position and Custodial Activity (SCNP/SCA) Option </w:t>
            </w:r>
            <w:r w:rsidR="007E5F7C" w:rsidRPr="005B5418">
              <w:rPr>
                <w:rFonts w:cs="Arial"/>
                <w:i w:val="0"/>
                <w:sz w:val="22"/>
                <w:szCs w:val="22"/>
              </w:rPr>
              <w:t>B</w:t>
            </w:r>
            <w:r w:rsidR="00920610" w:rsidRPr="005B5418">
              <w:rPr>
                <w:rFonts w:cs="Arial"/>
                <w:i w:val="0"/>
                <w:sz w:val="22"/>
                <w:szCs w:val="22"/>
              </w:rPr>
              <w:t xml:space="preserve">, </w:t>
            </w:r>
            <w:r w:rsidR="0092204E" w:rsidRPr="005B5418">
              <w:rPr>
                <w:rFonts w:cs="Arial"/>
                <w:i w:val="0"/>
                <w:sz w:val="22"/>
                <w:szCs w:val="22"/>
              </w:rPr>
              <w:t>as shown in A-136, section II.3.</w:t>
            </w:r>
            <w:r w:rsidR="00920610" w:rsidRPr="005B5418">
              <w:rPr>
                <w:rFonts w:cs="Arial"/>
                <w:i w:val="0"/>
                <w:sz w:val="22"/>
                <w:szCs w:val="22"/>
              </w:rPr>
              <w:t>4</w:t>
            </w:r>
            <w:r w:rsidR="0092204E" w:rsidRPr="005B5418">
              <w:rPr>
                <w:rFonts w:cs="Arial"/>
                <w:i w:val="0"/>
                <w:sz w:val="22"/>
                <w:szCs w:val="22"/>
              </w:rPr>
              <w:t>.</w:t>
            </w:r>
            <w:r w:rsidR="007E5F7C" w:rsidRPr="005B5418">
              <w:rPr>
                <w:rFonts w:cs="Arial"/>
                <w:i w:val="0"/>
                <w:sz w:val="22"/>
                <w:szCs w:val="22"/>
              </w:rPr>
              <w:t>2B</w:t>
            </w:r>
            <w:r w:rsidR="0092204E" w:rsidRPr="005B5418">
              <w:rPr>
                <w:rFonts w:cs="Arial"/>
                <w:i w:val="0"/>
                <w:sz w:val="22"/>
                <w:szCs w:val="22"/>
              </w:rPr>
              <w:t xml:space="preserve">, </w:t>
            </w:r>
            <w:r w:rsidR="009143E2" w:rsidRPr="005B5418">
              <w:rPr>
                <w:rFonts w:cs="Arial"/>
                <w:i w:val="0"/>
                <w:sz w:val="22"/>
                <w:szCs w:val="22"/>
              </w:rPr>
              <w:t>is</w:t>
            </w:r>
            <w:r w:rsidR="0092204E" w:rsidRPr="005B5418">
              <w:rPr>
                <w:rFonts w:cs="Arial"/>
                <w:i w:val="0"/>
                <w:sz w:val="22"/>
                <w:szCs w:val="22"/>
              </w:rPr>
              <w:t xml:space="preserve"> </w:t>
            </w:r>
            <w:r w:rsidR="00920610" w:rsidRPr="005B5418">
              <w:rPr>
                <w:rFonts w:cs="Arial"/>
                <w:i w:val="0"/>
                <w:sz w:val="22"/>
                <w:szCs w:val="22"/>
              </w:rPr>
              <w:t>optional for entities with incidental non-exchange custodial collections. See A-136, section II.3.4.</w:t>
            </w:r>
            <w:r w:rsidR="007E5F7C" w:rsidRPr="005B5418">
              <w:rPr>
                <w:rFonts w:cs="Arial"/>
                <w:i w:val="0"/>
                <w:sz w:val="22"/>
                <w:szCs w:val="22"/>
              </w:rPr>
              <w:t>2B</w:t>
            </w:r>
            <w:r w:rsidR="00A259A9" w:rsidRPr="005B5418">
              <w:rPr>
                <w:rFonts w:cs="Arial"/>
                <w:i w:val="0"/>
                <w:sz w:val="22"/>
                <w:szCs w:val="22"/>
              </w:rPr>
              <w:t>,</w:t>
            </w:r>
            <w:r w:rsidR="00920610" w:rsidRPr="005B5418">
              <w:rPr>
                <w:rFonts w:cs="Arial"/>
                <w:i w:val="0"/>
                <w:sz w:val="22"/>
                <w:szCs w:val="22"/>
              </w:rPr>
              <w:t xml:space="preserve"> for additional information.</w:t>
            </w:r>
          </w:p>
        </w:tc>
      </w:tr>
      <w:tr w:rsidR="00C527AB" w:rsidRPr="005B5418" w14:paraId="1EB54212" w14:textId="77777777" w:rsidTr="001D6F94">
        <w:trPr>
          <w:cantSplit/>
          <w:trHeight w:val="1520"/>
        </w:trPr>
        <w:tc>
          <w:tcPr>
            <w:tcW w:w="5400" w:type="dxa"/>
          </w:tcPr>
          <w:p w14:paraId="6F39C1FA" w14:textId="5F42A9AC" w:rsidR="00C527AB" w:rsidRPr="005B5418" w:rsidRDefault="00C527AB" w:rsidP="00870A49">
            <w:pPr>
              <w:pStyle w:val="FAM-Table-outline"/>
              <w:widowControl/>
              <w:numPr>
                <w:ilvl w:val="0"/>
                <w:numId w:val="9"/>
              </w:numPr>
              <w:adjustRightInd/>
              <w:spacing w:line="240" w:lineRule="auto"/>
              <w:textAlignment w:val="auto"/>
              <w:rPr>
                <w:rFonts w:eastAsia="Arial Unicode MS" w:cs="Arial"/>
                <w:szCs w:val="22"/>
              </w:rPr>
            </w:pPr>
            <w:r w:rsidRPr="005B5418">
              <w:rPr>
                <w:rFonts w:eastAsia="Arial Unicode MS" w:cs="Arial"/>
                <w:szCs w:val="22"/>
              </w:rPr>
              <w:t>For entities</w:t>
            </w:r>
            <w:r w:rsidR="00F43777" w:rsidRPr="005B5418">
              <w:rPr>
                <w:rStyle w:val="FootnoteReference"/>
                <w:rFonts w:eastAsia="Arial Unicode MS" w:cs="Arial"/>
                <w:szCs w:val="22"/>
              </w:rPr>
              <w:footnoteReference w:id="54"/>
            </w:r>
            <w:r w:rsidRPr="005B5418">
              <w:rPr>
                <w:rFonts w:eastAsia="Arial Unicode MS" w:cs="Arial"/>
                <w:szCs w:val="22"/>
              </w:rPr>
              <w:t xml:space="preserve"> with material Funds from Dedicated Collections, does the entity present such funds on the SCNP on a consolidated basis and label as “consolidated”</w:t>
            </w:r>
            <w:r w:rsidR="00792653" w:rsidRPr="005B5418">
              <w:rPr>
                <w:rFonts w:eastAsia="Arial Unicode MS" w:cs="Arial"/>
                <w:szCs w:val="22"/>
              </w:rPr>
              <w:t>?</w:t>
            </w:r>
            <w:r w:rsidRPr="005B5418">
              <w:rPr>
                <w:rFonts w:eastAsia="Arial Unicode MS" w:cs="Arial"/>
                <w:szCs w:val="22"/>
              </w:rPr>
              <w:t xml:space="preserve"> (A-136, section II.3.4.1</w:t>
            </w:r>
            <w:r w:rsidR="00B51A3F" w:rsidRPr="005B5418">
              <w:rPr>
                <w:rFonts w:eastAsia="Arial Unicode MS" w:cs="Arial"/>
                <w:szCs w:val="22"/>
              </w:rPr>
              <w:t>, II.3.4.2A</w:t>
            </w:r>
            <w:r w:rsidRPr="005B5418">
              <w:rPr>
                <w:rFonts w:eastAsia="Arial Unicode MS" w:cs="Arial"/>
                <w:szCs w:val="22"/>
              </w:rPr>
              <w:t>; SFFAS 27, para 19a)</w:t>
            </w:r>
          </w:p>
        </w:tc>
        <w:tc>
          <w:tcPr>
            <w:tcW w:w="965" w:type="dxa"/>
          </w:tcPr>
          <w:p w14:paraId="15D37F0C" w14:textId="77777777" w:rsidR="00C527AB" w:rsidRPr="005B5418" w:rsidRDefault="00C527AB" w:rsidP="008848DA">
            <w:pPr>
              <w:pStyle w:val="Table-Cell-CenterBoldBefore6ptAfter6pt"/>
              <w:spacing w:before="60" w:after="60"/>
              <w:rPr>
                <w:rFonts w:cs="Arial"/>
              </w:rPr>
            </w:pPr>
          </w:p>
        </w:tc>
        <w:tc>
          <w:tcPr>
            <w:tcW w:w="3211" w:type="dxa"/>
          </w:tcPr>
          <w:p w14:paraId="6DBDA023" w14:textId="77777777" w:rsidR="00C527AB" w:rsidRPr="005B5418" w:rsidRDefault="00C527AB" w:rsidP="008848DA">
            <w:pPr>
              <w:spacing w:before="60" w:after="60" w:line="240" w:lineRule="auto"/>
              <w:rPr>
                <w:rFonts w:cs="Arial"/>
              </w:rPr>
            </w:pPr>
          </w:p>
        </w:tc>
      </w:tr>
      <w:tr w:rsidR="00477D34" w:rsidRPr="005B5418" w14:paraId="2AF8D453" w14:textId="77777777" w:rsidTr="001D6F94">
        <w:trPr>
          <w:cantSplit/>
          <w:trHeight w:val="1520"/>
        </w:trPr>
        <w:tc>
          <w:tcPr>
            <w:tcW w:w="5400" w:type="dxa"/>
          </w:tcPr>
          <w:p w14:paraId="7A0CEE0C" w14:textId="5308CE62" w:rsidR="00477D34" w:rsidRPr="005B5418" w:rsidRDefault="00477D34" w:rsidP="00343610">
            <w:pPr>
              <w:pStyle w:val="FAM-Table-outline"/>
              <w:widowControl/>
              <w:numPr>
                <w:ilvl w:val="0"/>
                <w:numId w:val="9"/>
              </w:numPr>
              <w:adjustRightInd/>
              <w:spacing w:line="240" w:lineRule="auto"/>
              <w:textAlignment w:val="auto"/>
              <w:rPr>
                <w:rFonts w:cs="Arial"/>
              </w:rPr>
            </w:pPr>
            <w:r w:rsidRPr="005B5418">
              <w:rPr>
                <w:rFonts w:eastAsia="Arial Unicode MS" w:cs="Arial"/>
                <w:szCs w:val="22"/>
              </w:rPr>
              <w:t>Does the line item “unexpended appropriations” include both the portion of the entity’s appropriation represented by undelivered orders and unobligated balances? (A-136, section II.3.2.5)</w:t>
            </w:r>
          </w:p>
        </w:tc>
        <w:tc>
          <w:tcPr>
            <w:tcW w:w="965" w:type="dxa"/>
          </w:tcPr>
          <w:p w14:paraId="5D153B71" w14:textId="77777777" w:rsidR="00477D34" w:rsidRPr="005B5418" w:rsidRDefault="00477D34" w:rsidP="008848DA">
            <w:pPr>
              <w:pStyle w:val="Table-Cell-CenterBoldBefore6ptAfter6pt"/>
              <w:spacing w:before="60" w:after="60"/>
              <w:rPr>
                <w:rFonts w:cs="Arial"/>
              </w:rPr>
            </w:pPr>
          </w:p>
        </w:tc>
        <w:tc>
          <w:tcPr>
            <w:tcW w:w="3211" w:type="dxa"/>
          </w:tcPr>
          <w:p w14:paraId="12964C46" w14:textId="77777777" w:rsidR="00477D34" w:rsidRPr="005B5418" w:rsidRDefault="00477D34" w:rsidP="008848DA">
            <w:pPr>
              <w:spacing w:before="60" w:after="60" w:line="240" w:lineRule="auto"/>
              <w:rPr>
                <w:rFonts w:cs="Arial"/>
              </w:rPr>
            </w:pPr>
          </w:p>
        </w:tc>
      </w:tr>
      <w:tr w:rsidR="00477D34" w:rsidRPr="005B5418" w14:paraId="4AA473D3" w14:textId="77777777" w:rsidTr="00E162E0">
        <w:trPr>
          <w:cantSplit/>
          <w:trHeight w:val="2160"/>
        </w:trPr>
        <w:tc>
          <w:tcPr>
            <w:tcW w:w="5400" w:type="dxa"/>
          </w:tcPr>
          <w:p w14:paraId="26F64527" w14:textId="77777777" w:rsidR="00477D34" w:rsidRPr="005B5418" w:rsidRDefault="00477D34" w:rsidP="007B5405">
            <w:pPr>
              <w:pStyle w:val="FAM-Table-outline"/>
              <w:numPr>
                <w:ilvl w:val="0"/>
                <w:numId w:val="1"/>
              </w:numPr>
              <w:spacing w:line="240" w:lineRule="auto"/>
              <w:rPr>
                <w:rFonts w:eastAsia="Arial Unicode MS"/>
              </w:rPr>
            </w:pPr>
            <w:r w:rsidRPr="005B5418">
              <w:rPr>
                <w:rFonts w:eastAsia="Arial Unicode MS"/>
              </w:rPr>
              <w:t>Does the line item “cumulative results of operations” include</w:t>
            </w:r>
          </w:p>
          <w:p w14:paraId="50C7AA34" w14:textId="77777777" w:rsidR="00477D34" w:rsidRPr="005B5418" w:rsidRDefault="00477D34" w:rsidP="005425ED">
            <w:pPr>
              <w:pStyle w:val="FAM-Table-outline2"/>
              <w:spacing w:line="240" w:lineRule="auto"/>
              <w:ind w:left="1140" w:hanging="443"/>
            </w:pPr>
            <w:r w:rsidRPr="005B5418">
              <w:t xml:space="preserve">the net results of operations since inception, </w:t>
            </w:r>
          </w:p>
          <w:p w14:paraId="16D98035" w14:textId="77777777" w:rsidR="00477D34" w:rsidRPr="005B5418" w:rsidRDefault="00477D34" w:rsidP="005425ED">
            <w:pPr>
              <w:pStyle w:val="FAM-Table-outline2"/>
              <w:spacing w:line="240" w:lineRule="auto"/>
              <w:ind w:left="1140" w:hanging="443"/>
            </w:pPr>
            <w:r w:rsidRPr="005B5418">
              <w:t>the cumulative amount of prior-period adjustments, and</w:t>
            </w:r>
          </w:p>
          <w:p w14:paraId="311839A3" w14:textId="5651FEB4" w:rsidR="00477D34" w:rsidRPr="005B5418" w:rsidRDefault="00477D34" w:rsidP="005425ED">
            <w:pPr>
              <w:pStyle w:val="FAM-Table-outline2"/>
              <w:spacing w:line="240" w:lineRule="auto"/>
              <w:ind w:left="1140" w:hanging="443"/>
              <w:rPr>
                <w:rFonts w:eastAsia="Arial Unicode MS"/>
              </w:rPr>
            </w:pPr>
            <w:r w:rsidRPr="005B5418">
              <w:t>the cumulative amount of donations and transfers of assets in and out without reimbursement? (A-136, section II.3.2.5)</w:t>
            </w:r>
          </w:p>
        </w:tc>
        <w:tc>
          <w:tcPr>
            <w:tcW w:w="965" w:type="dxa"/>
          </w:tcPr>
          <w:p w14:paraId="0967E787" w14:textId="77777777" w:rsidR="00477D34" w:rsidRPr="005B5418" w:rsidRDefault="00477D34" w:rsidP="008848DA">
            <w:pPr>
              <w:pStyle w:val="Table-Cell-CenterBoldBefore6ptAfter6pt"/>
              <w:spacing w:before="60" w:after="60"/>
              <w:rPr>
                <w:rFonts w:cs="Arial"/>
              </w:rPr>
            </w:pPr>
          </w:p>
        </w:tc>
        <w:tc>
          <w:tcPr>
            <w:tcW w:w="3211" w:type="dxa"/>
          </w:tcPr>
          <w:p w14:paraId="7229DA31" w14:textId="77777777" w:rsidR="00477D34" w:rsidRPr="005B5418" w:rsidRDefault="00477D34" w:rsidP="008848DA">
            <w:pPr>
              <w:spacing w:before="60" w:after="60" w:line="240" w:lineRule="auto"/>
              <w:rPr>
                <w:rFonts w:cs="Arial"/>
              </w:rPr>
            </w:pPr>
          </w:p>
        </w:tc>
      </w:tr>
      <w:tr w:rsidR="00477D34" w:rsidRPr="005B5418" w14:paraId="7622AB7E" w14:textId="77777777" w:rsidTr="006504B9">
        <w:trPr>
          <w:cantSplit/>
          <w:trHeight w:val="791"/>
        </w:trPr>
        <w:tc>
          <w:tcPr>
            <w:tcW w:w="5400" w:type="dxa"/>
          </w:tcPr>
          <w:p w14:paraId="21FC4065" w14:textId="1C3147DC" w:rsidR="00477D34" w:rsidRPr="005B5418" w:rsidRDefault="00477D34" w:rsidP="00343610">
            <w:pPr>
              <w:pStyle w:val="FAM-Table-outline"/>
              <w:widowControl/>
              <w:numPr>
                <w:ilvl w:val="0"/>
                <w:numId w:val="9"/>
              </w:numPr>
              <w:adjustRightInd/>
              <w:spacing w:line="240" w:lineRule="auto"/>
              <w:textAlignment w:val="auto"/>
              <w:rPr>
                <w:rFonts w:cs="Arial"/>
              </w:rPr>
            </w:pPr>
            <w:r w:rsidRPr="005B5418">
              <w:rPr>
                <w:rFonts w:eastAsia="Arial Unicode MS" w:cs="Arial"/>
                <w:szCs w:val="22"/>
              </w:rPr>
              <w:t>Are unexpended appropriations reduced as appropriations are used? (SFFAS 7, par</w:t>
            </w:r>
            <w:r w:rsidR="00A259A9" w:rsidRPr="005B5418">
              <w:rPr>
                <w:rFonts w:eastAsia="Arial Unicode MS" w:cs="Arial"/>
                <w:szCs w:val="22"/>
              </w:rPr>
              <w:t>a</w:t>
            </w:r>
            <w:r w:rsidRPr="005B5418">
              <w:rPr>
                <w:rFonts w:eastAsia="Arial Unicode MS" w:cs="Arial"/>
                <w:szCs w:val="22"/>
              </w:rPr>
              <w:t>. 71)</w:t>
            </w:r>
          </w:p>
        </w:tc>
        <w:tc>
          <w:tcPr>
            <w:tcW w:w="965" w:type="dxa"/>
          </w:tcPr>
          <w:p w14:paraId="653F14E4" w14:textId="77777777" w:rsidR="00477D34" w:rsidRPr="005B5418" w:rsidRDefault="00477D34" w:rsidP="008848DA">
            <w:pPr>
              <w:pStyle w:val="Table-Cell-CenterBoldBefore6ptAfter6pt"/>
              <w:spacing w:before="60" w:after="60"/>
              <w:rPr>
                <w:rFonts w:cs="Arial"/>
              </w:rPr>
            </w:pPr>
          </w:p>
        </w:tc>
        <w:tc>
          <w:tcPr>
            <w:tcW w:w="3211" w:type="dxa"/>
          </w:tcPr>
          <w:p w14:paraId="4011637E" w14:textId="77777777" w:rsidR="00477D34" w:rsidRPr="005B5418" w:rsidRDefault="00477D34" w:rsidP="008848DA">
            <w:pPr>
              <w:spacing w:before="60" w:after="60" w:line="240" w:lineRule="auto"/>
              <w:rPr>
                <w:rFonts w:cs="Arial"/>
              </w:rPr>
            </w:pPr>
          </w:p>
        </w:tc>
      </w:tr>
      <w:tr w:rsidR="00477D34" w:rsidRPr="005B5418" w14:paraId="5B3BC9B5" w14:textId="77777777" w:rsidTr="006504B9">
        <w:trPr>
          <w:cantSplit/>
          <w:trHeight w:val="971"/>
        </w:trPr>
        <w:tc>
          <w:tcPr>
            <w:tcW w:w="5400" w:type="dxa"/>
          </w:tcPr>
          <w:p w14:paraId="2B19EEFF" w14:textId="17D0E685" w:rsidR="00477D34" w:rsidRPr="005B5418" w:rsidRDefault="00477D34" w:rsidP="00343610">
            <w:pPr>
              <w:pStyle w:val="FAM-Table-outline"/>
              <w:widowControl/>
              <w:numPr>
                <w:ilvl w:val="0"/>
                <w:numId w:val="9"/>
              </w:numPr>
              <w:adjustRightInd/>
              <w:spacing w:line="240" w:lineRule="auto"/>
              <w:textAlignment w:val="auto"/>
              <w:rPr>
                <w:rFonts w:cs="Arial"/>
              </w:rPr>
            </w:pPr>
            <w:r w:rsidRPr="005B5418">
              <w:rPr>
                <w:rFonts w:eastAsia="Arial Unicode MS"/>
              </w:rPr>
              <w:lastRenderedPageBreak/>
              <w:t>Are unexpended appropriations adjusted for other changes in budgetary resources, such as rescissions and transfers? (SFFAS 7, par</w:t>
            </w:r>
            <w:r w:rsidR="00A259A9" w:rsidRPr="005B5418">
              <w:rPr>
                <w:rFonts w:eastAsia="Arial Unicode MS"/>
              </w:rPr>
              <w:t>a</w:t>
            </w:r>
            <w:r w:rsidRPr="005B5418">
              <w:rPr>
                <w:rFonts w:eastAsia="Arial Unicode MS"/>
              </w:rPr>
              <w:t>. 71)</w:t>
            </w:r>
          </w:p>
        </w:tc>
        <w:tc>
          <w:tcPr>
            <w:tcW w:w="965" w:type="dxa"/>
          </w:tcPr>
          <w:p w14:paraId="1CF2679C" w14:textId="77777777" w:rsidR="00477D34" w:rsidRPr="005B5418" w:rsidRDefault="00477D34" w:rsidP="008848DA">
            <w:pPr>
              <w:pStyle w:val="Table-Cell-CenterBoldBefore6ptAfter6pt"/>
              <w:spacing w:before="60" w:after="60"/>
              <w:rPr>
                <w:rFonts w:cs="Arial"/>
              </w:rPr>
            </w:pPr>
          </w:p>
        </w:tc>
        <w:tc>
          <w:tcPr>
            <w:tcW w:w="3211" w:type="dxa"/>
          </w:tcPr>
          <w:p w14:paraId="1A7D7D47" w14:textId="77777777" w:rsidR="00477D34" w:rsidRPr="005B5418" w:rsidRDefault="00477D34" w:rsidP="008848DA">
            <w:pPr>
              <w:spacing w:before="60" w:after="60" w:line="240" w:lineRule="auto"/>
              <w:rPr>
                <w:rFonts w:cs="Arial"/>
              </w:rPr>
            </w:pPr>
          </w:p>
        </w:tc>
      </w:tr>
      <w:tr w:rsidR="00477D34" w:rsidRPr="005B5418" w14:paraId="0CC20A87" w14:textId="77777777" w:rsidTr="006504B9">
        <w:trPr>
          <w:cantSplit/>
          <w:trHeight w:val="1511"/>
        </w:trPr>
        <w:tc>
          <w:tcPr>
            <w:tcW w:w="5400" w:type="dxa"/>
          </w:tcPr>
          <w:p w14:paraId="1FB61872" w14:textId="65F9E9A9" w:rsidR="00477D34" w:rsidRPr="005B5418" w:rsidRDefault="00477D34" w:rsidP="008D614A">
            <w:pPr>
              <w:pStyle w:val="FAM-Table-outline"/>
              <w:widowControl/>
              <w:numPr>
                <w:ilvl w:val="0"/>
                <w:numId w:val="9"/>
              </w:numPr>
              <w:adjustRightInd/>
              <w:spacing w:line="240" w:lineRule="auto"/>
              <w:textAlignment w:val="auto"/>
              <w:rPr>
                <w:rFonts w:cs="Arial"/>
              </w:rPr>
            </w:pPr>
            <w:r w:rsidRPr="005B5418">
              <w:rPr>
                <w:rFonts w:eastAsia="Arial Unicode MS"/>
              </w:rPr>
              <w:t xml:space="preserve">Do “appropriations transferred in/out” </w:t>
            </w:r>
            <w:r w:rsidR="008D614A" w:rsidRPr="005B5418">
              <w:rPr>
                <w:rFonts w:eastAsia="Arial Unicode MS"/>
              </w:rPr>
              <w:t>e</w:t>
            </w:r>
            <w:r w:rsidRPr="005B5418">
              <w:rPr>
                <w:rFonts w:eastAsia="Arial Unicode MS"/>
              </w:rPr>
              <w:t>qual the amount of appropriations received in the current or prior year(s) that have been transferred in or out during the current year? (A-136, section II.3.4.</w:t>
            </w:r>
            <w:r w:rsidR="003E18F5" w:rsidRPr="005B5418">
              <w:rPr>
                <w:rFonts w:eastAsia="Arial Unicode MS"/>
              </w:rPr>
              <w:t>4</w:t>
            </w:r>
            <w:r w:rsidRPr="005B5418">
              <w:rPr>
                <w:rFonts w:eastAsia="Arial Unicode MS"/>
              </w:rPr>
              <w:t>)</w:t>
            </w:r>
          </w:p>
        </w:tc>
        <w:tc>
          <w:tcPr>
            <w:tcW w:w="965" w:type="dxa"/>
          </w:tcPr>
          <w:p w14:paraId="27D49246" w14:textId="77777777" w:rsidR="00477D34" w:rsidRPr="005B5418" w:rsidRDefault="00477D34" w:rsidP="008848DA">
            <w:pPr>
              <w:pStyle w:val="Table-Cell-CenterBoldBefore6ptAfter6pt"/>
              <w:spacing w:before="60" w:after="60"/>
              <w:rPr>
                <w:rFonts w:cs="Arial"/>
              </w:rPr>
            </w:pPr>
          </w:p>
        </w:tc>
        <w:tc>
          <w:tcPr>
            <w:tcW w:w="3211" w:type="dxa"/>
          </w:tcPr>
          <w:p w14:paraId="20FC5E80" w14:textId="76225EF7" w:rsidR="006446C4" w:rsidRPr="005B5418" w:rsidRDefault="006446C4" w:rsidP="008848DA">
            <w:pPr>
              <w:spacing w:before="60" w:after="60" w:line="240" w:lineRule="auto"/>
              <w:rPr>
                <w:rFonts w:cs="Arial"/>
              </w:rPr>
            </w:pPr>
          </w:p>
          <w:p w14:paraId="1FA2285D" w14:textId="09987CF9" w:rsidR="006446C4" w:rsidRPr="005B5418" w:rsidRDefault="006446C4" w:rsidP="0070172C">
            <w:pPr>
              <w:rPr>
                <w:rFonts w:cs="Arial"/>
              </w:rPr>
            </w:pPr>
          </w:p>
          <w:p w14:paraId="39FF218B" w14:textId="77777777" w:rsidR="00477D34" w:rsidRPr="005B5418" w:rsidRDefault="00477D34" w:rsidP="006446C4">
            <w:pPr>
              <w:spacing w:before="60" w:after="60" w:line="240" w:lineRule="auto"/>
              <w:rPr>
                <w:rFonts w:cs="Arial"/>
              </w:rPr>
            </w:pPr>
          </w:p>
        </w:tc>
      </w:tr>
      <w:tr w:rsidR="00477D34" w:rsidRPr="005B5418" w14:paraId="698F0258" w14:textId="77777777" w:rsidTr="006504B9">
        <w:trPr>
          <w:cantSplit/>
          <w:trHeight w:val="1250"/>
        </w:trPr>
        <w:tc>
          <w:tcPr>
            <w:tcW w:w="5400" w:type="dxa"/>
          </w:tcPr>
          <w:p w14:paraId="0B1A8F19" w14:textId="4A2A5F7C" w:rsidR="00477D34" w:rsidRPr="005B5418" w:rsidRDefault="00477D34">
            <w:pPr>
              <w:pStyle w:val="FAM-Table-outline"/>
              <w:widowControl/>
              <w:numPr>
                <w:ilvl w:val="0"/>
                <w:numId w:val="9"/>
              </w:numPr>
              <w:adjustRightInd/>
              <w:spacing w:line="240" w:lineRule="auto"/>
              <w:textAlignment w:val="auto"/>
              <w:rPr>
                <w:rFonts w:cs="Arial"/>
              </w:rPr>
            </w:pPr>
            <w:r w:rsidRPr="005B5418">
              <w:rPr>
                <w:rFonts w:eastAsia="Arial Unicode MS"/>
              </w:rPr>
              <w:t>Do “other adjustments</w:t>
            </w:r>
            <w:r w:rsidR="006F7109" w:rsidRPr="005B5418">
              <w:rPr>
                <w:rFonts w:eastAsia="Arial Unicode MS"/>
              </w:rPr>
              <w:t>”</w:t>
            </w:r>
            <w:r w:rsidR="008D614A" w:rsidRPr="005B5418">
              <w:rPr>
                <w:rFonts w:eastAsia="Arial Unicode MS"/>
              </w:rPr>
              <w:t xml:space="preserve"> </w:t>
            </w:r>
            <w:r w:rsidRPr="005B5418">
              <w:rPr>
                <w:rFonts w:eastAsia="Arial Unicode MS"/>
              </w:rPr>
              <w:t>include adjustments to unexpended appropriations and cumulative results of operations?</w:t>
            </w:r>
            <w:r w:rsidR="00C83F52" w:rsidRPr="005B5418">
              <w:rPr>
                <w:rStyle w:val="FootnoteReference"/>
                <w:rFonts w:eastAsia="Arial Unicode MS"/>
              </w:rPr>
              <w:footnoteReference w:id="55"/>
            </w:r>
            <w:r w:rsidRPr="005B5418">
              <w:rPr>
                <w:rFonts w:eastAsia="Arial Unicode MS"/>
              </w:rPr>
              <w:t xml:space="preserve"> (A-136, section II.3.4.</w:t>
            </w:r>
            <w:r w:rsidR="003E18F5" w:rsidRPr="005B5418">
              <w:rPr>
                <w:rFonts w:eastAsia="Arial Unicode MS"/>
              </w:rPr>
              <w:t>4</w:t>
            </w:r>
            <w:r w:rsidRPr="005B5418">
              <w:rPr>
                <w:rFonts w:eastAsia="Arial Unicode MS"/>
              </w:rPr>
              <w:t>)</w:t>
            </w:r>
          </w:p>
        </w:tc>
        <w:tc>
          <w:tcPr>
            <w:tcW w:w="965" w:type="dxa"/>
          </w:tcPr>
          <w:p w14:paraId="14F07273" w14:textId="77777777" w:rsidR="00477D34" w:rsidRPr="005B5418" w:rsidRDefault="00477D34" w:rsidP="008848DA">
            <w:pPr>
              <w:pStyle w:val="Table-Cell-CenterBoldBefore6ptAfter6pt"/>
              <w:spacing w:before="60" w:after="60"/>
              <w:rPr>
                <w:rFonts w:cs="Arial"/>
              </w:rPr>
            </w:pPr>
          </w:p>
        </w:tc>
        <w:tc>
          <w:tcPr>
            <w:tcW w:w="3211" w:type="dxa"/>
          </w:tcPr>
          <w:p w14:paraId="67635A60" w14:textId="77777777" w:rsidR="00477D34" w:rsidRPr="005B5418" w:rsidRDefault="00477D34" w:rsidP="008848DA">
            <w:pPr>
              <w:spacing w:before="60" w:after="60" w:line="240" w:lineRule="auto"/>
              <w:rPr>
                <w:rFonts w:cs="Arial"/>
              </w:rPr>
            </w:pPr>
          </w:p>
        </w:tc>
      </w:tr>
      <w:tr w:rsidR="00477D34" w:rsidRPr="005B5418" w14:paraId="730D3DC6" w14:textId="77777777" w:rsidTr="006504B9">
        <w:trPr>
          <w:cantSplit/>
          <w:trHeight w:val="1232"/>
        </w:trPr>
        <w:tc>
          <w:tcPr>
            <w:tcW w:w="5400" w:type="dxa"/>
          </w:tcPr>
          <w:p w14:paraId="2E59D245" w14:textId="730EC9D8" w:rsidR="00477D34" w:rsidRPr="005B5418" w:rsidRDefault="00477D34" w:rsidP="00343610">
            <w:pPr>
              <w:pStyle w:val="FAM-Table-outline"/>
              <w:widowControl/>
              <w:numPr>
                <w:ilvl w:val="0"/>
                <w:numId w:val="9"/>
              </w:numPr>
              <w:adjustRightInd/>
              <w:spacing w:line="240" w:lineRule="auto"/>
              <w:textAlignment w:val="auto"/>
              <w:rPr>
                <w:rFonts w:cs="Arial"/>
              </w:rPr>
            </w:pPr>
            <w:r w:rsidRPr="005B5418">
              <w:rPr>
                <w:rFonts w:eastAsia="Arial Unicode MS"/>
              </w:rPr>
              <w:t xml:space="preserve">Are </w:t>
            </w:r>
            <w:r w:rsidR="00D975FB" w:rsidRPr="005B5418">
              <w:rPr>
                <w:rFonts w:eastAsia="Arial Unicode MS"/>
              </w:rPr>
              <w:t>“a</w:t>
            </w:r>
            <w:r w:rsidRPr="005B5418">
              <w:rPr>
                <w:rFonts w:eastAsia="Arial Unicode MS"/>
              </w:rPr>
              <w:t>ppropriations use</w:t>
            </w:r>
            <w:r w:rsidR="00D975FB" w:rsidRPr="005B5418">
              <w:rPr>
                <w:rFonts w:eastAsia="Arial Unicode MS"/>
              </w:rPr>
              <w:t>d”</w:t>
            </w:r>
            <w:r w:rsidRPr="005B5418">
              <w:rPr>
                <w:rFonts w:eastAsia="Arial Unicode MS"/>
              </w:rPr>
              <w:t xml:space="preserve"> recognized as a financing source when goods and services are received or when benefits and grants are provided?</w:t>
            </w:r>
            <w:r w:rsidRPr="005B5418">
              <w:rPr>
                <w:rStyle w:val="FootnoteReference"/>
                <w:rFonts w:eastAsia="Arial Unicode MS"/>
              </w:rPr>
              <w:footnoteReference w:id="56"/>
            </w:r>
            <w:r w:rsidRPr="005B5418">
              <w:rPr>
                <w:rFonts w:eastAsia="Arial Unicode MS"/>
              </w:rPr>
              <w:t xml:space="preserve"> (SFFAS 7, par</w:t>
            </w:r>
            <w:r w:rsidR="006F7109" w:rsidRPr="005B5418">
              <w:rPr>
                <w:rFonts w:eastAsia="Arial Unicode MS"/>
              </w:rPr>
              <w:t>a</w:t>
            </w:r>
            <w:r w:rsidRPr="005B5418">
              <w:rPr>
                <w:rFonts w:eastAsia="Arial Unicode MS"/>
              </w:rPr>
              <w:t>. 72)</w:t>
            </w:r>
          </w:p>
        </w:tc>
        <w:tc>
          <w:tcPr>
            <w:tcW w:w="965" w:type="dxa"/>
          </w:tcPr>
          <w:p w14:paraId="46E474E9" w14:textId="77777777" w:rsidR="00477D34" w:rsidRPr="005B5418" w:rsidRDefault="00477D34" w:rsidP="008848DA">
            <w:pPr>
              <w:pStyle w:val="Table-Cell-CenterBoldBefore6ptAfter6pt"/>
              <w:spacing w:before="60" w:after="60"/>
              <w:rPr>
                <w:rFonts w:cs="Arial"/>
              </w:rPr>
            </w:pPr>
          </w:p>
        </w:tc>
        <w:tc>
          <w:tcPr>
            <w:tcW w:w="3211" w:type="dxa"/>
          </w:tcPr>
          <w:p w14:paraId="4565F24D" w14:textId="77777777" w:rsidR="00477D34" w:rsidRPr="005B5418" w:rsidRDefault="00477D34" w:rsidP="008848DA">
            <w:pPr>
              <w:spacing w:before="60" w:after="60" w:line="240" w:lineRule="auto"/>
              <w:rPr>
                <w:rFonts w:cs="Arial"/>
              </w:rPr>
            </w:pPr>
          </w:p>
        </w:tc>
      </w:tr>
      <w:tr w:rsidR="00477D34" w:rsidRPr="005B5418" w14:paraId="000B7CB3" w14:textId="77777777" w:rsidTr="006504B9">
        <w:trPr>
          <w:cantSplit/>
          <w:trHeight w:val="1502"/>
        </w:trPr>
        <w:tc>
          <w:tcPr>
            <w:tcW w:w="5400" w:type="dxa"/>
          </w:tcPr>
          <w:p w14:paraId="5E07D1E9" w14:textId="594D36A9" w:rsidR="00477D34" w:rsidRPr="005B5418" w:rsidRDefault="00477D34" w:rsidP="003E18F5">
            <w:pPr>
              <w:pStyle w:val="FAM-Table-outline"/>
              <w:widowControl/>
              <w:numPr>
                <w:ilvl w:val="0"/>
                <w:numId w:val="9"/>
              </w:numPr>
              <w:adjustRightInd/>
              <w:spacing w:line="240" w:lineRule="auto"/>
              <w:textAlignment w:val="auto"/>
              <w:rPr>
                <w:rFonts w:cs="Arial"/>
              </w:rPr>
            </w:pPr>
            <w:r w:rsidRPr="005B5418">
              <w:rPr>
                <w:rFonts w:eastAsia="Arial Unicode MS"/>
              </w:rPr>
              <w:t>Is the amount of appropriations used subtracted from unexpended appropriations and added to cumulative results of operations for a net zero effect on net position as a whole? (A-136, section II.3.4.</w:t>
            </w:r>
            <w:r w:rsidR="003E18F5" w:rsidRPr="005B5418">
              <w:rPr>
                <w:rFonts w:eastAsia="Arial Unicode MS"/>
              </w:rPr>
              <w:t>4</w:t>
            </w:r>
            <w:r w:rsidRPr="005B5418">
              <w:rPr>
                <w:rFonts w:eastAsia="Arial Unicode MS"/>
              </w:rPr>
              <w:t>)</w:t>
            </w:r>
          </w:p>
        </w:tc>
        <w:tc>
          <w:tcPr>
            <w:tcW w:w="965" w:type="dxa"/>
          </w:tcPr>
          <w:p w14:paraId="6D0CB095" w14:textId="77777777" w:rsidR="00477D34" w:rsidRPr="005B5418" w:rsidRDefault="00477D34" w:rsidP="008848DA">
            <w:pPr>
              <w:pStyle w:val="Table-Cell-CenterBoldBefore6ptAfter6pt"/>
              <w:spacing w:before="60" w:after="60"/>
              <w:rPr>
                <w:rFonts w:cs="Arial"/>
              </w:rPr>
            </w:pPr>
          </w:p>
        </w:tc>
        <w:tc>
          <w:tcPr>
            <w:tcW w:w="3211" w:type="dxa"/>
          </w:tcPr>
          <w:p w14:paraId="1ADF3546" w14:textId="77777777" w:rsidR="00477D34" w:rsidRPr="005B5418" w:rsidRDefault="00477D34" w:rsidP="008848DA">
            <w:pPr>
              <w:spacing w:before="60" w:after="60" w:line="240" w:lineRule="auto"/>
              <w:rPr>
                <w:rFonts w:cs="Arial"/>
              </w:rPr>
            </w:pPr>
          </w:p>
        </w:tc>
      </w:tr>
      <w:tr w:rsidR="00477D34" w:rsidRPr="005B5418" w14:paraId="1AF2C30D" w14:textId="77777777" w:rsidTr="00655F41">
        <w:trPr>
          <w:cantSplit/>
          <w:trHeight w:val="1304"/>
        </w:trPr>
        <w:tc>
          <w:tcPr>
            <w:tcW w:w="5400" w:type="dxa"/>
          </w:tcPr>
          <w:p w14:paraId="53BB9054" w14:textId="37CFD4AC" w:rsidR="00477D34" w:rsidRPr="005B5418" w:rsidRDefault="00477D34" w:rsidP="007B5405">
            <w:pPr>
              <w:pStyle w:val="FAM-Table-outline"/>
              <w:numPr>
                <w:ilvl w:val="0"/>
                <w:numId w:val="1"/>
              </w:numPr>
              <w:spacing w:line="240" w:lineRule="auto"/>
              <w:rPr>
                <w:rFonts w:eastAsia="Arial Unicode MS"/>
              </w:rPr>
            </w:pPr>
            <w:r w:rsidRPr="005B5418">
              <w:rPr>
                <w:rFonts w:eastAsia="Arial Unicode MS"/>
              </w:rPr>
              <w:t>Do “appropriations use</w:t>
            </w:r>
            <w:r w:rsidR="00E15A3F" w:rsidRPr="005B5418">
              <w:rPr>
                <w:rFonts w:eastAsia="Arial Unicode MS"/>
              </w:rPr>
              <w:t>d”</w:t>
            </w:r>
            <w:r w:rsidRPr="005B5418">
              <w:rPr>
                <w:rStyle w:val="FootnoteReference"/>
                <w:rFonts w:eastAsia="Arial Unicode MS" w:cs="Arial"/>
                <w:szCs w:val="22"/>
              </w:rPr>
              <w:footnoteReference w:id="57"/>
            </w:r>
            <w:r w:rsidR="00E15A3F" w:rsidRPr="005B5418">
              <w:rPr>
                <w:rFonts w:eastAsia="Arial Unicode MS"/>
              </w:rPr>
              <w:t xml:space="preserve"> </w:t>
            </w:r>
            <w:r w:rsidRPr="005B5418">
              <w:rPr>
                <w:rFonts w:eastAsia="Arial Unicode MS"/>
              </w:rPr>
              <w:t>exclude</w:t>
            </w:r>
          </w:p>
          <w:p w14:paraId="5D9CD449" w14:textId="43903A5C" w:rsidR="00477D34" w:rsidRPr="005B5418" w:rsidRDefault="00477D34" w:rsidP="005425ED">
            <w:pPr>
              <w:pStyle w:val="FAM-Table-outline2"/>
              <w:spacing w:line="240" w:lineRule="auto"/>
              <w:ind w:left="1140" w:hanging="443"/>
              <w:rPr>
                <w:rFonts w:eastAsia="Arial Unicode MS"/>
              </w:rPr>
            </w:pPr>
            <w:r w:rsidRPr="005B5418">
              <w:rPr>
                <w:rFonts w:eastAsia="Arial Unicode MS"/>
              </w:rPr>
              <w:t>undelivered orders and</w:t>
            </w:r>
          </w:p>
          <w:p w14:paraId="6488DFF7" w14:textId="7FB926B2" w:rsidR="00477D34" w:rsidRPr="005B5418" w:rsidRDefault="00477D34" w:rsidP="005425ED">
            <w:pPr>
              <w:pStyle w:val="FAM-Table-outline2"/>
              <w:spacing w:line="240" w:lineRule="auto"/>
              <w:ind w:left="1140" w:hanging="443"/>
              <w:rPr>
                <w:rFonts w:eastAsia="Arial Unicode MS"/>
              </w:rPr>
            </w:pPr>
            <w:r w:rsidRPr="005B5418">
              <w:rPr>
                <w:rFonts w:eastAsia="Arial Unicode MS"/>
              </w:rPr>
              <w:t>unobligated appropriations? (A-136, section II.3.4.</w:t>
            </w:r>
            <w:r w:rsidR="00C46A8C" w:rsidRPr="005B5418">
              <w:rPr>
                <w:rFonts w:eastAsia="Arial Unicode MS"/>
              </w:rPr>
              <w:t>4</w:t>
            </w:r>
            <w:r w:rsidRPr="005B5418">
              <w:rPr>
                <w:rFonts w:eastAsia="Arial Unicode MS"/>
              </w:rPr>
              <w:t>)</w:t>
            </w:r>
          </w:p>
        </w:tc>
        <w:tc>
          <w:tcPr>
            <w:tcW w:w="965" w:type="dxa"/>
          </w:tcPr>
          <w:p w14:paraId="7204F2B3" w14:textId="77777777" w:rsidR="00477D34" w:rsidRPr="005B5418" w:rsidRDefault="00477D34" w:rsidP="008848DA">
            <w:pPr>
              <w:pStyle w:val="Table-Cell-CenterBoldBefore6ptAfter6pt"/>
              <w:spacing w:before="60" w:after="60"/>
              <w:rPr>
                <w:rFonts w:cs="Arial"/>
              </w:rPr>
            </w:pPr>
          </w:p>
        </w:tc>
        <w:tc>
          <w:tcPr>
            <w:tcW w:w="3211" w:type="dxa"/>
          </w:tcPr>
          <w:p w14:paraId="42DFB36A" w14:textId="77777777" w:rsidR="00477D34" w:rsidRPr="005B5418" w:rsidRDefault="00477D34" w:rsidP="008848DA">
            <w:pPr>
              <w:spacing w:before="60" w:after="60" w:line="240" w:lineRule="auto"/>
              <w:rPr>
                <w:rFonts w:cs="Arial"/>
              </w:rPr>
            </w:pPr>
          </w:p>
        </w:tc>
      </w:tr>
      <w:tr w:rsidR="00477D34" w:rsidRPr="005B5418" w14:paraId="223E1BD4" w14:textId="77777777" w:rsidTr="006504B9">
        <w:trPr>
          <w:cantSplit/>
          <w:trHeight w:val="1250"/>
        </w:trPr>
        <w:tc>
          <w:tcPr>
            <w:tcW w:w="5400" w:type="dxa"/>
          </w:tcPr>
          <w:p w14:paraId="6E317F85" w14:textId="401716D3" w:rsidR="00477D34" w:rsidRPr="005B5418" w:rsidRDefault="00477D34" w:rsidP="00343610">
            <w:pPr>
              <w:pStyle w:val="FAM-Table-outline"/>
              <w:widowControl/>
              <w:numPr>
                <w:ilvl w:val="0"/>
                <w:numId w:val="9"/>
              </w:numPr>
              <w:adjustRightInd/>
              <w:spacing w:line="240" w:lineRule="auto"/>
              <w:textAlignment w:val="auto"/>
              <w:rPr>
                <w:rFonts w:cs="Arial"/>
              </w:rPr>
            </w:pPr>
            <w:r w:rsidRPr="005B5418">
              <w:rPr>
                <w:rFonts w:eastAsia="Arial Unicode MS"/>
              </w:rPr>
              <w:t>Is nonexchange revenue recognized by the recipient entity as a financing source (and not as a deduction in determining the net cost of operations)? (SFFAS 7, par</w:t>
            </w:r>
            <w:r w:rsidR="00315541" w:rsidRPr="005B5418">
              <w:rPr>
                <w:rFonts w:eastAsia="Arial Unicode MS"/>
              </w:rPr>
              <w:t>a</w:t>
            </w:r>
            <w:r w:rsidRPr="005B5418">
              <w:rPr>
                <w:rFonts w:eastAsia="Arial Unicode MS"/>
              </w:rPr>
              <w:t>. 60)</w:t>
            </w:r>
          </w:p>
        </w:tc>
        <w:tc>
          <w:tcPr>
            <w:tcW w:w="965" w:type="dxa"/>
          </w:tcPr>
          <w:p w14:paraId="7BF5FB30" w14:textId="77777777" w:rsidR="00477D34" w:rsidRPr="005B5418" w:rsidRDefault="00477D34" w:rsidP="008848DA">
            <w:pPr>
              <w:pStyle w:val="Table-Cell-CenterBoldBefore6ptAfter6pt"/>
              <w:spacing w:before="60" w:after="60"/>
              <w:rPr>
                <w:rFonts w:cs="Arial"/>
              </w:rPr>
            </w:pPr>
          </w:p>
        </w:tc>
        <w:tc>
          <w:tcPr>
            <w:tcW w:w="3211" w:type="dxa"/>
          </w:tcPr>
          <w:p w14:paraId="26B2539B" w14:textId="77777777" w:rsidR="00477D34" w:rsidRPr="005B5418" w:rsidRDefault="00477D34" w:rsidP="008848DA">
            <w:pPr>
              <w:spacing w:before="60" w:after="60" w:line="240" w:lineRule="auto"/>
              <w:rPr>
                <w:rFonts w:cs="Arial"/>
              </w:rPr>
            </w:pPr>
          </w:p>
        </w:tc>
      </w:tr>
      <w:tr w:rsidR="00477D34" w:rsidRPr="005B5418" w14:paraId="540F3AA1" w14:textId="77777777" w:rsidTr="006504B9">
        <w:trPr>
          <w:cantSplit/>
          <w:trHeight w:val="980"/>
        </w:trPr>
        <w:tc>
          <w:tcPr>
            <w:tcW w:w="5400" w:type="dxa"/>
          </w:tcPr>
          <w:p w14:paraId="43BE6889" w14:textId="4EA1BAAF" w:rsidR="00477D34" w:rsidRPr="005B5418" w:rsidRDefault="00477D34" w:rsidP="00343610">
            <w:pPr>
              <w:pStyle w:val="FAM-Table-outline"/>
              <w:widowControl/>
              <w:numPr>
                <w:ilvl w:val="0"/>
                <w:numId w:val="9"/>
              </w:numPr>
              <w:adjustRightInd/>
              <w:spacing w:line="240" w:lineRule="auto"/>
              <w:textAlignment w:val="auto"/>
              <w:rPr>
                <w:rFonts w:cs="Arial"/>
              </w:rPr>
            </w:pPr>
            <w:r w:rsidRPr="005B5418">
              <w:rPr>
                <w:rFonts w:eastAsia="Arial Unicode MS"/>
              </w:rPr>
              <w:lastRenderedPageBreak/>
              <w:t>Does the entity recognize nonexchange revenues, such as taxes, if legally entitled to the revenue? (SFFAS 7, par</w:t>
            </w:r>
            <w:r w:rsidR="00315541" w:rsidRPr="005B5418">
              <w:rPr>
                <w:rFonts w:eastAsia="Arial Unicode MS"/>
              </w:rPr>
              <w:t>as</w:t>
            </w:r>
            <w:r w:rsidRPr="005B5418">
              <w:rPr>
                <w:rFonts w:eastAsia="Arial Unicode MS"/>
              </w:rPr>
              <w:t>. 48</w:t>
            </w:r>
            <w:r w:rsidR="00315541" w:rsidRPr="005B5418">
              <w:rPr>
                <w:rFonts w:eastAsia="Arial Unicode MS"/>
              </w:rPr>
              <w:t>–</w:t>
            </w:r>
            <w:r w:rsidRPr="005B5418">
              <w:rPr>
                <w:rFonts w:eastAsia="Arial Unicode MS"/>
              </w:rPr>
              <w:t>49)</w:t>
            </w:r>
          </w:p>
        </w:tc>
        <w:tc>
          <w:tcPr>
            <w:tcW w:w="965" w:type="dxa"/>
          </w:tcPr>
          <w:p w14:paraId="7ABD2569" w14:textId="77777777" w:rsidR="00477D34" w:rsidRPr="005B5418" w:rsidRDefault="00477D34" w:rsidP="008848DA">
            <w:pPr>
              <w:pStyle w:val="Table-Cell-CenterBoldBefore6ptAfter6pt"/>
              <w:spacing w:before="60" w:after="60"/>
              <w:rPr>
                <w:rFonts w:cs="Arial"/>
              </w:rPr>
            </w:pPr>
          </w:p>
        </w:tc>
        <w:tc>
          <w:tcPr>
            <w:tcW w:w="3211" w:type="dxa"/>
          </w:tcPr>
          <w:p w14:paraId="45511E96" w14:textId="77777777" w:rsidR="00477D34" w:rsidRPr="005B5418" w:rsidRDefault="00477D34" w:rsidP="008848DA">
            <w:pPr>
              <w:spacing w:before="60" w:after="60" w:line="240" w:lineRule="auto"/>
              <w:rPr>
                <w:rFonts w:cs="Arial"/>
              </w:rPr>
            </w:pPr>
          </w:p>
        </w:tc>
      </w:tr>
      <w:tr w:rsidR="00477D34" w:rsidRPr="005B5418" w14:paraId="54354EF6" w14:textId="77777777" w:rsidTr="00E162E0">
        <w:trPr>
          <w:cantSplit/>
          <w:trHeight w:val="2160"/>
        </w:trPr>
        <w:tc>
          <w:tcPr>
            <w:tcW w:w="5400" w:type="dxa"/>
          </w:tcPr>
          <w:p w14:paraId="67492008" w14:textId="40CBF551" w:rsidR="00477D34" w:rsidRPr="005B5418" w:rsidRDefault="00477D34" w:rsidP="007B5405">
            <w:pPr>
              <w:pStyle w:val="FAM-Table-outline"/>
              <w:numPr>
                <w:ilvl w:val="0"/>
                <w:numId w:val="1"/>
              </w:numPr>
              <w:spacing w:line="240" w:lineRule="auto"/>
              <w:rPr>
                <w:rFonts w:eastAsia="Arial Unicode MS"/>
              </w:rPr>
            </w:pPr>
            <w:r w:rsidRPr="005B5418">
              <w:rPr>
                <w:rFonts w:eastAsia="Arial Unicode MS"/>
              </w:rPr>
              <w:t>Is nonexchange revenue recognized when the governmen</w:t>
            </w:r>
            <w:r w:rsidR="003655F3" w:rsidRPr="005B5418">
              <w:rPr>
                <w:rFonts w:eastAsia="Arial Unicode MS"/>
              </w:rPr>
              <w:t>t’s</w:t>
            </w:r>
            <w:r w:rsidRPr="005B5418">
              <w:rPr>
                <w:rFonts w:eastAsia="Arial Unicode MS"/>
              </w:rPr>
              <w:t xml:space="preserve"> claim to resources can be characterized as </w:t>
            </w:r>
          </w:p>
          <w:p w14:paraId="7B5EC22C" w14:textId="77777777" w:rsidR="00477D34" w:rsidRPr="005B5418" w:rsidRDefault="00477D34" w:rsidP="005425ED">
            <w:pPr>
              <w:pStyle w:val="FAM-Table-outline2"/>
              <w:spacing w:line="240" w:lineRule="auto"/>
              <w:ind w:left="1140" w:hanging="443"/>
              <w:rPr>
                <w:rFonts w:eastAsia="Arial Unicode MS"/>
              </w:rPr>
            </w:pPr>
            <w:r w:rsidRPr="005B5418">
              <w:rPr>
                <w:rFonts w:eastAsia="Arial Unicode MS"/>
              </w:rPr>
              <w:t>specifically identifiable,</w:t>
            </w:r>
          </w:p>
          <w:p w14:paraId="7D4C0811" w14:textId="77777777" w:rsidR="00F45BCF" w:rsidRPr="005B5418" w:rsidRDefault="00477D34" w:rsidP="005425ED">
            <w:pPr>
              <w:pStyle w:val="FAM-Table-outline2"/>
              <w:spacing w:line="240" w:lineRule="auto"/>
              <w:ind w:left="1140" w:hanging="443"/>
              <w:rPr>
                <w:rFonts w:eastAsia="Arial Unicode MS"/>
              </w:rPr>
            </w:pPr>
            <w:r w:rsidRPr="005B5418">
              <w:rPr>
                <w:rFonts w:eastAsia="Arial Unicode MS"/>
              </w:rPr>
              <w:t>legally enforceable,</w:t>
            </w:r>
          </w:p>
          <w:p w14:paraId="68DE7E91" w14:textId="017DA4C6" w:rsidR="00477D34" w:rsidRPr="005B5418" w:rsidRDefault="00477D34" w:rsidP="005425ED">
            <w:pPr>
              <w:pStyle w:val="FAM-Table-outline2"/>
              <w:spacing w:line="240" w:lineRule="auto"/>
              <w:ind w:left="1140" w:hanging="443"/>
              <w:rPr>
                <w:rFonts w:eastAsia="Arial Unicode MS"/>
              </w:rPr>
            </w:pPr>
            <w:r w:rsidRPr="005B5418">
              <w:rPr>
                <w:rFonts w:eastAsia="Arial Unicode MS"/>
              </w:rPr>
              <w:t>reasonably estimable and more likely than not collect</w:t>
            </w:r>
            <w:r w:rsidR="003655F3" w:rsidRPr="005B5418">
              <w:rPr>
                <w:rFonts w:eastAsia="Arial Unicode MS"/>
              </w:rPr>
              <w:t>i</w:t>
            </w:r>
            <w:r w:rsidRPr="005B5418">
              <w:rPr>
                <w:rFonts w:eastAsia="Arial Unicode MS"/>
              </w:rPr>
              <w:t>ble? (SFFAS 7, par</w:t>
            </w:r>
            <w:r w:rsidR="003655F3" w:rsidRPr="005B5418">
              <w:rPr>
                <w:rFonts w:eastAsia="Arial Unicode MS"/>
              </w:rPr>
              <w:t>a</w:t>
            </w:r>
            <w:r w:rsidRPr="005B5418">
              <w:rPr>
                <w:rFonts w:eastAsia="Arial Unicode MS"/>
              </w:rPr>
              <w:t>. 48)</w:t>
            </w:r>
          </w:p>
        </w:tc>
        <w:tc>
          <w:tcPr>
            <w:tcW w:w="965" w:type="dxa"/>
          </w:tcPr>
          <w:p w14:paraId="3AAA6D66" w14:textId="77777777" w:rsidR="00477D34" w:rsidRPr="005B5418" w:rsidRDefault="00477D34" w:rsidP="008848DA">
            <w:pPr>
              <w:pStyle w:val="Table-Cell-CenterBoldBefore6ptAfter6pt"/>
              <w:spacing w:before="60" w:after="60"/>
              <w:rPr>
                <w:rFonts w:cs="Arial"/>
              </w:rPr>
            </w:pPr>
          </w:p>
        </w:tc>
        <w:tc>
          <w:tcPr>
            <w:tcW w:w="3211" w:type="dxa"/>
          </w:tcPr>
          <w:p w14:paraId="3733AB09" w14:textId="77777777" w:rsidR="00477D34" w:rsidRPr="005B5418" w:rsidRDefault="00477D34" w:rsidP="008848DA">
            <w:pPr>
              <w:spacing w:before="60" w:after="60" w:line="240" w:lineRule="auto"/>
              <w:rPr>
                <w:rFonts w:cs="Arial"/>
              </w:rPr>
            </w:pPr>
          </w:p>
        </w:tc>
      </w:tr>
      <w:tr w:rsidR="00477D34" w:rsidRPr="005B5418" w14:paraId="7EE3467D" w14:textId="77777777" w:rsidTr="00E162E0">
        <w:trPr>
          <w:cantSplit/>
          <w:trHeight w:val="2160"/>
        </w:trPr>
        <w:tc>
          <w:tcPr>
            <w:tcW w:w="5400" w:type="dxa"/>
          </w:tcPr>
          <w:p w14:paraId="1C231347" w14:textId="77777777" w:rsidR="00477D34" w:rsidRPr="005B5418" w:rsidRDefault="00477D34" w:rsidP="007B5405">
            <w:pPr>
              <w:pStyle w:val="FAM-Table-outline"/>
              <w:numPr>
                <w:ilvl w:val="0"/>
                <w:numId w:val="1"/>
              </w:numPr>
              <w:spacing w:line="240" w:lineRule="auto"/>
              <w:rPr>
                <w:rFonts w:eastAsia="Arial Unicode MS"/>
              </w:rPr>
            </w:pPr>
            <w:r w:rsidRPr="005B5418">
              <w:rPr>
                <w:rFonts w:eastAsia="Arial Unicode MS"/>
              </w:rPr>
              <w:t xml:space="preserve">Is revenue recognized by recipient entities the sum of </w:t>
            </w:r>
          </w:p>
          <w:p w14:paraId="08A75174" w14:textId="736C67CC" w:rsidR="00F45BCF" w:rsidRPr="005B5418" w:rsidRDefault="00477D34" w:rsidP="005425ED">
            <w:pPr>
              <w:pStyle w:val="FAM-Table-outline2"/>
              <w:spacing w:line="240" w:lineRule="auto"/>
              <w:ind w:left="1140" w:hanging="443"/>
              <w:rPr>
                <w:rFonts w:eastAsia="Arial Unicode MS"/>
              </w:rPr>
            </w:pPr>
            <w:r w:rsidRPr="005B5418">
              <w:rPr>
                <w:rFonts w:eastAsia="Arial Unicode MS"/>
              </w:rPr>
              <w:t>cash or cash equivalents transferred to them by the collecting entities and</w:t>
            </w:r>
          </w:p>
          <w:p w14:paraId="15EC8DA2" w14:textId="7335E6D1" w:rsidR="00477D34" w:rsidRPr="005B5418" w:rsidRDefault="00477D34" w:rsidP="005425ED">
            <w:pPr>
              <w:pStyle w:val="FAM-Table-outline2"/>
              <w:spacing w:line="240" w:lineRule="auto"/>
              <w:ind w:left="1140" w:hanging="443"/>
              <w:rPr>
                <w:rFonts w:eastAsia="Arial Unicode MS"/>
              </w:rPr>
            </w:pPr>
            <w:r w:rsidRPr="005B5418">
              <w:rPr>
                <w:rFonts w:eastAsia="Arial Unicode MS"/>
              </w:rPr>
              <w:t xml:space="preserve">the net change in any related inter-entity balances between the collecting and the receiving entities (i.e., the amount to be transferred to the recipient entities from the collecting </w:t>
            </w:r>
            <w:r w:rsidR="00A37542" w:rsidRPr="005B5418">
              <w:rPr>
                <w:rFonts w:eastAsia="Arial Unicode MS"/>
              </w:rPr>
              <w:t xml:space="preserve">entities </w:t>
            </w:r>
            <w:r w:rsidRPr="005B5418">
              <w:rPr>
                <w:rFonts w:eastAsia="Arial Unicode MS"/>
              </w:rPr>
              <w:t>or vice versa)? (SFFAS 7, par</w:t>
            </w:r>
            <w:r w:rsidR="00A37542" w:rsidRPr="005B5418">
              <w:rPr>
                <w:rFonts w:eastAsia="Arial Unicode MS"/>
              </w:rPr>
              <w:t>a</w:t>
            </w:r>
            <w:r w:rsidRPr="005B5418">
              <w:rPr>
                <w:rFonts w:eastAsia="Arial Unicode MS"/>
              </w:rPr>
              <w:t>. 60</w:t>
            </w:r>
            <w:r w:rsidR="00A37542" w:rsidRPr="005B5418">
              <w:rPr>
                <w:rFonts w:eastAsia="Arial Unicode MS"/>
              </w:rPr>
              <w:t>)</w:t>
            </w:r>
            <w:r w:rsidRPr="00580CC4">
              <w:rPr>
                <w:rStyle w:val="FootnoteReference"/>
                <w:rFonts w:eastAsia="Arial Unicode MS"/>
              </w:rPr>
              <w:footnoteReference w:id="58"/>
            </w:r>
          </w:p>
        </w:tc>
        <w:tc>
          <w:tcPr>
            <w:tcW w:w="965" w:type="dxa"/>
          </w:tcPr>
          <w:p w14:paraId="2F024610" w14:textId="77777777" w:rsidR="00477D34" w:rsidRPr="005B5418" w:rsidRDefault="00477D34" w:rsidP="008848DA">
            <w:pPr>
              <w:pStyle w:val="Table-Cell-CenterBoldBefore6ptAfter6pt"/>
              <w:spacing w:before="60" w:after="60"/>
              <w:rPr>
                <w:rFonts w:cs="Arial"/>
              </w:rPr>
            </w:pPr>
          </w:p>
        </w:tc>
        <w:tc>
          <w:tcPr>
            <w:tcW w:w="3211" w:type="dxa"/>
          </w:tcPr>
          <w:p w14:paraId="05468EDC" w14:textId="77777777" w:rsidR="00477D34" w:rsidRPr="005B5418" w:rsidRDefault="00477D34" w:rsidP="008848DA">
            <w:pPr>
              <w:spacing w:before="60" w:after="60" w:line="240" w:lineRule="auto"/>
              <w:rPr>
                <w:rFonts w:cs="Arial"/>
              </w:rPr>
            </w:pPr>
          </w:p>
        </w:tc>
      </w:tr>
      <w:tr w:rsidR="00F45BCF" w:rsidRPr="005B5418" w14:paraId="3635A5B7" w14:textId="77777777" w:rsidTr="00A35B88">
        <w:trPr>
          <w:cantSplit/>
          <w:trHeight w:val="1295"/>
        </w:trPr>
        <w:tc>
          <w:tcPr>
            <w:tcW w:w="5400" w:type="dxa"/>
          </w:tcPr>
          <w:p w14:paraId="70142EEE" w14:textId="140CA751" w:rsidR="00F45BCF" w:rsidRPr="005B5418" w:rsidRDefault="00F45BCF" w:rsidP="00C46A8C">
            <w:pPr>
              <w:pStyle w:val="FAM-Table-outline"/>
              <w:widowControl/>
              <w:numPr>
                <w:ilvl w:val="0"/>
                <w:numId w:val="9"/>
              </w:numPr>
              <w:adjustRightInd/>
              <w:spacing w:line="240" w:lineRule="auto"/>
              <w:textAlignment w:val="auto"/>
              <w:rPr>
                <w:rFonts w:cs="Arial"/>
              </w:rPr>
            </w:pPr>
            <w:r w:rsidRPr="005B5418">
              <w:rPr>
                <w:rFonts w:eastAsia="Arial Unicode MS"/>
              </w:rPr>
              <w:t>Do “donations and forfeitures of cash and cash equivalents” include voluntary gifts and involuntary forfeitures of resources by non</w:t>
            </w:r>
            <w:r w:rsidR="005A3C17" w:rsidRPr="005B5418">
              <w:rPr>
                <w:rFonts w:eastAsia="Arial Unicode MS"/>
              </w:rPr>
              <w:t>-</w:t>
            </w:r>
            <w:r w:rsidRPr="005B5418">
              <w:rPr>
                <w:rFonts w:eastAsia="Arial Unicode MS"/>
              </w:rPr>
              <w:t>federal entities? (A-136, section II.3.4.</w:t>
            </w:r>
            <w:r w:rsidR="00C46A8C" w:rsidRPr="005B5418">
              <w:rPr>
                <w:rFonts w:eastAsia="Arial Unicode MS"/>
              </w:rPr>
              <w:t>4</w:t>
            </w:r>
            <w:r w:rsidRPr="005B5418">
              <w:rPr>
                <w:rFonts w:eastAsia="Arial Unicode MS"/>
              </w:rPr>
              <w:t>)</w:t>
            </w:r>
          </w:p>
        </w:tc>
        <w:tc>
          <w:tcPr>
            <w:tcW w:w="965" w:type="dxa"/>
          </w:tcPr>
          <w:p w14:paraId="515954AD" w14:textId="77777777" w:rsidR="00F45BCF" w:rsidRPr="005B5418" w:rsidRDefault="00F45BCF" w:rsidP="008848DA">
            <w:pPr>
              <w:pStyle w:val="Table-Cell-CenterBoldBefore6ptAfter6pt"/>
              <w:spacing w:before="60" w:after="60"/>
              <w:rPr>
                <w:rFonts w:cs="Arial"/>
              </w:rPr>
            </w:pPr>
          </w:p>
        </w:tc>
        <w:tc>
          <w:tcPr>
            <w:tcW w:w="3211" w:type="dxa"/>
          </w:tcPr>
          <w:p w14:paraId="6B124032" w14:textId="77777777" w:rsidR="00F45BCF" w:rsidRPr="005B5418" w:rsidRDefault="00F45BCF" w:rsidP="008848DA">
            <w:pPr>
              <w:spacing w:before="60" w:after="60" w:line="240" w:lineRule="auto"/>
              <w:rPr>
                <w:rFonts w:cs="Arial"/>
              </w:rPr>
            </w:pPr>
          </w:p>
        </w:tc>
      </w:tr>
      <w:tr w:rsidR="00F45BCF" w:rsidRPr="005B5418" w14:paraId="4E706372" w14:textId="77777777" w:rsidTr="0038293D">
        <w:trPr>
          <w:cantSplit/>
          <w:trHeight w:val="1511"/>
        </w:trPr>
        <w:tc>
          <w:tcPr>
            <w:tcW w:w="5400" w:type="dxa"/>
          </w:tcPr>
          <w:p w14:paraId="43233885" w14:textId="0AA8B0F2" w:rsidR="00F45BCF" w:rsidRPr="005B5418" w:rsidRDefault="00F45BCF" w:rsidP="006A462C">
            <w:pPr>
              <w:pStyle w:val="FAM-Table-outline"/>
              <w:widowControl/>
              <w:numPr>
                <w:ilvl w:val="0"/>
                <w:numId w:val="9"/>
              </w:numPr>
              <w:adjustRightInd/>
              <w:spacing w:line="240" w:lineRule="auto"/>
              <w:textAlignment w:val="auto"/>
              <w:rPr>
                <w:rFonts w:cs="Arial"/>
              </w:rPr>
            </w:pPr>
            <w:r w:rsidRPr="005B5418">
              <w:rPr>
                <w:rFonts w:eastAsia="Arial Unicode MS"/>
              </w:rPr>
              <w:t>Do “transfers-in/out without reimbursement</w:t>
            </w:r>
            <w:r w:rsidR="00405B74" w:rsidRPr="005B5418">
              <w:rPr>
                <w:rFonts w:eastAsia="Arial Unicode MS"/>
              </w:rPr>
              <w:br/>
            </w:r>
            <w:r w:rsidRPr="005B5418">
              <w:rPr>
                <w:rFonts w:eastAsia="Arial Unicode MS"/>
              </w:rPr>
              <w:t>”</w:t>
            </w:r>
            <w:r w:rsidR="00405B74" w:rsidRPr="005B5418">
              <w:rPr>
                <w:rFonts w:eastAsia="Arial Unicode MS"/>
              </w:rPr>
              <w:t xml:space="preserve"> </w:t>
            </w:r>
            <w:r w:rsidRPr="005B5418">
              <w:rPr>
                <w:rFonts w:eastAsia="Arial Unicode MS"/>
              </w:rPr>
              <w:t>include intragovernmental nonappropriated</w:t>
            </w:r>
            <w:r w:rsidR="00F54B4F" w:rsidRPr="005B5418">
              <w:rPr>
                <w:rFonts w:eastAsia="Arial Unicode MS"/>
              </w:rPr>
              <w:t xml:space="preserve"> balance transfers in or out during the current year?</w:t>
            </w:r>
            <w:r w:rsidRPr="005B5418">
              <w:rPr>
                <w:rStyle w:val="FootnoteReference"/>
                <w:rFonts w:eastAsia="Arial Unicode MS"/>
              </w:rPr>
              <w:footnoteReference w:id="59"/>
            </w:r>
            <w:r w:rsidRPr="005B5418">
              <w:rPr>
                <w:rFonts w:eastAsia="Arial Unicode MS"/>
              </w:rPr>
              <w:t xml:space="preserve"> (A-136, section II.3.4.</w:t>
            </w:r>
            <w:r w:rsidR="00C46A8C" w:rsidRPr="005B5418">
              <w:rPr>
                <w:rFonts w:eastAsia="Arial Unicode MS"/>
              </w:rPr>
              <w:t>4</w:t>
            </w:r>
            <w:r w:rsidRPr="005B5418">
              <w:rPr>
                <w:rFonts w:eastAsia="Arial Unicode MS"/>
              </w:rPr>
              <w:t>)</w:t>
            </w:r>
          </w:p>
        </w:tc>
        <w:tc>
          <w:tcPr>
            <w:tcW w:w="965" w:type="dxa"/>
          </w:tcPr>
          <w:p w14:paraId="393C1464" w14:textId="77777777" w:rsidR="00F45BCF" w:rsidRPr="005B5418" w:rsidRDefault="00F45BCF" w:rsidP="008848DA">
            <w:pPr>
              <w:pStyle w:val="Table-Cell-CenterBoldBefore6ptAfter6pt"/>
              <w:spacing w:before="60" w:after="60"/>
              <w:rPr>
                <w:rFonts w:cs="Arial"/>
              </w:rPr>
            </w:pPr>
          </w:p>
        </w:tc>
        <w:tc>
          <w:tcPr>
            <w:tcW w:w="3211" w:type="dxa"/>
          </w:tcPr>
          <w:p w14:paraId="50E72482" w14:textId="77777777" w:rsidR="00F45BCF" w:rsidRPr="005B5418" w:rsidRDefault="00F45BCF" w:rsidP="008848DA">
            <w:pPr>
              <w:spacing w:before="60" w:after="60" w:line="240" w:lineRule="auto"/>
              <w:rPr>
                <w:rFonts w:cs="Arial"/>
              </w:rPr>
            </w:pPr>
          </w:p>
        </w:tc>
      </w:tr>
      <w:tr w:rsidR="00F45BCF" w:rsidRPr="005B5418" w14:paraId="0E14DD48" w14:textId="77777777" w:rsidTr="00405B74">
        <w:trPr>
          <w:cantSplit/>
          <w:trHeight w:val="1088"/>
        </w:trPr>
        <w:tc>
          <w:tcPr>
            <w:tcW w:w="5400" w:type="dxa"/>
          </w:tcPr>
          <w:p w14:paraId="0D2E1BC3" w14:textId="4D1987D3" w:rsidR="00F45BCF" w:rsidRPr="005B5418" w:rsidRDefault="00F45BCF" w:rsidP="00C46A8C">
            <w:pPr>
              <w:pStyle w:val="FAM-Table-outline"/>
              <w:widowControl/>
              <w:numPr>
                <w:ilvl w:val="0"/>
                <w:numId w:val="9"/>
              </w:numPr>
              <w:adjustRightInd/>
              <w:spacing w:line="240" w:lineRule="auto"/>
              <w:textAlignment w:val="auto"/>
              <w:rPr>
                <w:rFonts w:cs="Arial"/>
              </w:rPr>
            </w:pPr>
            <w:r w:rsidRPr="005B5418">
              <w:rPr>
                <w:rFonts w:eastAsia="Arial Unicode MS"/>
              </w:rPr>
              <w:t>Do</w:t>
            </w:r>
            <w:r w:rsidR="001C4C75" w:rsidRPr="005B5418">
              <w:rPr>
                <w:rFonts w:eastAsia="Arial Unicode MS"/>
              </w:rPr>
              <w:t>es</w:t>
            </w:r>
            <w:r w:rsidRPr="005B5418">
              <w:rPr>
                <w:rFonts w:eastAsia="Arial Unicode MS"/>
              </w:rPr>
              <w:t xml:space="preserve"> “other” include financing sources that </w:t>
            </w:r>
            <w:r w:rsidR="00D3234D" w:rsidRPr="005B5418">
              <w:rPr>
                <w:rFonts w:eastAsia="Arial Unicode MS"/>
              </w:rPr>
              <w:t xml:space="preserve">are not classified elsewhere? </w:t>
            </w:r>
            <w:r w:rsidRPr="005B5418">
              <w:rPr>
                <w:rFonts w:eastAsia="Arial Unicode MS"/>
              </w:rPr>
              <w:t>(A-136, section II.3.4.</w:t>
            </w:r>
            <w:r w:rsidR="00C46A8C" w:rsidRPr="005B5418">
              <w:rPr>
                <w:rFonts w:eastAsia="Arial Unicode MS"/>
              </w:rPr>
              <w:t>4</w:t>
            </w:r>
            <w:r w:rsidRPr="005B5418">
              <w:rPr>
                <w:rFonts w:eastAsia="Arial Unicode MS"/>
              </w:rPr>
              <w:t>)</w:t>
            </w:r>
          </w:p>
        </w:tc>
        <w:tc>
          <w:tcPr>
            <w:tcW w:w="965" w:type="dxa"/>
          </w:tcPr>
          <w:p w14:paraId="3CEBCF52" w14:textId="77777777" w:rsidR="00F45BCF" w:rsidRPr="005B5418" w:rsidRDefault="00F45BCF" w:rsidP="008848DA">
            <w:pPr>
              <w:pStyle w:val="Table-Cell-CenterBoldBefore6ptAfter6pt"/>
              <w:spacing w:before="60" w:after="60"/>
              <w:rPr>
                <w:rFonts w:cs="Arial"/>
              </w:rPr>
            </w:pPr>
          </w:p>
        </w:tc>
        <w:tc>
          <w:tcPr>
            <w:tcW w:w="3211" w:type="dxa"/>
          </w:tcPr>
          <w:p w14:paraId="3D7D6191" w14:textId="77777777" w:rsidR="00F45BCF" w:rsidRPr="005B5418" w:rsidRDefault="00F45BCF" w:rsidP="008848DA">
            <w:pPr>
              <w:spacing w:before="60" w:after="60" w:line="240" w:lineRule="auto"/>
              <w:rPr>
                <w:rFonts w:cs="Arial"/>
              </w:rPr>
            </w:pPr>
          </w:p>
        </w:tc>
      </w:tr>
      <w:tr w:rsidR="009B7D92" w:rsidRPr="005B5418" w14:paraId="62C38C65" w14:textId="77777777" w:rsidTr="0038293D">
        <w:trPr>
          <w:cantSplit/>
          <w:trHeight w:val="1232"/>
        </w:trPr>
        <w:tc>
          <w:tcPr>
            <w:tcW w:w="5400" w:type="dxa"/>
          </w:tcPr>
          <w:p w14:paraId="5179D252" w14:textId="7E0483ED" w:rsidR="009B7D92" w:rsidRPr="005B5418" w:rsidRDefault="009B7D92" w:rsidP="00343610">
            <w:pPr>
              <w:pStyle w:val="FAM-Table-outline"/>
              <w:widowControl/>
              <w:numPr>
                <w:ilvl w:val="0"/>
                <w:numId w:val="9"/>
              </w:numPr>
              <w:adjustRightInd/>
              <w:spacing w:line="240" w:lineRule="auto"/>
              <w:textAlignment w:val="auto"/>
              <w:rPr>
                <w:rFonts w:cs="Arial"/>
              </w:rPr>
            </w:pPr>
            <w:r w:rsidRPr="005B5418">
              <w:rPr>
                <w:rFonts w:eastAsia="Arial Unicode MS" w:cs="Arial"/>
                <w:szCs w:val="22"/>
              </w:rPr>
              <w:lastRenderedPageBreak/>
              <w:t>Is revenue arising from donations of property measured at the estimated fair value of the contribution at the time of the donation? (SFFAS 6, par</w:t>
            </w:r>
            <w:r w:rsidR="00CB3D0A" w:rsidRPr="005B5418">
              <w:rPr>
                <w:rFonts w:eastAsia="Arial Unicode MS" w:cs="Arial"/>
                <w:szCs w:val="22"/>
              </w:rPr>
              <w:t>a</w:t>
            </w:r>
            <w:r w:rsidRPr="005B5418">
              <w:rPr>
                <w:rFonts w:eastAsia="Arial Unicode MS" w:cs="Arial"/>
                <w:szCs w:val="22"/>
              </w:rPr>
              <w:t>. 30; SFFAS 7, par</w:t>
            </w:r>
            <w:r w:rsidR="00CB3D0A" w:rsidRPr="005B5418">
              <w:rPr>
                <w:rFonts w:eastAsia="Arial Unicode MS" w:cs="Arial"/>
                <w:szCs w:val="22"/>
              </w:rPr>
              <w:t>a</w:t>
            </w:r>
            <w:r w:rsidRPr="005B5418">
              <w:rPr>
                <w:rFonts w:eastAsia="Arial Unicode MS" w:cs="Arial"/>
                <w:szCs w:val="22"/>
              </w:rPr>
              <w:t>. 62)</w:t>
            </w:r>
          </w:p>
        </w:tc>
        <w:tc>
          <w:tcPr>
            <w:tcW w:w="965" w:type="dxa"/>
          </w:tcPr>
          <w:p w14:paraId="49867259" w14:textId="77777777" w:rsidR="009B7D92" w:rsidRPr="005B5418" w:rsidRDefault="009B7D92" w:rsidP="008848DA">
            <w:pPr>
              <w:pStyle w:val="Table-Cell-CenterBoldBefore6ptAfter6pt"/>
              <w:spacing w:before="60" w:after="60"/>
              <w:rPr>
                <w:rFonts w:cs="Arial"/>
              </w:rPr>
            </w:pPr>
          </w:p>
        </w:tc>
        <w:tc>
          <w:tcPr>
            <w:tcW w:w="3211" w:type="dxa"/>
          </w:tcPr>
          <w:p w14:paraId="45DDA303" w14:textId="77777777" w:rsidR="009B7D92" w:rsidRPr="005B5418" w:rsidRDefault="009B7D92" w:rsidP="008848DA">
            <w:pPr>
              <w:spacing w:before="60" w:after="60" w:line="240" w:lineRule="auto"/>
              <w:rPr>
                <w:rFonts w:cs="Arial"/>
              </w:rPr>
            </w:pPr>
          </w:p>
        </w:tc>
      </w:tr>
      <w:tr w:rsidR="009B7D92" w:rsidRPr="005B5418" w14:paraId="1DC6EDB4" w14:textId="77777777" w:rsidTr="0038293D">
        <w:trPr>
          <w:cantSplit/>
          <w:trHeight w:val="1763"/>
        </w:trPr>
        <w:tc>
          <w:tcPr>
            <w:tcW w:w="5400" w:type="dxa"/>
          </w:tcPr>
          <w:p w14:paraId="02EDE486" w14:textId="0BF84E97" w:rsidR="009B7D92" w:rsidRPr="005B5418" w:rsidRDefault="009B7D92" w:rsidP="00343610">
            <w:pPr>
              <w:pStyle w:val="FAM-Table-outline"/>
              <w:widowControl/>
              <w:numPr>
                <w:ilvl w:val="0"/>
                <w:numId w:val="9"/>
              </w:numPr>
              <w:adjustRightInd/>
              <w:spacing w:line="240" w:lineRule="auto"/>
              <w:textAlignment w:val="auto"/>
              <w:rPr>
                <w:rFonts w:cs="Arial"/>
              </w:rPr>
            </w:pPr>
            <w:r w:rsidRPr="005B5418">
              <w:rPr>
                <w:rFonts w:eastAsia="Arial Unicode MS"/>
              </w:rPr>
              <w:t>Are transferred assets recorded at the book amount of the transferring entity, or if the receiving entity does not know the book amount, is the asset recorded at its estimated fair value as of the date of the transfer?</w:t>
            </w:r>
            <w:r w:rsidRPr="005B5418">
              <w:rPr>
                <w:rStyle w:val="FootnoteReference"/>
                <w:rFonts w:eastAsia="Arial Unicode MS" w:cs="Arial"/>
                <w:szCs w:val="22"/>
              </w:rPr>
              <w:footnoteReference w:id="60"/>
            </w:r>
            <w:r w:rsidRPr="005B5418">
              <w:rPr>
                <w:rFonts w:eastAsia="Arial Unicode MS"/>
              </w:rPr>
              <w:t xml:space="preserve"> (SFFAS 7, par</w:t>
            </w:r>
            <w:r w:rsidR="00CB3D0A" w:rsidRPr="005B5418">
              <w:rPr>
                <w:rFonts w:eastAsia="Arial Unicode MS"/>
              </w:rPr>
              <w:t>a</w:t>
            </w:r>
            <w:r w:rsidRPr="005B5418">
              <w:rPr>
                <w:rFonts w:eastAsia="Arial Unicode MS"/>
              </w:rPr>
              <w:t>. 74)</w:t>
            </w:r>
          </w:p>
        </w:tc>
        <w:tc>
          <w:tcPr>
            <w:tcW w:w="965" w:type="dxa"/>
          </w:tcPr>
          <w:p w14:paraId="7B649662" w14:textId="77777777" w:rsidR="009B7D92" w:rsidRPr="005B5418" w:rsidRDefault="009B7D92" w:rsidP="008848DA">
            <w:pPr>
              <w:pStyle w:val="Table-Cell-CenterBoldBefore6ptAfter6pt"/>
              <w:spacing w:before="60" w:after="60"/>
              <w:rPr>
                <w:rFonts w:cs="Arial"/>
              </w:rPr>
            </w:pPr>
          </w:p>
        </w:tc>
        <w:tc>
          <w:tcPr>
            <w:tcW w:w="3211" w:type="dxa"/>
          </w:tcPr>
          <w:p w14:paraId="5CEA2629" w14:textId="77777777" w:rsidR="009B7D92" w:rsidRPr="005B5418" w:rsidRDefault="009B7D92" w:rsidP="008848DA">
            <w:pPr>
              <w:spacing w:before="60" w:after="60" w:line="240" w:lineRule="auto"/>
              <w:rPr>
                <w:rFonts w:cs="Arial"/>
              </w:rPr>
            </w:pPr>
          </w:p>
        </w:tc>
      </w:tr>
      <w:tr w:rsidR="009B7D92" w:rsidRPr="005B5418" w14:paraId="4581A488" w14:textId="77777777" w:rsidTr="00E162E0">
        <w:trPr>
          <w:cantSplit/>
          <w:trHeight w:val="2160"/>
        </w:trPr>
        <w:tc>
          <w:tcPr>
            <w:tcW w:w="5400" w:type="dxa"/>
          </w:tcPr>
          <w:p w14:paraId="7399E110" w14:textId="7548106C" w:rsidR="009B7D92" w:rsidRPr="005B5418" w:rsidRDefault="009B7D92" w:rsidP="008848DA">
            <w:pPr>
              <w:pStyle w:val="FAM-Table-outline"/>
              <w:spacing w:line="240" w:lineRule="auto"/>
              <w:rPr>
                <w:rFonts w:eastAsia="Arial Unicode MS"/>
              </w:rPr>
            </w:pPr>
            <w:r w:rsidRPr="005B5418">
              <w:rPr>
                <w:rFonts w:eastAsia="Arial Unicode MS"/>
              </w:rPr>
              <w:t>When assets</w:t>
            </w:r>
            <w:r w:rsidR="00CB3D0A" w:rsidRPr="005B5418">
              <w:t xml:space="preserve"> </w:t>
            </w:r>
            <w:r w:rsidR="00CB3D0A" w:rsidRPr="005B5418">
              <w:rPr>
                <w:rFonts w:eastAsia="Arial Unicode MS"/>
              </w:rPr>
              <w:t>are transferred in or out by entities without reimbursement,</w:t>
            </w:r>
            <w:r w:rsidRPr="005B5418">
              <w:rPr>
                <w:rStyle w:val="FootnoteReference"/>
                <w:rFonts w:eastAsia="Arial Unicode MS" w:cs="Arial"/>
                <w:szCs w:val="22"/>
              </w:rPr>
              <w:footnoteReference w:id="61"/>
            </w:r>
            <w:r w:rsidRPr="005B5418">
              <w:rPr>
                <w:rFonts w:eastAsia="Arial Unicode MS"/>
              </w:rPr>
              <w:t xml:space="preserve"> </w:t>
            </w:r>
          </w:p>
          <w:p w14:paraId="715C185F" w14:textId="06144137" w:rsidR="009B7D92" w:rsidRPr="005B5418" w:rsidRDefault="009B7D92" w:rsidP="005425ED">
            <w:pPr>
              <w:pStyle w:val="FAM-Table-outline2"/>
              <w:spacing w:line="240" w:lineRule="auto"/>
              <w:ind w:left="1140" w:hanging="443"/>
            </w:pPr>
            <w:r w:rsidRPr="005B5418">
              <w:t xml:space="preserve">does the receiving entity recognize the transfer-in as an increase in financing sources in its </w:t>
            </w:r>
            <w:r w:rsidR="00C106C0" w:rsidRPr="005B5418">
              <w:t>SCNP</w:t>
            </w:r>
            <w:r w:rsidRPr="005B5418">
              <w:t xml:space="preserve"> and </w:t>
            </w:r>
          </w:p>
          <w:p w14:paraId="751FF490" w14:textId="3A8E40BA" w:rsidR="009B7D92" w:rsidRPr="005B5418" w:rsidRDefault="009B7D92" w:rsidP="005425ED">
            <w:pPr>
              <w:pStyle w:val="FAM-Table-outline2"/>
              <w:spacing w:line="240" w:lineRule="auto"/>
              <w:ind w:left="1140" w:hanging="443"/>
              <w:rPr>
                <w:rFonts w:eastAsia="Arial Unicode MS"/>
              </w:rPr>
            </w:pPr>
            <w:r w:rsidRPr="005B5418">
              <w:t xml:space="preserve">does the transferring entity recognize the transfer out as a decrease in financing sources in its </w:t>
            </w:r>
            <w:r w:rsidR="00CB3D0A" w:rsidRPr="005B5418">
              <w:t>SCNP</w:t>
            </w:r>
            <w:r w:rsidRPr="005B5418">
              <w:t>?</w:t>
            </w:r>
            <w:r w:rsidR="009067D2" w:rsidRPr="005B5418">
              <w:t xml:space="preserve"> </w:t>
            </w:r>
            <w:r w:rsidRPr="005B5418">
              <w:t>(SFFAS 7, par</w:t>
            </w:r>
            <w:r w:rsidR="00CB3D0A" w:rsidRPr="005B5418">
              <w:t>a</w:t>
            </w:r>
            <w:r w:rsidRPr="005B5418">
              <w:t>. 74)</w:t>
            </w:r>
          </w:p>
        </w:tc>
        <w:tc>
          <w:tcPr>
            <w:tcW w:w="965" w:type="dxa"/>
          </w:tcPr>
          <w:p w14:paraId="65F6227C" w14:textId="77777777" w:rsidR="009B7D92" w:rsidRPr="005B5418" w:rsidRDefault="009B7D92" w:rsidP="008848DA">
            <w:pPr>
              <w:pStyle w:val="Table-Cell-CenterBoldBefore6ptAfter6pt"/>
              <w:spacing w:before="60" w:after="60"/>
              <w:rPr>
                <w:rFonts w:cs="Arial"/>
              </w:rPr>
            </w:pPr>
          </w:p>
        </w:tc>
        <w:tc>
          <w:tcPr>
            <w:tcW w:w="3211" w:type="dxa"/>
          </w:tcPr>
          <w:p w14:paraId="2E95D7B9" w14:textId="77777777" w:rsidR="009B7D92" w:rsidRPr="005B5418" w:rsidRDefault="009B7D92" w:rsidP="008848DA">
            <w:pPr>
              <w:spacing w:before="60" w:after="60" w:line="240" w:lineRule="auto"/>
              <w:rPr>
                <w:rFonts w:cs="Arial"/>
              </w:rPr>
            </w:pPr>
          </w:p>
        </w:tc>
      </w:tr>
      <w:tr w:rsidR="009B7D92" w:rsidRPr="005B5418" w14:paraId="5FA7B4FF" w14:textId="77777777" w:rsidTr="00405B74">
        <w:trPr>
          <w:cantSplit/>
          <w:trHeight w:val="1583"/>
        </w:trPr>
        <w:tc>
          <w:tcPr>
            <w:tcW w:w="5400" w:type="dxa"/>
          </w:tcPr>
          <w:p w14:paraId="1991C475" w14:textId="48E935EE" w:rsidR="009B7D92" w:rsidRPr="005B5418" w:rsidRDefault="009B7D92" w:rsidP="005425ED">
            <w:pPr>
              <w:pStyle w:val="FAM-Table-outline"/>
              <w:widowControl/>
              <w:numPr>
                <w:ilvl w:val="0"/>
                <w:numId w:val="9"/>
              </w:numPr>
              <w:adjustRightInd/>
              <w:spacing w:line="240" w:lineRule="auto"/>
              <w:textAlignment w:val="auto"/>
              <w:rPr>
                <w:rFonts w:eastAsia="Arial Unicode MS" w:cs="Arial"/>
                <w:szCs w:val="22"/>
              </w:rPr>
            </w:pPr>
            <w:r w:rsidRPr="005B5418">
              <w:rPr>
                <w:rFonts w:eastAsia="Arial Unicode MS" w:cs="Arial"/>
                <w:szCs w:val="22"/>
              </w:rPr>
              <w:t xml:space="preserve">Does the reporting entity recognize </w:t>
            </w:r>
            <w:r w:rsidR="00ED1D34" w:rsidRPr="005B5418">
              <w:rPr>
                <w:rFonts w:eastAsia="Arial Unicode MS" w:cs="Arial"/>
                <w:szCs w:val="22"/>
              </w:rPr>
              <w:t>a financing source for</w:t>
            </w:r>
            <w:r w:rsidRPr="005B5418">
              <w:rPr>
                <w:rFonts w:eastAsia="Arial Unicode MS" w:cs="Arial"/>
                <w:szCs w:val="22"/>
              </w:rPr>
              <w:t xml:space="preserve"> imputed costs? (SFFAS 4, par</w:t>
            </w:r>
            <w:r w:rsidR="00E467FF" w:rsidRPr="005B5418">
              <w:rPr>
                <w:rFonts w:eastAsia="Arial Unicode MS" w:cs="Arial"/>
                <w:szCs w:val="22"/>
              </w:rPr>
              <w:t>a</w:t>
            </w:r>
            <w:r w:rsidRPr="005B5418">
              <w:rPr>
                <w:rFonts w:eastAsia="Arial Unicode MS" w:cs="Arial"/>
                <w:szCs w:val="22"/>
              </w:rPr>
              <w:t>. 109; SFFAS 7, par</w:t>
            </w:r>
            <w:r w:rsidR="00E467FF" w:rsidRPr="005B5418">
              <w:rPr>
                <w:rFonts w:eastAsia="Arial Unicode MS" w:cs="Arial"/>
                <w:szCs w:val="22"/>
              </w:rPr>
              <w:t>a</w:t>
            </w:r>
            <w:r w:rsidRPr="005B5418">
              <w:rPr>
                <w:rFonts w:eastAsia="Arial Unicode MS" w:cs="Arial"/>
                <w:szCs w:val="22"/>
              </w:rPr>
              <w:t>. 73)</w:t>
            </w:r>
          </w:p>
          <w:p w14:paraId="082A882F" w14:textId="7B75F1B3" w:rsidR="009B7D92" w:rsidRPr="005B5418" w:rsidRDefault="009B7D92" w:rsidP="005425ED">
            <w:pPr>
              <w:pStyle w:val="FAM-Table-outline"/>
              <w:widowControl/>
              <w:numPr>
                <w:ilvl w:val="0"/>
                <w:numId w:val="0"/>
              </w:numPr>
              <w:adjustRightInd/>
              <w:spacing w:line="240" w:lineRule="auto"/>
              <w:ind w:left="666"/>
              <w:textAlignment w:val="auto"/>
              <w:rPr>
                <w:rFonts w:cs="Arial"/>
              </w:rPr>
            </w:pPr>
            <w:r w:rsidRPr="005B5418">
              <w:rPr>
                <w:rFonts w:eastAsia="Arial Unicode MS" w:cs="Arial"/>
                <w:szCs w:val="22"/>
              </w:rPr>
              <w:t>(Also see related questions in the “Inter-</w:t>
            </w:r>
            <w:r w:rsidR="009817B2" w:rsidRPr="005B5418">
              <w:rPr>
                <w:rFonts w:eastAsia="Arial Unicode MS" w:cs="Arial"/>
                <w:szCs w:val="22"/>
              </w:rPr>
              <w:t xml:space="preserve">Entity </w:t>
            </w:r>
            <w:r w:rsidRPr="005B5418">
              <w:rPr>
                <w:rFonts w:eastAsia="Arial Unicode MS" w:cs="Arial"/>
                <w:szCs w:val="22"/>
              </w:rPr>
              <w:t>Costs” section</w:t>
            </w:r>
            <w:r w:rsidR="00E467FF" w:rsidRPr="005B5418">
              <w:rPr>
                <w:rFonts w:eastAsia="Arial Unicode MS" w:cs="Arial"/>
                <w:szCs w:val="22"/>
              </w:rPr>
              <w:t>.</w:t>
            </w:r>
            <w:r w:rsidRPr="005B5418">
              <w:rPr>
                <w:rFonts w:eastAsia="Arial Unicode MS" w:cs="Arial"/>
                <w:szCs w:val="22"/>
              </w:rPr>
              <w:t>)</w:t>
            </w:r>
          </w:p>
        </w:tc>
        <w:tc>
          <w:tcPr>
            <w:tcW w:w="965" w:type="dxa"/>
          </w:tcPr>
          <w:p w14:paraId="62B73815" w14:textId="77777777" w:rsidR="009B7D92" w:rsidRPr="005B5418" w:rsidRDefault="009B7D92" w:rsidP="008848DA">
            <w:pPr>
              <w:pStyle w:val="Table-Cell-CenterBoldBefore6ptAfter6pt"/>
              <w:spacing w:before="60" w:after="60"/>
              <w:rPr>
                <w:rFonts w:cs="Arial"/>
              </w:rPr>
            </w:pPr>
          </w:p>
        </w:tc>
        <w:tc>
          <w:tcPr>
            <w:tcW w:w="3211" w:type="dxa"/>
          </w:tcPr>
          <w:p w14:paraId="29EF62A2" w14:textId="77777777" w:rsidR="009B7D92" w:rsidRPr="005B5418" w:rsidRDefault="009B7D92" w:rsidP="008848DA">
            <w:pPr>
              <w:spacing w:before="60" w:after="60" w:line="240" w:lineRule="auto"/>
              <w:rPr>
                <w:rFonts w:cs="Arial"/>
              </w:rPr>
            </w:pPr>
          </w:p>
        </w:tc>
      </w:tr>
      <w:tr w:rsidR="009B7D92" w:rsidRPr="005B5418" w14:paraId="03410029" w14:textId="77777777" w:rsidTr="0038293D">
        <w:trPr>
          <w:cantSplit/>
          <w:trHeight w:val="1457"/>
        </w:trPr>
        <w:tc>
          <w:tcPr>
            <w:tcW w:w="5400" w:type="dxa"/>
          </w:tcPr>
          <w:p w14:paraId="3FD773CD" w14:textId="5B7E9F23" w:rsidR="009B7D92" w:rsidRPr="005B5418" w:rsidRDefault="009B7D92" w:rsidP="00343610">
            <w:pPr>
              <w:pStyle w:val="FAM-Table-outline"/>
              <w:widowControl/>
              <w:numPr>
                <w:ilvl w:val="0"/>
                <w:numId w:val="9"/>
              </w:numPr>
              <w:adjustRightInd/>
              <w:spacing w:line="240" w:lineRule="auto"/>
              <w:textAlignment w:val="auto"/>
              <w:rPr>
                <w:rFonts w:cs="Arial"/>
              </w:rPr>
            </w:pPr>
            <w:r w:rsidRPr="005B5418">
              <w:rPr>
                <w:rFonts w:eastAsia="Arial Unicode MS"/>
              </w:rPr>
              <w:t xml:space="preserve">Is exchange revenue transferred to another government entity or to Treasury recognized as a </w:t>
            </w:r>
            <w:r w:rsidR="00E467FF" w:rsidRPr="005B5418">
              <w:rPr>
                <w:rFonts w:eastAsia="Arial Unicode MS"/>
              </w:rPr>
              <w:t>“t</w:t>
            </w:r>
            <w:r w:rsidRPr="005B5418">
              <w:rPr>
                <w:rFonts w:eastAsia="Arial Unicode MS"/>
              </w:rPr>
              <w:t>ransfer ou</w:t>
            </w:r>
            <w:r w:rsidR="00E467FF" w:rsidRPr="005B5418">
              <w:rPr>
                <w:rFonts w:eastAsia="Arial Unicode MS"/>
              </w:rPr>
              <w:t xml:space="preserve">t” </w:t>
            </w:r>
            <w:r w:rsidRPr="005B5418">
              <w:rPr>
                <w:rFonts w:eastAsia="Arial Unicode MS"/>
              </w:rPr>
              <w:t>in determining the net results of operations? (SFFAS 7, par</w:t>
            </w:r>
            <w:r w:rsidR="00E467FF" w:rsidRPr="005B5418">
              <w:rPr>
                <w:rFonts w:eastAsia="Arial Unicode MS"/>
              </w:rPr>
              <w:t>a</w:t>
            </w:r>
            <w:r w:rsidRPr="005B5418">
              <w:rPr>
                <w:rFonts w:eastAsia="Arial Unicode MS"/>
              </w:rPr>
              <w:t>. 75)</w:t>
            </w:r>
          </w:p>
        </w:tc>
        <w:tc>
          <w:tcPr>
            <w:tcW w:w="965" w:type="dxa"/>
          </w:tcPr>
          <w:p w14:paraId="47825F28" w14:textId="77777777" w:rsidR="009B7D92" w:rsidRPr="005B5418" w:rsidRDefault="009B7D92" w:rsidP="008848DA">
            <w:pPr>
              <w:pStyle w:val="Table-Cell-CenterBoldBefore6ptAfter6pt"/>
              <w:spacing w:before="60" w:after="60"/>
              <w:rPr>
                <w:rFonts w:cs="Arial"/>
              </w:rPr>
            </w:pPr>
          </w:p>
        </w:tc>
        <w:tc>
          <w:tcPr>
            <w:tcW w:w="3211" w:type="dxa"/>
          </w:tcPr>
          <w:p w14:paraId="6F8959A5" w14:textId="77777777" w:rsidR="009B7D92" w:rsidRPr="005B5418" w:rsidRDefault="009B7D92" w:rsidP="008848DA">
            <w:pPr>
              <w:spacing w:before="60" w:after="60" w:line="240" w:lineRule="auto"/>
              <w:rPr>
                <w:rFonts w:cs="Arial"/>
              </w:rPr>
            </w:pPr>
          </w:p>
        </w:tc>
      </w:tr>
      <w:tr w:rsidR="009B7D92" w:rsidRPr="005B5418" w14:paraId="3DC2F57A" w14:textId="77777777" w:rsidTr="0038293D">
        <w:trPr>
          <w:cantSplit/>
          <w:trHeight w:val="1466"/>
        </w:trPr>
        <w:tc>
          <w:tcPr>
            <w:tcW w:w="5400" w:type="dxa"/>
          </w:tcPr>
          <w:p w14:paraId="6FAFEA0D" w14:textId="00040199" w:rsidR="009B7D92" w:rsidRPr="005B5418" w:rsidRDefault="009B7D92" w:rsidP="00343610">
            <w:pPr>
              <w:pStyle w:val="FAM-Table-outline"/>
              <w:widowControl/>
              <w:numPr>
                <w:ilvl w:val="0"/>
                <w:numId w:val="9"/>
              </w:numPr>
              <w:adjustRightInd/>
              <w:spacing w:line="240" w:lineRule="auto"/>
              <w:textAlignment w:val="auto"/>
              <w:rPr>
                <w:rFonts w:cs="Arial"/>
              </w:rPr>
            </w:pPr>
            <w:r w:rsidRPr="005B5418">
              <w:rPr>
                <w:rFonts w:eastAsia="Arial Unicode MS"/>
              </w:rPr>
              <w:t xml:space="preserve">Are assets included in </w:t>
            </w:r>
            <w:r w:rsidR="000A0C1F" w:rsidRPr="005B5418">
              <w:rPr>
                <w:rFonts w:eastAsia="Arial Unicode MS"/>
              </w:rPr>
              <w:t>PP&amp;E</w:t>
            </w:r>
            <w:r w:rsidRPr="005B5418">
              <w:rPr>
                <w:rFonts w:eastAsia="Arial Unicode MS"/>
              </w:rPr>
              <w:t xml:space="preserve"> that are transferred to another federal entity for use as heritage assets or stewardship land recognized as a transfer-out of capitalized assets? (SFFAS 29 par</w:t>
            </w:r>
            <w:r w:rsidR="00222742" w:rsidRPr="005B5418">
              <w:rPr>
                <w:rFonts w:eastAsia="Arial Unicode MS"/>
              </w:rPr>
              <w:t>as</w:t>
            </w:r>
            <w:r w:rsidRPr="005B5418">
              <w:rPr>
                <w:rFonts w:eastAsia="Arial Unicode MS"/>
              </w:rPr>
              <w:t>. 21 and 39)</w:t>
            </w:r>
          </w:p>
        </w:tc>
        <w:tc>
          <w:tcPr>
            <w:tcW w:w="965" w:type="dxa"/>
          </w:tcPr>
          <w:p w14:paraId="4AB2E7AA" w14:textId="77777777" w:rsidR="009B7D92" w:rsidRPr="005B5418" w:rsidRDefault="009B7D92" w:rsidP="008848DA">
            <w:pPr>
              <w:pStyle w:val="Table-Cell-CenterBoldBefore6ptAfter6pt"/>
              <w:spacing w:before="60" w:after="60"/>
              <w:rPr>
                <w:rFonts w:cs="Arial"/>
              </w:rPr>
            </w:pPr>
          </w:p>
        </w:tc>
        <w:tc>
          <w:tcPr>
            <w:tcW w:w="3211" w:type="dxa"/>
          </w:tcPr>
          <w:p w14:paraId="4C6E47BD" w14:textId="77777777" w:rsidR="009B7D92" w:rsidRPr="005B5418" w:rsidRDefault="009B7D92" w:rsidP="008848DA">
            <w:pPr>
              <w:spacing w:before="60" w:after="60" w:line="240" w:lineRule="auto"/>
              <w:rPr>
                <w:rFonts w:cs="Arial"/>
              </w:rPr>
            </w:pPr>
          </w:p>
        </w:tc>
      </w:tr>
      <w:tr w:rsidR="009B7D92" w:rsidRPr="005B5418" w14:paraId="7B23E6F9" w14:textId="77777777" w:rsidTr="0038293D">
        <w:trPr>
          <w:cantSplit/>
          <w:trHeight w:val="1673"/>
        </w:trPr>
        <w:tc>
          <w:tcPr>
            <w:tcW w:w="5400" w:type="dxa"/>
          </w:tcPr>
          <w:p w14:paraId="7B501EA9" w14:textId="053D28A0" w:rsidR="009B7D92" w:rsidRPr="005B5418" w:rsidRDefault="009B7D92" w:rsidP="00343610">
            <w:pPr>
              <w:pStyle w:val="FAM-Table-outline"/>
              <w:widowControl/>
              <w:numPr>
                <w:ilvl w:val="0"/>
                <w:numId w:val="9"/>
              </w:numPr>
              <w:adjustRightInd/>
              <w:spacing w:line="240" w:lineRule="auto"/>
              <w:textAlignment w:val="auto"/>
              <w:rPr>
                <w:rFonts w:cs="Arial"/>
              </w:rPr>
            </w:pPr>
            <w:r w:rsidRPr="005B5418">
              <w:rPr>
                <w:rFonts w:eastAsia="Arial Unicode MS"/>
              </w:rPr>
              <w:lastRenderedPageBreak/>
              <w:t>For transfers of multi-use heritage assets from one federal entity to another, does the receiving entity recognize a transfer-in at the transferring entity’s book value or at its estimated fair value if book value is not provided? (SFFAS 29, par</w:t>
            </w:r>
            <w:r w:rsidR="00222742" w:rsidRPr="005B5418">
              <w:rPr>
                <w:rFonts w:eastAsia="Arial Unicode MS"/>
              </w:rPr>
              <w:t>a</w:t>
            </w:r>
            <w:r w:rsidRPr="005B5418">
              <w:rPr>
                <w:rFonts w:eastAsia="Arial Unicode MS"/>
              </w:rPr>
              <w:t>. 24)</w:t>
            </w:r>
          </w:p>
        </w:tc>
        <w:tc>
          <w:tcPr>
            <w:tcW w:w="965" w:type="dxa"/>
          </w:tcPr>
          <w:p w14:paraId="4BB53553" w14:textId="77777777" w:rsidR="009B7D92" w:rsidRPr="005B5418" w:rsidRDefault="009B7D92" w:rsidP="008848DA">
            <w:pPr>
              <w:pStyle w:val="Table-Cell-CenterBoldBefore6ptAfter6pt"/>
              <w:spacing w:before="60" w:after="60"/>
              <w:rPr>
                <w:rFonts w:cs="Arial"/>
              </w:rPr>
            </w:pPr>
          </w:p>
        </w:tc>
        <w:tc>
          <w:tcPr>
            <w:tcW w:w="3211" w:type="dxa"/>
          </w:tcPr>
          <w:p w14:paraId="01CB9BC8" w14:textId="77777777" w:rsidR="009B7D92" w:rsidRPr="005B5418" w:rsidRDefault="009B7D92" w:rsidP="008848DA">
            <w:pPr>
              <w:spacing w:before="60" w:after="60" w:line="240" w:lineRule="auto"/>
              <w:rPr>
                <w:rFonts w:cs="Arial"/>
              </w:rPr>
            </w:pPr>
          </w:p>
        </w:tc>
      </w:tr>
      <w:tr w:rsidR="009B7D92" w:rsidRPr="005B5418" w14:paraId="0F6DB1A2" w14:textId="77777777" w:rsidTr="0038293D">
        <w:trPr>
          <w:cantSplit/>
          <w:trHeight w:val="1421"/>
        </w:trPr>
        <w:tc>
          <w:tcPr>
            <w:tcW w:w="5400" w:type="dxa"/>
          </w:tcPr>
          <w:p w14:paraId="2B60DBD1" w14:textId="429A3F9D" w:rsidR="009B7D92" w:rsidRPr="005B5418" w:rsidRDefault="009B7D92" w:rsidP="00343610">
            <w:pPr>
              <w:pStyle w:val="FAM-Table-outline"/>
              <w:widowControl/>
              <w:numPr>
                <w:ilvl w:val="0"/>
                <w:numId w:val="9"/>
              </w:numPr>
              <w:adjustRightInd/>
              <w:spacing w:line="240" w:lineRule="auto"/>
              <w:textAlignment w:val="auto"/>
              <w:rPr>
                <w:rFonts w:cs="Arial"/>
              </w:rPr>
            </w:pPr>
            <w:r w:rsidRPr="005B5418">
              <w:rPr>
                <w:rFonts w:eastAsia="Arial Unicode MS"/>
              </w:rPr>
              <w:t>For transfers of multi-use heritage assets from one federal entity to another, does the transferring entity recognize a transfer-out at the transferring entity’s book value? (SFFAS 29, par</w:t>
            </w:r>
            <w:r w:rsidR="00222742" w:rsidRPr="005B5418">
              <w:rPr>
                <w:rFonts w:eastAsia="Arial Unicode MS"/>
              </w:rPr>
              <w:t>a</w:t>
            </w:r>
            <w:r w:rsidRPr="005B5418">
              <w:rPr>
                <w:rFonts w:eastAsia="Arial Unicode MS"/>
              </w:rPr>
              <w:t>. 24)</w:t>
            </w:r>
          </w:p>
        </w:tc>
        <w:tc>
          <w:tcPr>
            <w:tcW w:w="965" w:type="dxa"/>
          </w:tcPr>
          <w:p w14:paraId="3DDDA6FC" w14:textId="77777777" w:rsidR="009B7D92" w:rsidRPr="005B5418" w:rsidRDefault="009B7D92" w:rsidP="008848DA">
            <w:pPr>
              <w:pStyle w:val="Table-Cell-CenterBoldBefore6ptAfter6pt"/>
              <w:spacing w:before="60" w:after="60"/>
              <w:rPr>
                <w:rFonts w:cs="Arial"/>
              </w:rPr>
            </w:pPr>
          </w:p>
        </w:tc>
        <w:tc>
          <w:tcPr>
            <w:tcW w:w="3211" w:type="dxa"/>
          </w:tcPr>
          <w:p w14:paraId="7B5BE504" w14:textId="77777777" w:rsidR="009B7D92" w:rsidRPr="005B5418" w:rsidRDefault="009B7D92" w:rsidP="008848DA">
            <w:pPr>
              <w:spacing w:before="60" w:after="60" w:line="240" w:lineRule="auto"/>
              <w:rPr>
                <w:rFonts w:cs="Arial"/>
              </w:rPr>
            </w:pPr>
          </w:p>
        </w:tc>
      </w:tr>
      <w:tr w:rsidR="00221E16" w:rsidRPr="005B5418" w14:paraId="3ED5A1B6" w14:textId="77777777" w:rsidTr="00E162E0">
        <w:trPr>
          <w:cantSplit/>
          <w:trHeight w:val="2160"/>
        </w:trPr>
        <w:tc>
          <w:tcPr>
            <w:tcW w:w="5400" w:type="dxa"/>
          </w:tcPr>
          <w:p w14:paraId="7E444BF8" w14:textId="77451F8B" w:rsidR="00221E16" w:rsidRPr="005B5418" w:rsidRDefault="00221E16" w:rsidP="00343610">
            <w:pPr>
              <w:pStyle w:val="FAM-Table-outline"/>
              <w:widowControl/>
              <w:numPr>
                <w:ilvl w:val="0"/>
                <w:numId w:val="9"/>
              </w:numPr>
              <w:adjustRightInd/>
              <w:spacing w:line="240" w:lineRule="auto"/>
              <w:textAlignment w:val="auto"/>
              <w:rPr>
                <w:rFonts w:cs="Arial"/>
              </w:rPr>
            </w:pPr>
            <w:r w:rsidRPr="005B5418">
              <w:rPr>
                <w:rFonts w:cs="Arial"/>
              </w:rPr>
              <w:t>Are non-exchange revenue, other financing sources, appropriations, and net cost of operations from Funds from Dedicated Collections reported separately on the face of the SCNP if the Funds from Dedicated Collections are</w:t>
            </w:r>
          </w:p>
          <w:p w14:paraId="1D236B2C" w14:textId="22DFBFD2" w:rsidR="00221E16" w:rsidRPr="005B5418" w:rsidRDefault="00221E16" w:rsidP="009B48C2">
            <w:pPr>
              <w:pStyle w:val="FAM-Table-outline2"/>
              <w:numPr>
                <w:ilvl w:val="1"/>
                <w:numId w:val="1"/>
              </w:numPr>
              <w:spacing w:line="240" w:lineRule="auto"/>
              <w:ind w:left="1147" w:hanging="450"/>
              <w:rPr>
                <w:rFonts w:eastAsia="Arial Unicode MS"/>
              </w:rPr>
            </w:pPr>
            <w:r w:rsidRPr="005B5418">
              <w:rPr>
                <w:rFonts w:eastAsia="Arial Unicode MS"/>
              </w:rPr>
              <w:t>the predominant source of revenue and other financial sources or</w:t>
            </w:r>
          </w:p>
          <w:p w14:paraId="72D3370C" w14:textId="5520F839" w:rsidR="00221E16" w:rsidRPr="005B5418" w:rsidRDefault="00221E16" w:rsidP="009B48C2">
            <w:pPr>
              <w:pStyle w:val="FAM-Table-outline2"/>
              <w:numPr>
                <w:ilvl w:val="1"/>
                <w:numId w:val="1"/>
              </w:numPr>
              <w:spacing w:line="240" w:lineRule="auto"/>
              <w:ind w:left="1147" w:hanging="450"/>
              <w:rPr>
                <w:rFonts w:cs="Arial"/>
              </w:rPr>
            </w:pPr>
            <w:r w:rsidRPr="005B5418">
              <w:rPr>
                <w:rFonts w:eastAsia="Arial Unicode MS"/>
              </w:rPr>
              <w:t xml:space="preserve">if one (or more) of the entity’s Fund(s) from Dedicated Collections is (are) of immediate concern to the constituents of the funds, politically sensitive, controversial, or accumulating large balances or if the information provided in the financial statements would be a primary source of information for the public? (A-136, sections II.3.4.1 </w:t>
            </w:r>
            <w:r w:rsidR="00222742" w:rsidRPr="005B5418">
              <w:rPr>
                <w:rFonts w:eastAsia="Arial Unicode MS"/>
              </w:rPr>
              <w:t>and</w:t>
            </w:r>
            <w:r w:rsidRPr="005B5418">
              <w:rPr>
                <w:rFonts w:eastAsia="Arial Unicode MS"/>
              </w:rPr>
              <w:t xml:space="preserve"> II.3.4.3)</w:t>
            </w:r>
          </w:p>
        </w:tc>
        <w:tc>
          <w:tcPr>
            <w:tcW w:w="965" w:type="dxa"/>
          </w:tcPr>
          <w:p w14:paraId="2BF3ACD0" w14:textId="77777777" w:rsidR="00221E16" w:rsidRPr="005B5418" w:rsidRDefault="00221E16" w:rsidP="008848DA">
            <w:pPr>
              <w:pStyle w:val="Table-Cell-CenterBoldBefore6ptAfter6pt"/>
              <w:spacing w:before="60" w:after="60"/>
              <w:rPr>
                <w:rFonts w:cs="Arial"/>
              </w:rPr>
            </w:pPr>
          </w:p>
        </w:tc>
        <w:tc>
          <w:tcPr>
            <w:tcW w:w="3211" w:type="dxa"/>
          </w:tcPr>
          <w:p w14:paraId="3E397F4E" w14:textId="77777777" w:rsidR="00221E16" w:rsidRPr="005B5418" w:rsidRDefault="00221E16" w:rsidP="008848DA">
            <w:pPr>
              <w:spacing w:before="60" w:after="60" w:line="240" w:lineRule="auto"/>
              <w:rPr>
                <w:rFonts w:cs="Arial"/>
              </w:rPr>
            </w:pPr>
          </w:p>
        </w:tc>
      </w:tr>
      <w:tr w:rsidR="002C697E" w:rsidRPr="005B5418" w14:paraId="20D2CF00" w14:textId="77777777" w:rsidTr="00E162E0">
        <w:trPr>
          <w:cantSplit/>
          <w:trHeight w:val="1367"/>
        </w:trPr>
        <w:tc>
          <w:tcPr>
            <w:tcW w:w="5400" w:type="dxa"/>
          </w:tcPr>
          <w:p w14:paraId="5DAD8BB5" w14:textId="1A25BDF5" w:rsidR="002C697E" w:rsidRPr="005B5418" w:rsidDel="009C19C5" w:rsidRDefault="002C697E">
            <w:pPr>
              <w:pStyle w:val="FAM-Table-outline"/>
              <w:widowControl/>
              <w:numPr>
                <w:ilvl w:val="0"/>
                <w:numId w:val="9"/>
              </w:numPr>
              <w:adjustRightInd/>
              <w:spacing w:line="240" w:lineRule="auto"/>
              <w:textAlignment w:val="auto"/>
              <w:rPr>
                <w:rFonts w:cs="Arial"/>
              </w:rPr>
            </w:pPr>
            <w:r w:rsidRPr="005B5418">
              <w:rPr>
                <w:rFonts w:eastAsia="Arial Unicode MS"/>
              </w:rPr>
              <w:t xml:space="preserve">For entities with material </w:t>
            </w:r>
            <w:r w:rsidR="00CA1A4F" w:rsidRPr="005B5418">
              <w:rPr>
                <w:rFonts w:eastAsia="Arial Unicode MS"/>
              </w:rPr>
              <w:t>f</w:t>
            </w:r>
            <w:r w:rsidR="00E51A39" w:rsidRPr="005B5418">
              <w:rPr>
                <w:rFonts w:eastAsia="Arial Unicode MS"/>
              </w:rPr>
              <w:t xml:space="preserve">unds from </w:t>
            </w:r>
            <w:r w:rsidRPr="005B5418">
              <w:rPr>
                <w:rFonts w:eastAsia="Arial Unicode MS"/>
              </w:rPr>
              <w:t>dedicated collections that use Option A, does the eliminations column only display elimination</w:t>
            </w:r>
            <w:r w:rsidR="001838A2" w:rsidRPr="005B5418">
              <w:rPr>
                <w:rFonts w:eastAsia="Arial Unicode MS"/>
              </w:rPr>
              <w:t>s</w:t>
            </w:r>
            <w:r w:rsidRPr="005B5418">
              <w:rPr>
                <w:rFonts w:eastAsia="Arial Unicode MS"/>
              </w:rPr>
              <w:t xml:space="preserve"> between Funds from Dedicated Collections and Funds from </w:t>
            </w:r>
            <w:r w:rsidR="00C83F52" w:rsidRPr="005B5418">
              <w:rPr>
                <w:rFonts w:eastAsia="Arial Unicode MS"/>
              </w:rPr>
              <w:t>O</w:t>
            </w:r>
            <w:r w:rsidRPr="005B5418">
              <w:rPr>
                <w:rFonts w:eastAsia="Arial Unicode MS"/>
              </w:rPr>
              <w:t>ther than Dedicated Collections?</w:t>
            </w:r>
            <w:r w:rsidR="00F14D70" w:rsidRPr="005B5418">
              <w:rPr>
                <w:rFonts w:eastAsia="Arial Unicode MS"/>
              </w:rPr>
              <w:t xml:space="preserve"> </w:t>
            </w:r>
            <w:r w:rsidRPr="005B5418">
              <w:rPr>
                <w:rFonts w:eastAsia="Arial Unicode MS"/>
              </w:rPr>
              <w:t>(A-136, section II.3.4.2</w:t>
            </w:r>
            <w:r w:rsidR="000350FF" w:rsidRPr="005B5418">
              <w:rPr>
                <w:rFonts w:eastAsia="Arial Unicode MS"/>
              </w:rPr>
              <w:t>A</w:t>
            </w:r>
            <w:r w:rsidRPr="005B5418">
              <w:rPr>
                <w:rFonts w:eastAsia="Arial Unicode MS"/>
              </w:rPr>
              <w:t>)</w:t>
            </w:r>
          </w:p>
        </w:tc>
        <w:tc>
          <w:tcPr>
            <w:tcW w:w="965" w:type="dxa"/>
          </w:tcPr>
          <w:p w14:paraId="65D573F2" w14:textId="77777777" w:rsidR="002C697E" w:rsidRPr="005B5418" w:rsidRDefault="002C697E" w:rsidP="008848DA">
            <w:pPr>
              <w:pStyle w:val="Table-Cell-CenterBoldBefore6ptAfter6pt"/>
              <w:spacing w:before="60" w:after="60"/>
              <w:rPr>
                <w:rFonts w:cs="Arial"/>
              </w:rPr>
            </w:pPr>
          </w:p>
        </w:tc>
        <w:tc>
          <w:tcPr>
            <w:tcW w:w="3211" w:type="dxa"/>
          </w:tcPr>
          <w:p w14:paraId="48CDF8E9" w14:textId="77777777" w:rsidR="002C697E" w:rsidRPr="005B5418" w:rsidRDefault="002C697E" w:rsidP="008848DA">
            <w:pPr>
              <w:spacing w:before="60" w:after="60" w:line="240" w:lineRule="auto"/>
              <w:rPr>
                <w:rFonts w:cs="Arial"/>
              </w:rPr>
            </w:pPr>
          </w:p>
        </w:tc>
      </w:tr>
      <w:tr w:rsidR="002C697E" w:rsidRPr="005B5418" w14:paraId="11C6120C" w14:textId="77777777" w:rsidTr="00E162E0">
        <w:trPr>
          <w:cantSplit/>
          <w:trHeight w:val="1367"/>
        </w:trPr>
        <w:tc>
          <w:tcPr>
            <w:tcW w:w="5400" w:type="dxa"/>
          </w:tcPr>
          <w:p w14:paraId="11FACC16" w14:textId="34F5185A" w:rsidR="002C697E" w:rsidRPr="005B5418" w:rsidRDefault="002C697E" w:rsidP="00CA1A4F">
            <w:pPr>
              <w:pStyle w:val="FAM-Table-outline"/>
              <w:widowControl/>
              <w:numPr>
                <w:ilvl w:val="0"/>
                <w:numId w:val="9"/>
              </w:numPr>
              <w:adjustRightInd/>
              <w:spacing w:line="240" w:lineRule="auto"/>
              <w:textAlignment w:val="auto"/>
              <w:rPr>
                <w:rFonts w:eastAsia="Arial Unicode MS"/>
              </w:rPr>
            </w:pPr>
            <w:r w:rsidRPr="005B5418">
              <w:rPr>
                <w:rFonts w:eastAsia="Arial Unicode MS"/>
              </w:rPr>
              <w:t xml:space="preserve">For entities with material </w:t>
            </w:r>
            <w:r w:rsidR="00CA1A4F" w:rsidRPr="005B5418">
              <w:rPr>
                <w:rFonts w:eastAsia="Arial Unicode MS"/>
              </w:rPr>
              <w:t>f</w:t>
            </w:r>
            <w:r w:rsidR="00E51A39" w:rsidRPr="005B5418">
              <w:rPr>
                <w:rFonts w:eastAsia="Arial Unicode MS"/>
              </w:rPr>
              <w:t xml:space="preserve">unds from </w:t>
            </w:r>
            <w:r w:rsidRPr="005B5418">
              <w:rPr>
                <w:rFonts w:eastAsia="Arial Unicode MS"/>
              </w:rPr>
              <w:t xml:space="preserve">dedicated collections that use Option </w:t>
            </w:r>
            <w:r w:rsidR="00AD4698" w:rsidRPr="005B5418">
              <w:rPr>
                <w:rFonts w:eastAsia="Arial Unicode MS"/>
              </w:rPr>
              <w:t>B</w:t>
            </w:r>
            <w:r w:rsidRPr="005B5418">
              <w:rPr>
                <w:rFonts w:eastAsia="Arial Unicode MS"/>
              </w:rPr>
              <w:t xml:space="preserve">, </w:t>
            </w:r>
            <w:r w:rsidR="001838A2" w:rsidRPr="005B5418">
              <w:rPr>
                <w:rFonts w:eastAsia="Arial Unicode MS"/>
              </w:rPr>
              <w:t xml:space="preserve">does the </w:t>
            </w:r>
            <w:r w:rsidRPr="005B5418">
              <w:rPr>
                <w:rFonts w:eastAsia="Arial Unicode MS"/>
              </w:rPr>
              <w:t>eliminations</w:t>
            </w:r>
            <w:r w:rsidR="00501206" w:rsidRPr="005B5418">
              <w:rPr>
                <w:rFonts w:eastAsia="Arial Unicode MS"/>
              </w:rPr>
              <w:t xml:space="preserve"> </w:t>
            </w:r>
            <w:r w:rsidR="001838A2" w:rsidRPr="005B5418">
              <w:rPr>
                <w:rFonts w:eastAsia="Arial Unicode MS"/>
              </w:rPr>
              <w:t xml:space="preserve">column only display eliminations </w:t>
            </w:r>
            <w:r w:rsidR="00501206" w:rsidRPr="005B5418">
              <w:rPr>
                <w:rFonts w:eastAsia="Arial Unicode MS"/>
              </w:rPr>
              <w:t xml:space="preserve">between Funds from Dedicated Collections and Funds from </w:t>
            </w:r>
            <w:r w:rsidR="00C83F52" w:rsidRPr="005B5418">
              <w:rPr>
                <w:rFonts w:eastAsia="Arial Unicode MS"/>
              </w:rPr>
              <w:t>O</w:t>
            </w:r>
            <w:r w:rsidR="00501206" w:rsidRPr="005B5418">
              <w:rPr>
                <w:rFonts w:eastAsia="Arial Unicode MS"/>
              </w:rPr>
              <w:t>ther than Dedicated Collections</w:t>
            </w:r>
            <w:r w:rsidRPr="005B5418">
              <w:rPr>
                <w:rFonts w:eastAsia="Arial Unicode MS"/>
              </w:rPr>
              <w:t>?</w:t>
            </w:r>
            <w:r w:rsidR="00F14D70" w:rsidRPr="005B5418">
              <w:rPr>
                <w:rFonts w:eastAsia="Arial Unicode MS"/>
              </w:rPr>
              <w:t xml:space="preserve"> </w:t>
            </w:r>
            <w:r w:rsidRPr="005B5418">
              <w:rPr>
                <w:rFonts w:eastAsia="Arial Unicode MS"/>
              </w:rPr>
              <w:t>(A-136, section II.3.4.</w:t>
            </w:r>
            <w:r w:rsidR="00AD4698" w:rsidRPr="005B5418">
              <w:rPr>
                <w:rFonts w:eastAsia="Arial Unicode MS"/>
              </w:rPr>
              <w:t>2B</w:t>
            </w:r>
            <w:r w:rsidRPr="005B5418">
              <w:rPr>
                <w:rFonts w:eastAsia="Arial Unicode MS"/>
              </w:rPr>
              <w:t>)</w:t>
            </w:r>
          </w:p>
        </w:tc>
        <w:tc>
          <w:tcPr>
            <w:tcW w:w="965" w:type="dxa"/>
          </w:tcPr>
          <w:p w14:paraId="5D7414A6" w14:textId="77777777" w:rsidR="002C697E" w:rsidRPr="005B5418" w:rsidRDefault="002C697E" w:rsidP="008848DA">
            <w:pPr>
              <w:pStyle w:val="Table-Cell-CenterBoldBefore6ptAfter6pt"/>
              <w:spacing w:before="60" w:after="60"/>
              <w:rPr>
                <w:rFonts w:cs="Arial"/>
              </w:rPr>
            </w:pPr>
          </w:p>
        </w:tc>
        <w:tc>
          <w:tcPr>
            <w:tcW w:w="3211" w:type="dxa"/>
          </w:tcPr>
          <w:p w14:paraId="49490809" w14:textId="77777777" w:rsidR="002C697E" w:rsidRPr="005B5418" w:rsidRDefault="002C697E" w:rsidP="008848DA">
            <w:pPr>
              <w:spacing w:before="60" w:after="60" w:line="240" w:lineRule="auto"/>
              <w:rPr>
                <w:rFonts w:cs="Arial"/>
              </w:rPr>
            </w:pPr>
          </w:p>
        </w:tc>
      </w:tr>
      <w:tr w:rsidR="00501752" w:rsidRPr="005B5418" w14:paraId="54AA4EA8" w14:textId="77777777" w:rsidTr="00E162E0">
        <w:trPr>
          <w:cantSplit/>
          <w:trHeight w:val="1367"/>
        </w:trPr>
        <w:tc>
          <w:tcPr>
            <w:tcW w:w="5400" w:type="dxa"/>
          </w:tcPr>
          <w:p w14:paraId="50D256FB" w14:textId="49488A57" w:rsidR="00501752" w:rsidRPr="005B5418" w:rsidRDefault="00501752" w:rsidP="00AD4698">
            <w:pPr>
              <w:pStyle w:val="FAM-Table-outline"/>
              <w:widowControl/>
              <w:numPr>
                <w:ilvl w:val="0"/>
                <w:numId w:val="9"/>
              </w:numPr>
              <w:adjustRightInd/>
              <w:spacing w:line="240" w:lineRule="auto"/>
              <w:textAlignment w:val="auto"/>
              <w:rPr>
                <w:rFonts w:cs="Arial"/>
              </w:rPr>
            </w:pPr>
            <w:r w:rsidRPr="005B5418">
              <w:rPr>
                <w:rFonts w:eastAsia="Arial Unicode MS"/>
              </w:rPr>
              <w:lastRenderedPageBreak/>
              <w:t>For entities with incidental non-exchange custodial collections</w:t>
            </w:r>
            <w:r w:rsidR="00026ED7" w:rsidRPr="005B5418">
              <w:rPr>
                <w:rFonts w:eastAsia="Arial Unicode MS"/>
              </w:rPr>
              <w:t xml:space="preserve"> that elected to combine the SCNP and </w:t>
            </w:r>
            <w:r w:rsidR="00F7306B" w:rsidRPr="005B5418">
              <w:rPr>
                <w:rFonts w:eastAsia="Arial Unicode MS"/>
              </w:rPr>
              <w:t>the SCA</w:t>
            </w:r>
            <w:r w:rsidR="00026ED7" w:rsidRPr="005B5418">
              <w:rPr>
                <w:rFonts w:eastAsia="Arial Unicode MS"/>
              </w:rPr>
              <w:t xml:space="preserve"> (Option </w:t>
            </w:r>
            <w:r w:rsidR="00AD4698" w:rsidRPr="005B5418">
              <w:rPr>
                <w:rFonts w:eastAsia="Arial Unicode MS"/>
              </w:rPr>
              <w:t>B</w:t>
            </w:r>
            <w:r w:rsidR="00026ED7" w:rsidRPr="005B5418">
              <w:rPr>
                <w:rFonts w:eastAsia="Arial Unicode MS"/>
              </w:rPr>
              <w:t>)</w:t>
            </w:r>
            <w:r w:rsidRPr="005B5418">
              <w:rPr>
                <w:rFonts w:eastAsia="Arial Unicode MS"/>
              </w:rPr>
              <w:t>, did the entity prepare a</w:t>
            </w:r>
            <w:r w:rsidR="00F7306B" w:rsidRPr="005B5418">
              <w:rPr>
                <w:rFonts w:eastAsia="Arial Unicode MS"/>
              </w:rPr>
              <w:t>n SCNP/SCA</w:t>
            </w:r>
            <w:r w:rsidRPr="005B5418">
              <w:rPr>
                <w:rFonts w:eastAsia="Arial Unicode MS"/>
              </w:rPr>
              <w:t xml:space="preserve"> </w:t>
            </w:r>
            <w:r w:rsidR="00026ED7" w:rsidRPr="005B5418">
              <w:rPr>
                <w:rFonts w:eastAsia="Arial Unicode MS"/>
              </w:rPr>
              <w:t>consistent with the illustrative statement in A-136</w:t>
            </w:r>
            <w:r w:rsidRPr="005B5418">
              <w:rPr>
                <w:rFonts w:eastAsia="Arial Unicode MS"/>
              </w:rPr>
              <w:t>?</w:t>
            </w:r>
            <w:r w:rsidR="00AE73BF" w:rsidRPr="005B5418">
              <w:rPr>
                <w:rFonts w:eastAsia="Arial Unicode MS"/>
              </w:rPr>
              <w:br/>
            </w:r>
            <w:r w:rsidRPr="005B5418">
              <w:rPr>
                <w:rFonts w:eastAsia="Arial Unicode MS"/>
              </w:rPr>
              <w:t>(A-136, section II.3.4.</w:t>
            </w:r>
            <w:r w:rsidR="00AD4698" w:rsidRPr="005B5418">
              <w:rPr>
                <w:rFonts w:eastAsia="Arial Unicode MS"/>
              </w:rPr>
              <w:t>2B</w:t>
            </w:r>
            <w:r w:rsidRPr="005B5418">
              <w:rPr>
                <w:rFonts w:eastAsia="Arial Unicode MS"/>
              </w:rPr>
              <w:t>)</w:t>
            </w:r>
          </w:p>
        </w:tc>
        <w:tc>
          <w:tcPr>
            <w:tcW w:w="965" w:type="dxa"/>
          </w:tcPr>
          <w:p w14:paraId="305FAA02" w14:textId="77777777" w:rsidR="00501752" w:rsidRPr="005B5418" w:rsidRDefault="00501752" w:rsidP="008848DA">
            <w:pPr>
              <w:pStyle w:val="Table-Cell-CenterBoldBefore6ptAfter6pt"/>
              <w:spacing w:before="60" w:after="60"/>
              <w:rPr>
                <w:rFonts w:cs="Arial"/>
              </w:rPr>
            </w:pPr>
          </w:p>
        </w:tc>
        <w:tc>
          <w:tcPr>
            <w:tcW w:w="3211" w:type="dxa"/>
          </w:tcPr>
          <w:p w14:paraId="6109EBDC" w14:textId="77777777" w:rsidR="00501752" w:rsidRPr="005B5418" w:rsidRDefault="00501752" w:rsidP="008848DA">
            <w:pPr>
              <w:spacing w:before="60" w:after="60" w:line="240" w:lineRule="auto"/>
              <w:rPr>
                <w:rFonts w:cs="Arial"/>
              </w:rPr>
            </w:pPr>
          </w:p>
        </w:tc>
      </w:tr>
      <w:tr w:rsidR="00221E16" w:rsidRPr="005B5418" w14:paraId="79C753DC" w14:textId="77777777" w:rsidTr="00E162E0">
        <w:trPr>
          <w:cantSplit/>
          <w:trHeight w:val="1340"/>
        </w:trPr>
        <w:tc>
          <w:tcPr>
            <w:tcW w:w="5400" w:type="dxa"/>
          </w:tcPr>
          <w:p w14:paraId="6BB4647D" w14:textId="5AF66219" w:rsidR="00221E16" w:rsidRPr="005B5418" w:rsidRDefault="00221E16" w:rsidP="007315D9">
            <w:pPr>
              <w:pStyle w:val="FAM-Table-outline"/>
              <w:widowControl/>
              <w:numPr>
                <w:ilvl w:val="0"/>
                <w:numId w:val="9"/>
              </w:numPr>
              <w:adjustRightInd/>
              <w:spacing w:line="240" w:lineRule="auto"/>
              <w:textAlignment w:val="auto"/>
              <w:rPr>
                <w:rFonts w:cs="Arial"/>
              </w:rPr>
            </w:pPr>
            <w:r w:rsidRPr="005B5418">
              <w:rPr>
                <w:rFonts w:cs="Arial"/>
              </w:rPr>
              <w:t xml:space="preserve">Are the net position balances attributable to Funds from Dedicated Collections reported separately from </w:t>
            </w:r>
            <w:r w:rsidR="00D14F57" w:rsidRPr="005B5418">
              <w:rPr>
                <w:rFonts w:cs="Arial"/>
              </w:rPr>
              <w:t>Funds from other than Dedicated Collections</w:t>
            </w:r>
            <w:r w:rsidRPr="005B5418">
              <w:rPr>
                <w:rFonts w:cs="Arial"/>
              </w:rPr>
              <w:t>, if material?</w:t>
            </w:r>
            <w:r w:rsidR="00AE73BF" w:rsidRPr="005B5418">
              <w:rPr>
                <w:rFonts w:cs="Arial"/>
              </w:rPr>
              <w:br/>
            </w:r>
            <w:r w:rsidRPr="005B5418">
              <w:rPr>
                <w:rFonts w:cs="Arial"/>
              </w:rPr>
              <w:t>(A-136, section II.3.4.</w:t>
            </w:r>
            <w:r w:rsidR="00CB744A" w:rsidRPr="005B5418">
              <w:rPr>
                <w:rFonts w:cs="Arial"/>
              </w:rPr>
              <w:t>3</w:t>
            </w:r>
            <w:r w:rsidRPr="005B5418">
              <w:rPr>
                <w:rFonts w:cs="Arial"/>
              </w:rPr>
              <w:t>)</w:t>
            </w:r>
          </w:p>
        </w:tc>
        <w:tc>
          <w:tcPr>
            <w:tcW w:w="965" w:type="dxa"/>
          </w:tcPr>
          <w:p w14:paraId="0280008E" w14:textId="77777777" w:rsidR="00221E16" w:rsidRPr="005B5418" w:rsidRDefault="00221E16" w:rsidP="008848DA">
            <w:pPr>
              <w:pStyle w:val="Table-Cell-CenterBoldBefore6ptAfter6pt"/>
              <w:spacing w:before="60" w:after="60"/>
              <w:rPr>
                <w:rFonts w:cs="Arial"/>
              </w:rPr>
            </w:pPr>
          </w:p>
        </w:tc>
        <w:tc>
          <w:tcPr>
            <w:tcW w:w="3211" w:type="dxa"/>
          </w:tcPr>
          <w:p w14:paraId="03A205DB" w14:textId="77777777" w:rsidR="00221E16" w:rsidRPr="005B5418" w:rsidRDefault="00221E16" w:rsidP="008848DA">
            <w:pPr>
              <w:spacing w:before="60" w:after="60" w:line="240" w:lineRule="auto"/>
              <w:rPr>
                <w:rFonts w:cs="Arial"/>
              </w:rPr>
            </w:pPr>
          </w:p>
        </w:tc>
      </w:tr>
      <w:tr w:rsidR="00221E16" w:rsidRPr="005B5418" w14:paraId="7466B583" w14:textId="77777777" w:rsidTr="00D14F57">
        <w:trPr>
          <w:cantSplit/>
          <w:trHeight w:val="1565"/>
        </w:trPr>
        <w:tc>
          <w:tcPr>
            <w:tcW w:w="5400" w:type="dxa"/>
          </w:tcPr>
          <w:p w14:paraId="6EE923AF" w14:textId="391E4ECC" w:rsidR="00221E16" w:rsidRPr="005B5418" w:rsidRDefault="00221E16" w:rsidP="00343610">
            <w:pPr>
              <w:pStyle w:val="FAM-Table-outline"/>
              <w:widowControl/>
              <w:numPr>
                <w:ilvl w:val="0"/>
                <w:numId w:val="9"/>
              </w:numPr>
              <w:adjustRightInd/>
              <w:spacing w:line="240" w:lineRule="auto"/>
              <w:textAlignment w:val="auto"/>
              <w:rPr>
                <w:rFonts w:cs="Arial"/>
              </w:rPr>
            </w:pPr>
            <w:r w:rsidRPr="005B5418">
              <w:rPr>
                <w:rFonts w:cs="Arial"/>
              </w:rPr>
              <w:t xml:space="preserve">Do beginning balances of Cumulative Results of Operations and Unexpended Appropriations agree with the amounts reported as components of net position on the prior year’s </w:t>
            </w:r>
            <w:r w:rsidR="001B5C17" w:rsidRPr="005B5418">
              <w:rPr>
                <w:rFonts w:cs="Arial"/>
              </w:rPr>
              <w:t>balance sheet</w:t>
            </w:r>
            <w:r w:rsidRPr="005B5418">
              <w:rPr>
                <w:rFonts w:cs="Arial"/>
              </w:rPr>
              <w:t xml:space="preserve">? </w:t>
            </w:r>
            <w:r w:rsidR="00F541FB" w:rsidRPr="005B5418">
              <w:rPr>
                <w:rFonts w:cs="Arial"/>
              </w:rPr>
              <w:t>(A-136, section II.3.4.4)</w:t>
            </w:r>
          </w:p>
        </w:tc>
        <w:tc>
          <w:tcPr>
            <w:tcW w:w="965" w:type="dxa"/>
          </w:tcPr>
          <w:p w14:paraId="010ADC8D" w14:textId="77777777" w:rsidR="00221E16" w:rsidRPr="005B5418" w:rsidRDefault="00221E16" w:rsidP="008848DA">
            <w:pPr>
              <w:pStyle w:val="Table-Cell-CenterBoldBefore6ptAfter6pt"/>
              <w:spacing w:before="60" w:after="60"/>
              <w:rPr>
                <w:rFonts w:cs="Arial"/>
              </w:rPr>
            </w:pPr>
          </w:p>
        </w:tc>
        <w:tc>
          <w:tcPr>
            <w:tcW w:w="3211" w:type="dxa"/>
          </w:tcPr>
          <w:p w14:paraId="18BBB6F6" w14:textId="77777777" w:rsidR="00221E16" w:rsidRPr="005B5418" w:rsidRDefault="00221E16" w:rsidP="008848DA">
            <w:pPr>
              <w:spacing w:before="60" w:after="60" w:line="240" w:lineRule="auto"/>
              <w:rPr>
                <w:rFonts w:cs="Arial"/>
              </w:rPr>
            </w:pPr>
          </w:p>
        </w:tc>
      </w:tr>
      <w:tr w:rsidR="00221E16" w:rsidRPr="005B5418" w14:paraId="6C4EE759" w14:textId="77777777" w:rsidTr="00E162E0">
        <w:trPr>
          <w:cantSplit/>
          <w:trHeight w:val="2160"/>
        </w:trPr>
        <w:tc>
          <w:tcPr>
            <w:tcW w:w="5400" w:type="dxa"/>
          </w:tcPr>
          <w:p w14:paraId="234E4622" w14:textId="294359EE" w:rsidR="00221E16" w:rsidRPr="005B5418" w:rsidRDefault="00221E16" w:rsidP="00343610">
            <w:pPr>
              <w:pStyle w:val="FAM-Table-outline"/>
              <w:widowControl/>
              <w:numPr>
                <w:ilvl w:val="0"/>
                <w:numId w:val="9"/>
              </w:numPr>
              <w:adjustRightInd/>
              <w:spacing w:line="240" w:lineRule="auto"/>
              <w:textAlignment w:val="auto"/>
              <w:rPr>
                <w:rFonts w:cs="Arial"/>
              </w:rPr>
            </w:pPr>
            <w:r w:rsidRPr="005B5418">
              <w:rPr>
                <w:rFonts w:cs="Arial"/>
              </w:rPr>
              <w:lastRenderedPageBreak/>
              <w:t>If errors</w:t>
            </w:r>
            <w:r w:rsidR="00120346" w:rsidRPr="005B5418">
              <w:rPr>
                <w:rFonts w:cs="Arial"/>
              </w:rPr>
              <w:t xml:space="preserve"> were discovered after the issuance of the prior year financial statements,</w:t>
            </w:r>
            <w:r w:rsidRPr="005B5418">
              <w:rPr>
                <w:vertAlign w:val="superscript"/>
              </w:rPr>
              <w:footnoteReference w:id="62"/>
            </w:r>
            <w:r w:rsidRPr="005B5418">
              <w:rPr>
                <w:rFonts w:cs="Arial"/>
              </w:rPr>
              <w:t xml:space="preserve"> and if those financial statements or the current financial statements would be materially misstated absent correction, were corrections made in the SCNP as follows</w:t>
            </w:r>
            <w:r w:rsidR="00A563B9" w:rsidRPr="005B5418">
              <w:rPr>
                <w:rFonts w:cs="Arial"/>
              </w:rPr>
              <w:t>:</w:t>
            </w:r>
            <w:r w:rsidRPr="005B5418">
              <w:rPr>
                <w:rFonts w:cs="Arial"/>
              </w:rPr>
              <w:t xml:space="preserve"> </w:t>
            </w:r>
          </w:p>
          <w:p w14:paraId="0CE55900" w14:textId="77777777" w:rsidR="00221E16" w:rsidRPr="005B5418" w:rsidRDefault="00221E16" w:rsidP="009B48C2">
            <w:pPr>
              <w:pStyle w:val="FAM-Table-outline2"/>
              <w:widowControl/>
              <w:numPr>
                <w:ilvl w:val="1"/>
                <w:numId w:val="9"/>
              </w:numPr>
              <w:tabs>
                <w:tab w:val="num" w:pos="1530"/>
              </w:tabs>
              <w:adjustRightInd/>
              <w:spacing w:line="240" w:lineRule="auto"/>
              <w:ind w:left="1147" w:hanging="450"/>
              <w:textAlignment w:val="auto"/>
              <w:rPr>
                <w:rFonts w:cs="Arial"/>
              </w:rPr>
            </w:pPr>
            <w:r w:rsidRPr="005B5418">
              <w:rPr>
                <w:rFonts w:cs="Arial"/>
              </w:rPr>
              <w:t>If only the current period statements are presented, is the cumulative effect of correcting the error reported as a prior period adjustment to the beginning balance of the cumulative results of operations?</w:t>
            </w:r>
          </w:p>
          <w:p w14:paraId="559415E3" w14:textId="77777777" w:rsidR="00221E16" w:rsidRPr="005B5418" w:rsidRDefault="00221E16" w:rsidP="009B48C2">
            <w:pPr>
              <w:pStyle w:val="FAM-Table-outline2"/>
              <w:widowControl/>
              <w:numPr>
                <w:ilvl w:val="1"/>
                <w:numId w:val="9"/>
              </w:numPr>
              <w:tabs>
                <w:tab w:val="num" w:pos="1530"/>
              </w:tabs>
              <w:adjustRightInd/>
              <w:spacing w:line="240" w:lineRule="auto"/>
              <w:ind w:left="1147" w:hanging="450"/>
              <w:textAlignment w:val="auto"/>
              <w:rPr>
                <w:rFonts w:cs="Arial"/>
              </w:rPr>
            </w:pPr>
            <w:r w:rsidRPr="005B5418">
              <w:rPr>
                <w:rFonts w:cs="Arial"/>
              </w:rPr>
              <w:t>If comparative financial statements are presented, are individual amounts on the financial statements corrected in the earliest affected period presented?</w:t>
            </w:r>
          </w:p>
          <w:p w14:paraId="2D188AD8" w14:textId="6FB05AAD" w:rsidR="00221E16" w:rsidRPr="005B5418" w:rsidRDefault="00221E16" w:rsidP="009B48C2">
            <w:pPr>
              <w:pStyle w:val="FAM-Table-outline2"/>
              <w:widowControl/>
              <w:numPr>
                <w:ilvl w:val="1"/>
                <w:numId w:val="9"/>
              </w:numPr>
              <w:adjustRightInd/>
              <w:spacing w:line="240" w:lineRule="auto"/>
              <w:ind w:left="1147" w:hanging="450"/>
              <w:textAlignment w:val="auto"/>
              <w:rPr>
                <w:rFonts w:cs="Arial"/>
                <w:lang w:val="pt-BR"/>
              </w:rPr>
            </w:pPr>
            <w:r w:rsidRPr="005B5418">
              <w:rPr>
                <w:rFonts w:cs="Arial"/>
              </w:rPr>
              <w:t xml:space="preserve">If the earliest period presented in the comparative financial statements is not the period in which the error occurred and the cumulative effect is attributable to prior periods, is the cumulative effect reported as a prior period adjustment to the beginning balance of cumulative results of operations in the SCNP for the earliest period presented? </w:t>
            </w:r>
            <w:r w:rsidRPr="005B5418">
              <w:rPr>
                <w:rFonts w:cs="Arial"/>
              </w:rPr>
              <w:br/>
              <w:t>(SFFAS 21, par</w:t>
            </w:r>
            <w:r w:rsidR="00A563B9" w:rsidRPr="005B5418">
              <w:rPr>
                <w:rFonts w:cs="Arial"/>
              </w:rPr>
              <w:t>as</w:t>
            </w:r>
            <w:r w:rsidRPr="005B5418">
              <w:rPr>
                <w:rFonts w:cs="Arial"/>
              </w:rPr>
              <w:t>. 10</w:t>
            </w:r>
            <w:r w:rsidR="00A563B9" w:rsidRPr="005B5418">
              <w:rPr>
                <w:rFonts w:cs="Arial"/>
              </w:rPr>
              <w:t>–</w:t>
            </w:r>
            <w:r w:rsidRPr="005B5418">
              <w:rPr>
                <w:rFonts w:cs="Arial"/>
              </w:rPr>
              <w:t>11)</w:t>
            </w:r>
          </w:p>
        </w:tc>
        <w:tc>
          <w:tcPr>
            <w:tcW w:w="965" w:type="dxa"/>
          </w:tcPr>
          <w:p w14:paraId="21935118" w14:textId="77777777" w:rsidR="00221E16" w:rsidRPr="005B5418" w:rsidRDefault="00221E16" w:rsidP="008848DA">
            <w:pPr>
              <w:pStyle w:val="Table-Cell-CenterBoldBefore6ptAfter6pt"/>
              <w:spacing w:before="60" w:after="60"/>
              <w:rPr>
                <w:rFonts w:cs="Arial"/>
              </w:rPr>
            </w:pPr>
          </w:p>
        </w:tc>
        <w:tc>
          <w:tcPr>
            <w:tcW w:w="3211" w:type="dxa"/>
          </w:tcPr>
          <w:p w14:paraId="2B9ACA48" w14:textId="77777777" w:rsidR="00221E16" w:rsidRPr="005B5418" w:rsidRDefault="00221E16" w:rsidP="008848DA">
            <w:pPr>
              <w:spacing w:before="60" w:after="60" w:line="240" w:lineRule="auto"/>
              <w:rPr>
                <w:rFonts w:cs="Arial"/>
              </w:rPr>
            </w:pPr>
          </w:p>
        </w:tc>
      </w:tr>
      <w:tr w:rsidR="00221E16" w:rsidRPr="005B5418" w14:paraId="56F020DA" w14:textId="77777777" w:rsidTr="00D14F57">
        <w:trPr>
          <w:cantSplit/>
          <w:trHeight w:val="1907"/>
        </w:trPr>
        <w:tc>
          <w:tcPr>
            <w:tcW w:w="5400" w:type="dxa"/>
          </w:tcPr>
          <w:p w14:paraId="2A0E2E34" w14:textId="201FE292" w:rsidR="00221E16" w:rsidRPr="005B5418" w:rsidRDefault="002E4060">
            <w:pPr>
              <w:pStyle w:val="FAM-Table-outline"/>
              <w:widowControl/>
              <w:numPr>
                <w:ilvl w:val="0"/>
                <w:numId w:val="9"/>
              </w:numPr>
              <w:adjustRightInd/>
              <w:spacing w:line="240" w:lineRule="auto"/>
              <w:textAlignment w:val="auto"/>
              <w:rPr>
                <w:rFonts w:cs="Arial"/>
              </w:rPr>
            </w:pPr>
            <w:r w:rsidRPr="005B5418">
              <w:rPr>
                <w:rFonts w:cs="Arial"/>
              </w:rPr>
              <w:t xml:space="preserve">If prior year financial statements were restated, does </w:t>
            </w:r>
            <w:r w:rsidR="00221E16" w:rsidRPr="005B5418">
              <w:rPr>
                <w:rFonts w:cs="Arial"/>
              </w:rPr>
              <w:t>the SCNP’s current year unadjusted beginning balances for Cumulative Results of Operations and Unexpended Appropriat</w:t>
            </w:r>
            <w:r w:rsidR="004A5541" w:rsidRPr="005B5418">
              <w:rPr>
                <w:rFonts w:cs="Arial"/>
              </w:rPr>
              <w:t>ion</w:t>
            </w:r>
            <w:r w:rsidR="00221E16" w:rsidRPr="005B5418">
              <w:rPr>
                <w:rFonts w:cs="Arial"/>
              </w:rPr>
              <w:t xml:space="preserve">s agree with the restated ending balances on the entity’s prior year SCNP resulting from correction of errors? </w:t>
            </w:r>
          </w:p>
        </w:tc>
        <w:tc>
          <w:tcPr>
            <w:tcW w:w="965" w:type="dxa"/>
          </w:tcPr>
          <w:p w14:paraId="7D0F57E1" w14:textId="77777777" w:rsidR="00221E16" w:rsidRPr="005B5418" w:rsidRDefault="00221E16" w:rsidP="008848DA">
            <w:pPr>
              <w:pStyle w:val="Table-Cell-CenterBoldBefore6ptAfter6pt"/>
              <w:spacing w:before="60" w:after="60"/>
              <w:rPr>
                <w:rFonts w:cs="Arial"/>
              </w:rPr>
            </w:pPr>
          </w:p>
        </w:tc>
        <w:tc>
          <w:tcPr>
            <w:tcW w:w="3211" w:type="dxa"/>
          </w:tcPr>
          <w:p w14:paraId="50AB4E85" w14:textId="77777777" w:rsidR="00221E16" w:rsidRPr="005B5418" w:rsidRDefault="00221E16" w:rsidP="008848DA">
            <w:pPr>
              <w:spacing w:before="60" w:after="60" w:line="240" w:lineRule="auto"/>
              <w:rPr>
                <w:rFonts w:cs="Arial"/>
              </w:rPr>
            </w:pPr>
          </w:p>
        </w:tc>
      </w:tr>
      <w:tr w:rsidR="00221E16" w:rsidRPr="005B5418" w14:paraId="3E1D4EA3" w14:textId="77777777" w:rsidTr="00D14F57">
        <w:trPr>
          <w:cantSplit/>
          <w:trHeight w:val="1349"/>
        </w:trPr>
        <w:tc>
          <w:tcPr>
            <w:tcW w:w="5400" w:type="dxa"/>
          </w:tcPr>
          <w:p w14:paraId="5529318C" w14:textId="21BF3A56" w:rsidR="00221E16" w:rsidRPr="005B5418" w:rsidRDefault="00221E16" w:rsidP="00343610">
            <w:pPr>
              <w:pStyle w:val="FAM-Table-outline"/>
              <w:widowControl/>
              <w:numPr>
                <w:ilvl w:val="0"/>
                <w:numId w:val="9"/>
              </w:numPr>
              <w:adjustRightInd/>
              <w:spacing w:line="240" w:lineRule="auto"/>
              <w:textAlignment w:val="auto"/>
              <w:rPr>
                <w:rFonts w:cs="Arial"/>
              </w:rPr>
            </w:pPr>
            <w:r w:rsidRPr="005B5418">
              <w:rPr>
                <w:rFonts w:cs="Arial"/>
              </w:rPr>
              <w:t>Is the nature of an error in previously issued financial statements</w:t>
            </w:r>
            <w:r w:rsidR="00A8581F" w:rsidRPr="005B5418">
              <w:t xml:space="preserve"> </w:t>
            </w:r>
            <w:r w:rsidR="00A8581F" w:rsidRPr="005B5418">
              <w:rPr>
                <w:rFonts w:cs="Arial"/>
              </w:rPr>
              <w:t>and the effect of its correction on relevant balances disclosed?</w:t>
            </w:r>
            <w:r w:rsidRPr="005B5418">
              <w:rPr>
                <w:vertAlign w:val="superscript"/>
              </w:rPr>
              <w:footnoteReference w:id="63"/>
            </w:r>
            <w:r w:rsidRPr="005B5418">
              <w:rPr>
                <w:rFonts w:cs="Arial"/>
              </w:rPr>
              <w:t xml:space="preserve"> (SFFAS 21, par</w:t>
            </w:r>
            <w:r w:rsidR="00A8581F" w:rsidRPr="005B5418">
              <w:rPr>
                <w:rFonts w:cs="Arial"/>
              </w:rPr>
              <w:t>a</w:t>
            </w:r>
            <w:r w:rsidRPr="005B5418">
              <w:rPr>
                <w:rFonts w:cs="Arial"/>
              </w:rPr>
              <w:t>. 10 (c))</w:t>
            </w:r>
          </w:p>
        </w:tc>
        <w:tc>
          <w:tcPr>
            <w:tcW w:w="965" w:type="dxa"/>
          </w:tcPr>
          <w:p w14:paraId="285EA659" w14:textId="77777777" w:rsidR="00221E16" w:rsidRPr="005B5418" w:rsidRDefault="00221E16" w:rsidP="008848DA">
            <w:pPr>
              <w:pStyle w:val="Table-Cell-CenterBoldBefore6ptAfter6pt"/>
              <w:spacing w:before="60" w:after="60"/>
              <w:rPr>
                <w:rFonts w:cs="Arial"/>
              </w:rPr>
            </w:pPr>
          </w:p>
        </w:tc>
        <w:tc>
          <w:tcPr>
            <w:tcW w:w="3211" w:type="dxa"/>
          </w:tcPr>
          <w:p w14:paraId="522059AE" w14:textId="77777777" w:rsidR="00221E16" w:rsidRPr="005B5418" w:rsidRDefault="00221E16" w:rsidP="008848DA">
            <w:pPr>
              <w:spacing w:before="60" w:after="60" w:line="240" w:lineRule="auto"/>
              <w:rPr>
                <w:rFonts w:cs="Arial"/>
              </w:rPr>
            </w:pPr>
          </w:p>
        </w:tc>
      </w:tr>
      <w:tr w:rsidR="00221E16" w:rsidRPr="005B5418" w14:paraId="7577CC4D" w14:textId="77777777" w:rsidTr="00E162E0">
        <w:trPr>
          <w:cantSplit/>
          <w:trHeight w:val="1628"/>
        </w:trPr>
        <w:tc>
          <w:tcPr>
            <w:tcW w:w="5400" w:type="dxa"/>
          </w:tcPr>
          <w:p w14:paraId="055EA8AC" w14:textId="23C40C1B" w:rsidR="00221E16" w:rsidRPr="005B5418" w:rsidRDefault="00221E16">
            <w:pPr>
              <w:pStyle w:val="FAM-Table-outline"/>
              <w:widowControl/>
              <w:numPr>
                <w:ilvl w:val="0"/>
                <w:numId w:val="9"/>
              </w:numPr>
              <w:adjustRightInd/>
              <w:spacing w:line="240" w:lineRule="auto"/>
              <w:textAlignment w:val="auto"/>
              <w:rPr>
                <w:rFonts w:cs="Arial"/>
              </w:rPr>
            </w:pPr>
            <w:r w:rsidRPr="005B5418">
              <w:rPr>
                <w:rFonts w:cs="Arial"/>
              </w:rPr>
              <w:lastRenderedPageBreak/>
              <w:t xml:space="preserve">If </w:t>
            </w:r>
            <w:r w:rsidR="002F6F82" w:rsidRPr="002F6F82">
              <w:rPr>
                <w:rFonts w:cs="Arial"/>
              </w:rPr>
              <w:t xml:space="preserve">comparative financial statements are presented and </w:t>
            </w:r>
            <w:r w:rsidRPr="005B5418">
              <w:rPr>
                <w:rFonts w:cs="Arial"/>
              </w:rPr>
              <w:t xml:space="preserve">the entity presents the correction of an error reported in previously issued financial statements, did the entity label the prior year comparative column as “Restated” for each statement and note affected by the correction? </w:t>
            </w:r>
          </w:p>
        </w:tc>
        <w:tc>
          <w:tcPr>
            <w:tcW w:w="965" w:type="dxa"/>
          </w:tcPr>
          <w:p w14:paraId="1B797FB7" w14:textId="77777777" w:rsidR="00221E16" w:rsidRPr="005B5418" w:rsidRDefault="00221E16" w:rsidP="008848DA">
            <w:pPr>
              <w:pStyle w:val="Table-Cell-CenterBoldBefore6ptAfter6pt"/>
              <w:spacing w:before="60" w:after="60"/>
              <w:rPr>
                <w:rFonts w:cs="Arial"/>
              </w:rPr>
            </w:pPr>
          </w:p>
        </w:tc>
        <w:tc>
          <w:tcPr>
            <w:tcW w:w="3211" w:type="dxa"/>
          </w:tcPr>
          <w:p w14:paraId="1F254FEC" w14:textId="77777777" w:rsidR="00221E16" w:rsidRPr="005B5418" w:rsidRDefault="00221E16" w:rsidP="008848DA">
            <w:pPr>
              <w:spacing w:before="60" w:after="60" w:line="240" w:lineRule="auto"/>
              <w:rPr>
                <w:rFonts w:cs="Arial"/>
              </w:rPr>
            </w:pPr>
          </w:p>
        </w:tc>
      </w:tr>
      <w:tr w:rsidR="00221E16" w:rsidRPr="005B5418" w14:paraId="0A915620" w14:textId="77777777" w:rsidTr="00D14F57">
        <w:trPr>
          <w:trHeight w:val="647"/>
        </w:trPr>
        <w:tc>
          <w:tcPr>
            <w:tcW w:w="5400" w:type="dxa"/>
          </w:tcPr>
          <w:p w14:paraId="0FE58F53" w14:textId="5D88980A" w:rsidR="00221E16" w:rsidRPr="005B5418" w:rsidRDefault="00221E16" w:rsidP="00343610">
            <w:pPr>
              <w:pStyle w:val="FAM-Table-outline"/>
              <w:widowControl/>
              <w:numPr>
                <w:ilvl w:val="0"/>
                <w:numId w:val="9"/>
              </w:numPr>
              <w:adjustRightInd/>
              <w:spacing w:line="240" w:lineRule="auto"/>
              <w:textAlignment w:val="auto"/>
              <w:rPr>
                <w:rFonts w:cs="Arial"/>
              </w:rPr>
            </w:pPr>
            <w:r w:rsidRPr="005B5418">
              <w:rPr>
                <w:rFonts w:cs="Arial"/>
              </w:rPr>
              <w:t>If changes in accounting principles</w:t>
            </w:r>
            <w:r w:rsidR="004B6C96" w:rsidRPr="005B5418">
              <w:rPr>
                <w:rFonts w:cs="Arial"/>
              </w:rPr>
              <w:t xml:space="preserve"> would have resulted in a change to prior period financial statements,</w:t>
            </w:r>
            <w:r w:rsidRPr="005B5418">
              <w:rPr>
                <w:vertAlign w:val="superscript"/>
              </w:rPr>
              <w:footnoteReference w:id="64"/>
            </w:r>
            <w:r w:rsidRPr="005B5418">
              <w:rPr>
                <w:rFonts w:cs="Arial"/>
              </w:rPr>
              <w:t xml:space="preserve"> </w:t>
            </w:r>
            <w:r w:rsidR="00A3673F" w:rsidRPr="005B5418">
              <w:rPr>
                <w:rFonts w:cs="Arial"/>
              </w:rPr>
              <w:t xml:space="preserve">unless otherwise specified in the transition instructions section of a new FASAB standard, </w:t>
            </w:r>
            <w:r w:rsidRPr="005B5418">
              <w:rPr>
                <w:rFonts w:cs="Arial"/>
              </w:rPr>
              <w:t>are they handled in the following manner</w:t>
            </w:r>
            <w:r w:rsidR="004B6C96" w:rsidRPr="005B5418">
              <w:rPr>
                <w:rFonts w:cs="Arial"/>
              </w:rPr>
              <w:t>:</w:t>
            </w:r>
          </w:p>
          <w:p w14:paraId="74B8259C" w14:textId="77777777" w:rsidR="00221E16" w:rsidRPr="005B5418" w:rsidRDefault="00221E16" w:rsidP="001A1310">
            <w:pPr>
              <w:pStyle w:val="FAM-Table-outline2"/>
              <w:widowControl/>
              <w:numPr>
                <w:ilvl w:val="1"/>
                <w:numId w:val="9"/>
              </w:numPr>
              <w:adjustRightInd/>
              <w:spacing w:line="240" w:lineRule="auto"/>
              <w:ind w:left="1147" w:hanging="450"/>
              <w:textAlignment w:val="auto"/>
              <w:rPr>
                <w:rFonts w:cs="Arial"/>
              </w:rPr>
            </w:pPr>
            <w:r w:rsidRPr="005B5418">
              <w:rPr>
                <w:rFonts w:cs="Arial"/>
              </w:rPr>
              <w:t>the cumulative effect of the change on prior periods is reported as a “change in accounting principle” with an adjustment to the beginning balance of the cumulative results of operations in the SCNP for the period that the change is made;</w:t>
            </w:r>
          </w:p>
          <w:p w14:paraId="5787D64B" w14:textId="7A2CED16" w:rsidR="00221E16" w:rsidRPr="005B5418" w:rsidRDefault="00221E16" w:rsidP="001A1310">
            <w:pPr>
              <w:pStyle w:val="FAM-Table-outline2"/>
              <w:widowControl/>
              <w:numPr>
                <w:ilvl w:val="1"/>
                <w:numId w:val="9"/>
              </w:numPr>
              <w:tabs>
                <w:tab w:val="num" w:pos="1530"/>
              </w:tabs>
              <w:adjustRightInd/>
              <w:spacing w:line="240" w:lineRule="auto"/>
              <w:ind w:left="1147" w:hanging="450"/>
              <w:textAlignment w:val="auto"/>
              <w:rPr>
                <w:rFonts w:cs="Arial"/>
              </w:rPr>
            </w:pPr>
            <w:r w:rsidRPr="005B5418">
              <w:rPr>
                <w:rFonts w:cs="Arial"/>
              </w:rPr>
              <w:t>if comparative financial statements</w:t>
            </w:r>
            <w:r w:rsidR="00B63BC7">
              <w:rPr>
                <w:rFonts w:cs="Arial"/>
              </w:rPr>
              <w:t xml:space="preserve"> are presented</w:t>
            </w:r>
            <w:r w:rsidRPr="005B5418">
              <w:rPr>
                <w:rFonts w:cs="Arial"/>
              </w:rPr>
              <w:t>, prior period amounts are presented as previously reported; and</w:t>
            </w:r>
          </w:p>
          <w:p w14:paraId="1134E892" w14:textId="38AD6326" w:rsidR="00221E16" w:rsidRPr="005B5418" w:rsidRDefault="00221E16" w:rsidP="001A1310">
            <w:pPr>
              <w:pStyle w:val="FAM-Table-outline2"/>
              <w:widowControl/>
              <w:numPr>
                <w:ilvl w:val="1"/>
                <w:numId w:val="9"/>
              </w:numPr>
              <w:tabs>
                <w:tab w:val="num" w:pos="1530"/>
              </w:tabs>
              <w:adjustRightInd/>
              <w:spacing w:line="240" w:lineRule="auto"/>
              <w:ind w:left="1147" w:hanging="450"/>
              <w:textAlignment w:val="auto"/>
              <w:rPr>
                <w:rFonts w:cs="Arial"/>
              </w:rPr>
            </w:pPr>
            <w:r w:rsidRPr="005B5418">
              <w:rPr>
                <w:rFonts w:cs="Arial"/>
              </w:rPr>
              <w:t>the nature of the changes in accounting principle</w:t>
            </w:r>
            <w:r w:rsidR="006A6576" w:rsidRPr="005B5418">
              <w:rPr>
                <w:rFonts w:cs="Arial"/>
              </w:rPr>
              <w:t>s</w:t>
            </w:r>
            <w:r w:rsidRPr="005B5418">
              <w:rPr>
                <w:rFonts w:cs="Arial"/>
              </w:rPr>
              <w:t xml:space="preserve"> and its effect on relevant balances are disclosed in the current period? (SFFAS 21, par</w:t>
            </w:r>
            <w:r w:rsidR="000A7AF7" w:rsidRPr="005B5418">
              <w:rPr>
                <w:rFonts w:cs="Arial"/>
              </w:rPr>
              <w:t>as</w:t>
            </w:r>
            <w:r w:rsidRPr="005B5418">
              <w:rPr>
                <w:rFonts w:cs="Arial"/>
              </w:rPr>
              <w:t>. 12</w:t>
            </w:r>
            <w:r w:rsidR="000A7AF7" w:rsidRPr="005B5418">
              <w:rPr>
                <w:rFonts w:cs="Arial"/>
              </w:rPr>
              <w:t>–</w:t>
            </w:r>
            <w:r w:rsidRPr="005B5418">
              <w:rPr>
                <w:rFonts w:cs="Arial"/>
              </w:rPr>
              <w:t>13)</w:t>
            </w:r>
          </w:p>
        </w:tc>
        <w:tc>
          <w:tcPr>
            <w:tcW w:w="965" w:type="dxa"/>
          </w:tcPr>
          <w:p w14:paraId="35CADD0A" w14:textId="77777777" w:rsidR="00221E16" w:rsidRPr="005B5418" w:rsidRDefault="00221E16" w:rsidP="008848DA">
            <w:pPr>
              <w:pStyle w:val="Table-Cell-CenterBoldBefore6ptAfter6pt"/>
              <w:spacing w:before="60" w:after="60"/>
              <w:rPr>
                <w:rFonts w:cs="Arial"/>
              </w:rPr>
            </w:pPr>
          </w:p>
        </w:tc>
        <w:tc>
          <w:tcPr>
            <w:tcW w:w="3211" w:type="dxa"/>
          </w:tcPr>
          <w:p w14:paraId="428EA4B8" w14:textId="77777777" w:rsidR="00A3673F" w:rsidRPr="005B5418" w:rsidRDefault="00A3673F" w:rsidP="008848DA">
            <w:pPr>
              <w:spacing w:before="60" w:after="60" w:line="240" w:lineRule="auto"/>
              <w:rPr>
                <w:rFonts w:cs="Arial"/>
              </w:rPr>
            </w:pPr>
          </w:p>
          <w:p w14:paraId="755209BF" w14:textId="77777777" w:rsidR="00A3673F" w:rsidRPr="005B5418" w:rsidRDefault="00A3673F" w:rsidP="008848DA">
            <w:pPr>
              <w:spacing w:before="60" w:after="60" w:line="240" w:lineRule="auto"/>
              <w:rPr>
                <w:rFonts w:cs="Arial"/>
              </w:rPr>
            </w:pPr>
          </w:p>
          <w:p w14:paraId="674CDB98" w14:textId="77777777" w:rsidR="00221E16" w:rsidRPr="005B5418" w:rsidRDefault="00221E16" w:rsidP="008848DA">
            <w:pPr>
              <w:spacing w:before="60" w:after="60" w:line="240" w:lineRule="auto"/>
              <w:jc w:val="center"/>
              <w:rPr>
                <w:rFonts w:cs="Arial"/>
              </w:rPr>
            </w:pPr>
          </w:p>
        </w:tc>
      </w:tr>
      <w:tr w:rsidR="00221E16" w:rsidRPr="005B5418" w14:paraId="43BDF365" w14:textId="77777777" w:rsidTr="00E162E0">
        <w:trPr>
          <w:cantSplit/>
          <w:trHeight w:val="1610"/>
        </w:trPr>
        <w:tc>
          <w:tcPr>
            <w:tcW w:w="5400" w:type="dxa"/>
          </w:tcPr>
          <w:p w14:paraId="04A1BF6D" w14:textId="5AC1A94C" w:rsidR="00221E16" w:rsidRPr="005B5418" w:rsidRDefault="00221E16" w:rsidP="00EB4ABE">
            <w:pPr>
              <w:pStyle w:val="FAM-Table-outline"/>
              <w:widowControl/>
              <w:numPr>
                <w:ilvl w:val="0"/>
                <w:numId w:val="9"/>
              </w:numPr>
              <w:adjustRightInd/>
              <w:spacing w:line="240" w:lineRule="auto"/>
              <w:textAlignment w:val="auto"/>
              <w:rPr>
                <w:rFonts w:cs="Arial"/>
              </w:rPr>
            </w:pPr>
            <w:r w:rsidRPr="005B5418">
              <w:rPr>
                <w:rFonts w:cs="Arial"/>
              </w:rPr>
              <w:t xml:space="preserve">Are “beginning balances, as adjusted,” equal to the sum of the beginning balances of net position as reported on the prior year’s </w:t>
            </w:r>
            <w:r w:rsidR="001B5C17" w:rsidRPr="005B5418">
              <w:rPr>
                <w:rFonts w:cs="Arial"/>
              </w:rPr>
              <w:t>balance sheet</w:t>
            </w:r>
            <w:r w:rsidRPr="005B5418">
              <w:rPr>
                <w:rFonts w:cs="Arial"/>
              </w:rPr>
              <w:t xml:space="preserve"> and the prior period adjustments? </w:t>
            </w:r>
            <w:r w:rsidR="00FA4313" w:rsidRPr="005B5418">
              <w:rPr>
                <w:rFonts w:cs="Arial"/>
              </w:rPr>
              <w:t>(A-136, section II.3.4.4)</w:t>
            </w:r>
          </w:p>
        </w:tc>
        <w:tc>
          <w:tcPr>
            <w:tcW w:w="965" w:type="dxa"/>
          </w:tcPr>
          <w:p w14:paraId="4C397C1C" w14:textId="77777777" w:rsidR="00221E16" w:rsidRPr="005B5418" w:rsidRDefault="00221E16" w:rsidP="008848DA">
            <w:pPr>
              <w:pStyle w:val="Table-Cell-CenterBoldBefore6ptAfter6pt"/>
              <w:spacing w:before="60" w:after="60"/>
              <w:rPr>
                <w:rFonts w:cs="Arial"/>
              </w:rPr>
            </w:pPr>
          </w:p>
        </w:tc>
        <w:tc>
          <w:tcPr>
            <w:tcW w:w="3211" w:type="dxa"/>
          </w:tcPr>
          <w:p w14:paraId="545B0AE6" w14:textId="77777777" w:rsidR="00221E16" w:rsidRPr="005B5418" w:rsidRDefault="00221E16" w:rsidP="008848DA">
            <w:pPr>
              <w:spacing w:before="60" w:after="60" w:line="240" w:lineRule="auto"/>
              <w:rPr>
                <w:rFonts w:cs="Arial"/>
              </w:rPr>
            </w:pPr>
          </w:p>
        </w:tc>
      </w:tr>
      <w:tr w:rsidR="00221E16" w:rsidRPr="005B5418" w14:paraId="7275A727" w14:textId="77777777" w:rsidTr="006A6576">
        <w:trPr>
          <w:cantSplit/>
          <w:trHeight w:val="1250"/>
        </w:trPr>
        <w:tc>
          <w:tcPr>
            <w:tcW w:w="5400" w:type="dxa"/>
          </w:tcPr>
          <w:p w14:paraId="692F3B5C" w14:textId="7669D734" w:rsidR="00221E16" w:rsidRPr="005B5418" w:rsidRDefault="00221E16">
            <w:pPr>
              <w:pStyle w:val="FAM-Table-outline"/>
              <w:widowControl/>
              <w:numPr>
                <w:ilvl w:val="0"/>
                <w:numId w:val="9"/>
              </w:numPr>
              <w:adjustRightInd/>
              <w:spacing w:line="240" w:lineRule="auto"/>
              <w:textAlignment w:val="auto"/>
              <w:rPr>
                <w:rFonts w:cs="Arial"/>
              </w:rPr>
            </w:pPr>
            <w:r w:rsidRPr="005B5418">
              <w:rPr>
                <w:rFonts w:cs="Arial"/>
              </w:rPr>
              <w:t>Does imputed financing</w:t>
            </w:r>
            <w:r w:rsidR="00C521AF" w:rsidRPr="005B5418">
              <w:rPr>
                <w:rFonts w:cs="Arial"/>
              </w:rPr>
              <w:t xml:space="preserve"> reported on the SCNP equal the amount of imputed costs on the SNC?</w:t>
            </w:r>
            <w:r w:rsidRPr="005B5418">
              <w:rPr>
                <w:vertAlign w:val="superscript"/>
              </w:rPr>
              <w:footnoteReference w:id="65"/>
            </w:r>
            <w:r w:rsidRPr="005B5418">
              <w:rPr>
                <w:rFonts w:cs="Arial"/>
              </w:rPr>
              <w:t xml:space="preserve"> (A-136, section II.3.4.</w:t>
            </w:r>
            <w:r w:rsidR="002B4078" w:rsidRPr="005B5418">
              <w:rPr>
                <w:rFonts w:cs="Arial"/>
              </w:rPr>
              <w:t>4</w:t>
            </w:r>
            <w:r w:rsidRPr="005B5418">
              <w:rPr>
                <w:rFonts w:cs="Arial"/>
              </w:rPr>
              <w:t>)</w:t>
            </w:r>
          </w:p>
        </w:tc>
        <w:tc>
          <w:tcPr>
            <w:tcW w:w="965" w:type="dxa"/>
          </w:tcPr>
          <w:p w14:paraId="5405382C" w14:textId="77777777" w:rsidR="00221E16" w:rsidRPr="005B5418" w:rsidRDefault="00221E16" w:rsidP="008848DA">
            <w:pPr>
              <w:pStyle w:val="Table-Cell-CenterBoldBefore6ptAfter6pt"/>
              <w:spacing w:before="60" w:after="60"/>
              <w:rPr>
                <w:rFonts w:cs="Arial"/>
              </w:rPr>
            </w:pPr>
          </w:p>
        </w:tc>
        <w:tc>
          <w:tcPr>
            <w:tcW w:w="3211" w:type="dxa"/>
          </w:tcPr>
          <w:p w14:paraId="6748E492" w14:textId="77777777" w:rsidR="00221E16" w:rsidRPr="005B5418" w:rsidRDefault="00221E16" w:rsidP="008848DA">
            <w:pPr>
              <w:pStyle w:val="Table-Cell-Center"/>
              <w:spacing w:before="60" w:after="60" w:line="240" w:lineRule="auto"/>
              <w:rPr>
                <w:rFonts w:cs="Arial"/>
              </w:rPr>
            </w:pPr>
          </w:p>
        </w:tc>
      </w:tr>
      <w:tr w:rsidR="00221E16" w:rsidRPr="005B5418" w14:paraId="0387E2BB" w14:textId="77777777" w:rsidTr="008D614A">
        <w:trPr>
          <w:cantSplit/>
          <w:trHeight w:val="971"/>
        </w:trPr>
        <w:tc>
          <w:tcPr>
            <w:tcW w:w="5400" w:type="dxa"/>
          </w:tcPr>
          <w:p w14:paraId="269A7583" w14:textId="7CF75E3E" w:rsidR="00221E16" w:rsidRPr="005B5418" w:rsidRDefault="00221E16" w:rsidP="00343610">
            <w:pPr>
              <w:pStyle w:val="FAM-Table-outline"/>
              <w:widowControl/>
              <w:numPr>
                <w:ilvl w:val="0"/>
                <w:numId w:val="9"/>
              </w:numPr>
              <w:adjustRightInd/>
              <w:spacing w:line="240" w:lineRule="auto"/>
              <w:textAlignment w:val="auto"/>
              <w:rPr>
                <w:rFonts w:cs="Arial"/>
              </w:rPr>
            </w:pPr>
            <w:r w:rsidRPr="005B5418">
              <w:rPr>
                <w:rFonts w:cs="Arial"/>
              </w:rPr>
              <w:lastRenderedPageBreak/>
              <w:t xml:space="preserve">Does “net cost of operations” </w:t>
            </w:r>
            <w:r w:rsidR="00D54BF6" w:rsidRPr="005B5418">
              <w:rPr>
                <w:rFonts w:cs="Arial"/>
              </w:rPr>
              <w:t xml:space="preserve">on the SCNP </w:t>
            </w:r>
            <w:r w:rsidRPr="005B5418">
              <w:rPr>
                <w:rFonts w:cs="Arial"/>
              </w:rPr>
              <w:t xml:space="preserve">agree with the net cost of operations on the </w:t>
            </w:r>
            <w:r w:rsidR="00DB2A10" w:rsidRPr="005B5418">
              <w:rPr>
                <w:rFonts w:cs="Arial"/>
              </w:rPr>
              <w:t>SNC</w:t>
            </w:r>
            <w:r w:rsidRPr="005B5418">
              <w:rPr>
                <w:rFonts w:cs="Arial"/>
              </w:rPr>
              <w:t xml:space="preserve">? </w:t>
            </w:r>
          </w:p>
        </w:tc>
        <w:tc>
          <w:tcPr>
            <w:tcW w:w="965" w:type="dxa"/>
          </w:tcPr>
          <w:p w14:paraId="0E9ADD43" w14:textId="77777777" w:rsidR="00221E16" w:rsidRPr="005B5418" w:rsidRDefault="00221E16" w:rsidP="008848DA">
            <w:pPr>
              <w:pStyle w:val="Table-Cell-CenterBoldBefore6ptAfter6pt"/>
              <w:spacing w:before="60" w:after="60"/>
              <w:rPr>
                <w:rFonts w:cs="Arial"/>
              </w:rPr>
            </w:pPr>
          </w:p>
        </w:tc>
        <w:tc>
          <w:tcPr>
            <w:tcW w:w="3211" w:type="dxa"/>
          </w:tcPr>
          <w:p w14:paraId="66270F6E" w14:textId="77777777" w:rsidR="00221E16" w:rsidRPr="005B5418" w:rsidRDefault="00221E16" w:rsidP="008848DA">
            <w:pPr>
              <w:pStyle w:val="Table-Cell-Center"/>
              <w:spacing w:before="60" w:after="60" w:line="240" w:lineRule="auto"/>
              <w:rPr>
                <w:rFonts w:cs="Arial"/>
              </w:rPr>
            </w:pPr>
          </w:p>
        </w:tc>
      </w:tr>
      <w:tr w:rsidR="00221E16" w:rsidRPr="005B5418" w14:paraId="47B09B66" w14:textId="77777777" w:rsidTr="00FD367F">
        <w:trPr>
          <w:cantSplit/>
          <w:trHeight w:val="2160"/>
        </w:trPr>
        <w:tc>
          <w:tcPr>
            <w:tcW w:w="5400" w:type="dxa"/>
            <w:shd w:val="clear" w:color="auto" w:fill="auto"/>
          </w:tcPr>
          <w:p w14:paraId="3C13D46B" w14:textId="44FA17F1" w:rsidR="00221E16" w:rsidRPr="005B5418" w:rsidRDefault="00221E16" w:rsidP="00343610">
            <w:pPr>
              <w:pStyle w:val="FAM-Table-outline"/>
              <w:widowControl/>
              <w:numPr>
                <w:ilvl w:val="0"/>
                <w:numId w:val="9"/>
              </w:numPr>
              <w:adjustRightInd/>
              <w:spacing w:line="240" w:lineRule="auto"/>
              <w:textAlignment w:val="auto"/>
              <w:rPr>
                <w:rFonts w:cs="Arial"/>
              </w:rPr>
            </w:pPr>
            <w:r w:rsidRPr="005B5418">
              <w:rPr>
                <w:rFonts w:cs="Arial"/>
              </w:rPr>
              <w:t xml:space="preserve">If the entity retains collected exchange revenue (which is normally reported on the </w:t>
            </w:r>
            <w:r w:rsidR="00FD2015" w:rsidRPr="005B5418">
              <w:rPr>
                <w:rFonts w:cs="Arial"/>
              </w:rPr>
              <w:t>SNC</w:t>
            </w:r>
            <w:r w:rsidRPr="005B5418">
              <w:rPr>
                <w:rFonts w:cs="Arial"/>
              </w:rPr>
              <w:t xml:space="preserve">) for which it incurs virtually no cost in connection with earning the revenue, is such revenue shown as a financing source on the </w:t>
            </w:r>
            <w:r w:rsidR="00FD2015" w:rsidRPr="005B5418">
              <w:rPr>
                <w:rFonts w:cs="Arial"/>
              </w:rPr>
              <w:t>SCNP</w:t>
            </w:r>
            <w:r w:rsidRPr="005B5418">
              <w:rPr>
                <w:rFonts w:cs="Arial"/>
              </w:rPr>
              <w:t xml:space="preserve"> and not the </w:t>
            </w:r>
            <w:r w:rsidR="00FD2015" w:rsidRPr="005B5418">
              <w:rPr>
                <w:rFonts w:cs="Arial"/>
              </w:rPr>
              <w:t>SNC</w:t>
            </w:r>
            <w:r w:rsidRPr="005B5418">
              <w:rPr>
                <w:rFonts w:cs="Arial"/>
              </w:rPr>
              <w:t>? (SFFAS 7, par</w:t>
            </w:r>
            <w:r w:rsidR="00DB2A10" w:rsidRPr="005B5418">
              <w:rPr>
                <w:rFonts w:cs="Arial"/>
              </w:rPr>
              <w:t>a</w:t>
            </w:r>
            <w:r w:rsidRPr="005B5418">
              <w:rPr>
                <w:rFonts w:cs="Arial"/>
              </w:rPr>
              <w:t>. 45)</w:t>
            </w:r>
          </w:p>
        </w:tc>
        <w:tc>
          <w:tcPr>
            <w:tcW w:w="965" w:type="dxa"/>
          </w:tcPr>
          <w:p w14:paraId="5FC8E9B5" w14:textId="77777777" w:rsidR="00221E16" w:rsidRPr="005B5418" w:rsidRDefault="00221E16" w:rsidP="008848DA">
            <w:pPr>
              <w:pStyle w:val="Table-Cell-CenterBoldBefore6ptAfter6pt"/>
              <w:spacing w:before="60" w:after="60"/>
              <w:rPr>
                <w:rFonts w:cs="Arial"/>
              </w:rPr>
            </w:pPr>
          </w:p>
        </w:tc>
        <w:tc>
          <w:tcPr>
            <w:tcW w:w="3211" w:type="dxa"/>
          </w:tcPr>
          <w:p w14:paraId="39BAA09E" w14:textId="77777777" w:rsidR="00221E16" w:rsidRPr="005B5418" w:rsidRDefault="00221E16" w:rsidP="008848DA">
            <w:pPr>
              <w:pStyle w:val="Table-Cell-Center"/>
              <w:spacing w:before="60" w:after="60" w:line="240" w:lineRule="auto"/>
              <w:rPr>
                <w:rFonts w:cs="Arial"/>
              </w:rPr>
            </w:pPr>
          </w:p>
        </w:tc>
      </w:tr>
    </w:tbl>
    <w:p w14:paraId="5D467544" w14:textId="77777777" w:rsidR="00221E16" w:rsidRPr="005B5418" w:rsidRDefault="00221E16" w:rsidP="003B61E9">
      <w:pPr>
        <w:spacing w:line="240" w:lineRule="auto"/>
        <w:rPr>
          <w:rFonts w:eastAsia="Arial Unicode MS" w:cs="Arial"/>
        </w:rPr>
      </w:pPr>
      <w:r w:rsidRPr="005B5418">
        <w:rPr>
          <w:rFonts w:eastAsia="Arial Unicode M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221E16" w:rsidRPr="005B5418" w14:paraId="70160900" w14:textId="77777777" w:rsidTr="00B96E6D">
        <w:trPr>
          <w:tblHeader/>
        </w:trPr>
        <w:tc>
          <w:tcPr>
            <w:tcW w:w="5400" w:type="dxa"/>
          </w:tcPr>
          <w:p w14:paraId="730D8A0A" w14:textId="77777777" w:rsidR="00221E16" w:rsidRPr="005B5418" w:rsidRDefault="00221E16" w:rsidP="008848DA">
            <w:pPr>
              <w:pStyle w:val="Heading4"/>
              <w:spacing w:before="60" w:after="60" w:line="240" w:lineRule="auto"/>
              <w:jc w:val="left"/>
              <w:rPr>
                <w:b/>
                <w:u w:val="none"/>
              </w:rPr>
            </w:pPr>
            <w:bookmarkStart w:id="76" w:name="_II.3.5_Statement_of"/>
            <w:bookmarkStart w:id="77" w:name="_Ref384815443"/>
            <w:bookmarkStart w:id="78" w:name="_Toc394667878"/>
            <w:bookmarkEnd w:id="76"/>
            <w:r w:rsidRPr="005B5418">
              <w:rPr>
                <w:b/>
                <w:u w:val="none"/>
              </w:rPr>
              <w:lastRenderedPageBreak/>
              <w:t>II.3.5 Statement of Budgetary Resources</w:t>
            </w:r>
            <w:bookmarkEnd w:id="77"/>
            <w:bookmarkEnd w:id="78"/>
          </w:p>
        </w:tc>
        <w:tc>
          <w:tcPr>
            <w:tcW w:w="965" w:type="dxa"/>
          </w:tcPr>
          <w:p w14:paraId="6975A7C1" w14:textId="77777777" w:rsidR="00221E16" w:rsidRPr="005B5418" w:rsidRDefault="00221E16" w:rsidP="008848DA">
            <w:pPr>
              <w:pStyle w:val="TableCellCenter"/>
              <w:spacing w:before="60" w:after="60"/>
              <w:jc w:val="left"/>
            </w:pPr>
            <w:r w:rsidRPr="005B5418">
              <w:t>Yes, No, or N/A</w:t>
            </w:r>
          </w:p>
        </w:tc>
        <w:tc>
          <w:tcPr>
            <w:tcW w:w="3211" w:type="dxa"/>
          </w:tcPr>
          <w:p w14:paraId="61B17658" w14:textId="209567D7" w:rsidR="00221E16" w:rsidRPr="005B5418" w:rsidRDefault="00221E16" w:rsidP="008848DA">
            <w:pPr>
              <w:pStyle w:val="TableCellCenter"/>
              <w:spacing w:before="60" w:after="60"/>
              <w:jc w:val="left"/>
            </w:pPr>
            <w:r w:rsidRPr="005B5418">
              <w:t xml:space="preserve">Explanation </w:t>
            </w:r>
            <w:r w:rsidR="00C5426A" w:rsidRPr="005B5418">
              <w:t xml:space="preserve">and </w:t>
            </w:r>
            <w:r w:rsidRPr="005B5418">
              <w:t>Reference</w:t>
            </w:r>
          </w:p>
        </w:tc>
      </w:tr>
      <w:tr w:rsidR="00221E16" w:rsidRPr="005B5418" w14:paraId="1C632458" w14:textId="77777777" w:rsidTr="00E162E0">
        <w:trPr>
          <w:cantSplit/>
        </w:trPr>
        <w:tc>
          <w:tcPr>
            <w:tcW w:w="9576" w:type="dxa"/>
            <w:gridSpan w:val="3"/>
          </w:tcPr>
          <w:p w14:paraId="18642895" w14:textId="3DEA31B5" w:rsidR="00221E16" w:rsidRPr="005B5418" w:rsidRDefault="00221E16" w:rsidP="008848DA">
            <w:pPr>
              <w:pStyle w:val="Table-Note"/>
              <w:spacing w:before="60" w:after="60" w:line="240" w:lineRule="auto"/>
              <w:ind w:left="0"/>
              <w:jc w:val="left"/>
              <w:rPr>
                <w:rFonts w:cs="Arial"/>
                <w:i w:val="0"/>
                <w:sz w:val="22"/>
                <w:szCs w:val="22"/>
              </w:rPr>
            </w:pPr>
            <w:r w:rsidRPr="005B5418">
              <w:rPr>
                <w:rFonts w:cs="Arial"/>
                <w:i w:val="0"/>
                <w:sz w:val="22"/>
                <w:szCs w:val="22"/>
              </w:rPr>
              <w:t xml:space="preserve">The budget is the primary financial planning and control tool of the government. The Statement of Budgetary Resources (SBR) and the related disclosures provide information about how budgetary resources were made available and their status at the end of the period. </w:t>
            </w:r>
            <w:r w:rsidR="004F3B9C" w:rsidRPr="005B5418">
              <w:rPr>
                <w:rFonts w:cs="Arial"/>
                <w:i w:val="0"/>
                <w:sz w:val="22"/>
                <w:szCs w:val="22"/>
              </w:rPr>
              <w:t>The SBR is</w:t>
            </w:r>
            <w:r w:rsidRPr="005B5418">
              <w:rPr>
                <w:rFonts w:cs="Arial"/>
                <w:i w:val="0"/>
                <w:sz w:val="22"/>
                <w:szCs w:val="22"/>
              </w:rPr>
              <w:t xml:space="preserve"> derived</w:t>
            </w:r>
            <w:r w:rsidR="004F3B9C" w:rsidRPr="005B5418">
              <w:rPr>
                <w:rFonts w:cs="Arial"/>
                <w:i w:val="0"/>
                <w:sz w:val="22"/>
                <w:szCs w:val="22"/>
              </w:rPr>
              <w:t xml:space="preserve"> entirely</w:t>
            </w:r>
            <w:r w:rsidRPr="005B5418">
              <w:rPr>
                <w:rFonts w:cs="Arial"/>
                <w:i w:val="0"/>
                <w:sz w:val="22"/>
                <w:szCs w:val="22"/>
              </w:rPr>
              <w:t xml:space="preserve"> from an entity’s budgetary USSGL accounts.</w:t>
            </w:r>
          </w:p>
          <w:p w14:paraId="7E929D0C" w14:textId="77777777" w:rsidR="00221E16" w:rsidRPr="005B5418" w:rsidRDefault="00221E16" w:rsidP="00312F8C">
            <w:pPr>
              <w:pStyle w:val="Table-Note"/>
              <w:spacing w:before="60" w:after="60" w:line="240" w:lineRule="auto"/>
              <w:ind w:left="0"/>
              <w:jc w:val="left"/>
              <w:rPr>
                <w:rFonts w:cs="Arial"/>
                <w:i w:val="0"/>
                <w:sz w:val="22"/>
                <w:szCs w:val="22"/>
              </w:rPr>
            </w:pPr>
            <w:r w:rsidRPr="005B5418">
              <w:rPr>
                <w:rFonts w:cs="Arial"/>
                <w:i w:val="0"/>
                <w:sz w:val="22"/>
                <w:szCs w:val="22"/>
              </w:rPr>
              <w:t>Budgetary resources transferred or exchanged between components within a reporting entity should not be eliminated. (SFFAS 7, par</w:t>
            </w:r>
            <w:r w:rsidR="0086641B" w:rsidRPr="005B5418">
              <w:rPr>
                <w:rFonts w:cs="Arial"/>
                <w:i w:val="0"/>
                <w:sz w:val="22"/>
                <w:szCs w:val="22"/>
              </w:rPr>
              <w:t>a</w:t>
            </w:r>
            <w:r w:rsidRPr="005B5418">
              <w:rPr>
                <w:rFonts w:cs="Arial"/>
                <w:i w:val="0"/>
                <w:sz w:val="22"/>
                <w:szCs w:val="22"/>
              </w:rPr>
              <w:t>. 77; A-136, section</w:t>
            </w:r>
            <w:r w:rsidR="0086641B" w:rsidRPr="005B5418">
              <w:rPr>
                <w:rFonts w:cs="Arial"/>
                <w:i w:val="0"/>
                <w:sz w:val="22"/>
                <w:szCs w:val="22"/>
              </w:rPr>
              <w:t>s</w:t>
            </w:r>
            <w:r w:rsidRPr="005B5418">
              <w:rPr>
                <w:rFonts w:cs="Arial"/>
                <w:i w:val="0"/>
                <w:sz w:val="22"/>
                <w:szCs w:val="22"/>
              </w:rPr>
              <w:t xml:space="preserve"> II.3.5.1 and II.3.5.5)</w:t>
            </w:r>
          </w:p>
          <w:p w14:paraId="55759F0A" w14:textId="3D7D6EF4" w:rsidR="009D1DBB" w:rsidRPr="005B5418" w:rsidRDefault="009D1DBB" w:rsidP="00312F8C">
            <w:pPr>
              <w:pStyle w:val="Table-Note"/>
              <w:spacing w:before="60" w:after="60" w:line="240" w:lineRule="auto"/>
              <w:ind w:left="0"/>
              <w:jc w:val="left"/>
              <w:rPr>
                <w:rFonts w:cs="Arial"/>
                <w:i w:val="0"/>
                <w:sz w:val="22"/>
                <w:szCs w:val="22"/>
              </w:rPr>
            </w:pPr>
            <w:r w:rsidRPr="005B5418">
              <w:rPr>
                <w:rFonts w:eastAsia="Arial Unicode MS" w:cs="Arial"/>
                <w:i w:val="0"/>
                <w:iCs/>
                <w:sz w:val="22"/>
                <w:szCs w:val="22"/>
              </w:rPr>
              <w:t xml:space="preserve">Distributed offsetting receipts are collections that offset gross outlays of an agency and are credited to general fund, special fund, or trust fund receipt accounts. Distributed offsetting receipts typically offset the outlays of the agency that conducts the activity generating the receipts. Offsetting receipts are composed of proprietary receipts from the public, receipts from intragovernmental transactions, and offsetting governmental receipts. This line item on the SBR should include all distributed offsetting receipts for the agency and deducted from gross outlays to yield net agency outlays. </w:t>
            </w:r>
            <w:r w:rsidRPr="005B5418">
              <w:rPr>
                <w:rFonts w:eastAsia="Arial Unicode MS" w:cs="Arial"/>
                <w:i w:val="0"/>
                <w:sz w:val="22"/>
                <w:szCs w:val="22"/>
              </w:rPr>
              <w:t>(A-136, section II.3.5.7)</w:t>
            </w:r>
          </w:p>
        </w:tc>
      </w:tr>
      <w:tr w:rsidR="0003424A" w:rsidRPr="005B5418" w14:paraId="1D84F1AE" w14:textId="77777777" w:rsidTr="00E162E0">
        <w:trPr>
          <w:cantSplit/>
          <w:trHeight w:val="2160"/>
        </w:trPr>
        <w:tc>
          <w:tcPr>
            <w:tcW w:w="5400" w:type="dxa"/>
          </w:tcPr>
          <w:p w14:paraId="50633741" w14:textId="77777777" w:rsidR="0003424A" w:rsidRPr="005B5418" w:rsidRDefault="0003424A" w:rsidP="0091674B">
            <w:pPr>
              <w:pStyle w:val="FAM-Table-outline"/>
              <w:numPr>
                <w:ilvl w:val="0"/>
                <w:numId w:val="100"/>
              </w:numPr>
              <w:spacing w:line="240" w:lineRule="auto"/>
              <w:rPr>
                <w:rFonts w:eastAsia="Arial Unicode MS"/>
              </w:rPr>
            </w:pPr>
            <w:r w:rsidRPr="005B5418">
              <w:rPr>
                <w:rFonts w:eastAsia="Arial Unicode MS"/>
              </w:rPr>
              <w:t xml:space="preserve">Do offsetting receipts include entity receipt accounts for </w:t>
            </w:r>
          </w:p>
          <w:p w14:paraId="094B923B" w14:textId="77777777" w:rsidR="0003424A" w:rsidRPr="005B5418" w:rsidRDefault="0003424A" w:rsidP="005425ED">
            <w:pPr>
              <w:pStyle w:val="FAM-Table-outline2"/>
              <w:spacing w:line="240" w:lineRule="auto"/>
              <w:ind w:left="1140" w:hanging="443"/>
            </w:pPr>
            <w:r w:rsidRPr="005B5418">
              <w:t>Proprietary Receipts from the Public,</w:t>
            </w:r>
          </w:p>
          <w:p w14:paraId="33359E34" w14:textId="77777777" w:rsidR="0003424A" w:rsidRPr="005B5418" w:rsidRDefault="0003424A" w:rsidP="005425ED">
            <w:pPr>
              <w:pStyle w:val="FAM-Table-outline2"/>
              <w:spacing w:line="240" w:lineRule="auto"/>
              <w:ind w:left="1140" w:hanging="443"/>
            </w:pPr>
            <w:r w:rsidRPr="005B5418">
              <w:t>Intrabudgetary Receipts Deducted by Agencies, and</w:t>
            </w:r>
          </w:p>
          <w:p w14:paraId="2B02F048" w14:textId="1E1D240A" w:rsidR="0003424A" w:rsidRPr="005B5418" w:rsidRDefault="0003424A" w:rsidP="005425ED">
            <w:pPr>
              <w:pStyle w:val="FAM-Table-outline2"/>
              <w:spacing w:line="240" w:lineRule="auto"/>
              <w:ind w:left="1140" w:hanging="443"/>
              <w:rPr>
                <w:rFonts w:eastAsia="Arial Unicode MS"/>
              </w:rPr>
            </w:pPr>
            <w:r w:rsidRPr="005B5418">
              <w:t>Offsetting Governmental Receipts? (A-136, section II.3.5.7)</w:t>
            </w:r>
          </w:p>
        </w:tc>
        <w:tc>
          <w:tcPr>
            <w:tcW w:w="965" w:type="dxa"/>
          </w:tcPr>
          <w:p w14:paraId="2AC8C742" w14:textId="77777777" w:rsidR="0003424A" w:rsidRPr="005B5418" w:rsidRDefault="0003424A" w:rsidP="008848DA">
            <w:pPr>
              <w:pStyle w:val="Table-Cell-CenterBoldBefore6ptAfter6pt"/>
              <w:spacing w:before="60" w:after="60"/>
              <w:rPr>
                <w:rFonts w:cs="Arial"/>
              </w:rPr>
            </w:pPr>
          </w:p>
        </w:tc>
        <w:tc>
          <w:tcPr>
            <w:tcW w:w="3211" w:type="dxa"/>
          </w:tcPr>
          <w:p w14:paraId="7391054B" w14:textId="77777777" w:rsidR="0003424A" w:rsidRPr="005B5418" w:rsidRDefault="0003424A" w:rsidP="008848DA">
            <w:pPr>
              <w:spacing w:before="60" w:after="60" w:line="240" w:lineRule="auto"/>
              <w:rPr>
                <w:rFonts w:cs="Arial"/>
              </w:rPr>
            </w:pPr>
          </w:p>
        </w:tc>
      </w:tr>
      <w:tr w:rsidR="0003424A" w:rsidRPr="005B5418" w14:paraId="24AEA218" w14:textId="77777777" w:rsidTr="0067693B">
        <w:trPr>
          <w:cantSplit/>
          <w:trHeight w:val="1295"/>
        </w:trPr>
        <w:tc>
          <w:tcPr>
            <w:tcW w:w="5400" w:type="dxa"/>
          </w:tcPr>
          <w:p w14:paraId="10385530" w14:textId="688F974B" w:rsidR="0003424A" w:rsidRPr="005B5418" w:rsidRDefault="0003424A" w:rsidP="008848DA">
            <w:pPr>
              <w:pStyle w:val="FAM-Table-outline"/>
              <w:spacing w:line="240" w:lineRule="auto"/>
              <w:rPr>
                <w:rFonts w:cs="Arial"/>
              </w:rPr>
            </w:pPr>
            <w:r w:rsidRPr="005B5418">
              <w:rPr>
                <w:rFonts w:eastAsia="Arial Unicode MS"/>
              </w:rPr>
              <w:t>Is the amount of distributed offsetting receipts the aggregate of cash collected in these receipt accounts and reported to Treasury monthly?</w:t>
            </w:r>
            <w:r w:rsidRPr="005B5418">
              <w:rPr>
                <w:rStyle w:val="FootnoteReference"/>
                <w:rFonts w:eastAsia="Arial Unicode MS" w:cs="Arial"/>
                <w:szCs w:val="22"/>
              </w:rPr>
              <w:footnoteReference w:id="66"/>
            </w:r>
            <w:r w:rsidRPr="005B5418">
              <w:rPr>
                <w:rFonts w:eastAsia="Arial Unicode MS"/>
              </w:rPr>
              <w:t xml:space="preserve"> (A-136, section II.3.5.7)</w:t>
            </w:r>
          </w:p>
        </w:tc>
        <w:tc>
          <w:tcPr>
            <w:tcW w:w="965" w:type="dxa"/>
          </w:tcPr>
          <w:p w14:paraId="5C28D605" w14:textId="77777777" w:rsidR="0003424A" w:rsidRPr="005B5418" w:rsidRDefault="0003424A" w:rsidP="008848DA">
            <w:pPr>
              <w:pStyle w:val="Table-Cell-CenterBoldBefore6ptAfter6pt"/>
              <w:spacing w:before="60" w:after="60"/>
              <w:rPr>
                <w:rFonts w:cs="Arial"/>
              </w:rPr>
            </w:pPr>
          </w:p>
        </w:tc>
        <w:tc>
          <w:tcPr>
            <w:tcW w:w="3211" w:type="dxa"/>
          </w:tcPr>
          <w:p w14:paraId="25A777E0" w14:textId="77777777" w:rsidR="0003424A" w:rsidRPr="005B5418" w:rsidRDefault="0003424A" w:rsidP="008848DA">
            <w:pPr>
              <w:spacing w:before="60" w:after="60" w:line="240" w:lineRule="auto"/>
              <w:rPr>
                <w:rFonts w:cs="Arial"/>
              </w:rPr>
            </w:pPr>
          </w:p>
        </w:tc>
      </w:tr>
      <w:tr w:rsidR="0003424A" w:rsidRPr="005B5418" w14:paraId="759BDD61" w14:textId="77777777" w:rsidTr="0067693B">
        <w:trPr>
          <w:cantSplit/>
          <w:trHeight w:val="791"/>
        </w:trPr>
        <w:tc>
          <w:tcPr>
            <w:tcW w:w="5400" w:type="dxa"/>
          </w:tcPr>
          <w:p w14:paraId="5A8D44C4" w14:textId="7FB2E412" w:rsidR="0003424A" w:rsidRPr="005B5418" w:rsidRDefault="0003424A" w:rsidP="008848DA">
            <w:pPr>
              <w:pStyle w:val="FAM-Table-outline"/>
              <w:spacing w:line="240" w:lineRule="auto"/>
              <w:rPr>
                <w:rFonts w:cs="Arial"/>
              </w:rPr>
            </w:pPr>
            <w:r w:rsidRPr="005B5418">
              <w:rPr>
                <w:rFonts w:eastAsia="Arial Unicode MS"/>
              </w:rPr>
              <w:t>Are undistributed offsetting receipts excluded from the SBR? (A-136, section II.3.5.7)</w:t>
            </w:r>
          </w:p>
        </w:tc>
        <w:tc>
          <w:tcPr>
            <w:tcW w:w="965" w:type="dxa"/>
          </w:tcPr>
          <w:p w14:paraId="7893E911" w14:textId="77777777" w:rsidR="0003424A" w:rsidRPr="005B5418" w:rsidRDefault="0003424A" w:rsidP="008848DA">
            <w:pPr>
              <w:pStyle w:val="Table-Cell-CenterBoldBefore6ptAfter6pt"/>
              <w:spacing w:before="60" w:after="60"/>
              <w:rPr>
                <w:rFonts w:cs="Arial"/>
              </w:rPr>
            </w:pPr>
          </w:p>
        </w:tc>
        <w:tc>
          <w:tcPr>
            <w:tcW w:w="3211" w:type="dxa"/>
          </w:tcPr>
          <w:p w14:paraId="5D613785" w14:textId="77777777" w:rsidR="0003424A" w:rsidRPr="005B5418" w:rsidRDefault="0003424A" w:rsidP="008848DA">
            <w:pPr>
              <w:spacing w:before="60" w:after="60" w:line="240" w:lineRule="auto"/>
              <w:rPr>
                <w:rFonts w:cs="Arial"/>
              </w:rPr>
            </w:pPr>
          </w:p>
        </w:tc>
      </w:tr>
      <w:tr w:rsidR="0003424A" w:rsidRPr="005B5418" w14:paraId="32FFCA25" w14:textId="77777777" w:rsidTr="00E162E0">
        <w:trPr>
          <w:cantSplit/>
          <w:trHeight w:val="2160"/>
        </w:trPr>
        <w:tc>
          <w:tcPr>
            <w:tcW w:w="5400" w:type="dxa"/>
          </w:tcPr>
          <w:p w14:paraId="7788B9F0" w14:textId="77777777" w:rsidR="0003424A" w:rsidRPr="005B5418" w:rsidRDefault="0003424A" w:rsidP="001A028C">
            <w:pPr>
              <w:pStyle w:val="FAM-Table-outline"/>
              <w:spacing w:line="240" w:lineRule="auto"/>
              <w:rPr>
                <w:rFonts w:eastAsia="Arial Unicode MS"/>
              </w:rPr>
            </w:pPr>
            <w:r w:rsidRPr="005B5418">
              <w:rPr>
                <w:rFonts w:eastAsia="Arial Unicode MS"/>
              </w:rPr>
              <w:lastRenderedPageBreak/>
              <w:t xml:space="preserve">In order to have consistency between the information presented in the SBR and the </w:t>
            </w:r>
            <w:r w:rsidRPr="005B5418">
              <w:rPr>
                <w:rFonts w:eastAsia="Arial Unicode MS"/>
                <w:i/>
                <w:iCs/>
              </w:rPr>
              <w:t>Budget of the United States Government</w:t>
            </w:r>
            <w:r w:rsidRPr="005B5418">
              <w:rPr>
                <w:rFonts w:eastAsia="Arial Unicode MS"/>
              </w:rPr>
              <w:t>, does the entity</w:t>
            </w:r>
          </w:p>
          <w:p w14:paraId="53521503" w14:textId="4BEF2E9A" w:rsidR="0003424A" w:rsidRPr="005B5418" w:rsidRDefault="0003424A" w:rsidP="001A1310">
            <w:pPr>
              <w:pStyle w:val="FAM-Table-outline2"/>
              <w:numPr>
                <w:ilvl w:val="1"/>
                <w:numId w:val="1"/>
              </w:numPr>
              <w:spacing w:line="240" w:lineRule="auto"/>
              <w:ind w:left="1147" w:hanging="450"/>
              <w:rPr>
                <w:rFonts w:eastAsia="Arial Unicode MS"/>
              </w:rPr>
            </w:pPr>
            <w:r w:rsidRPr="005B5418">
              <w:rPr>
                <w:rFonts w:eastAsia="Arial Unicode MS"/>
              </w:rPr>
              <w:t>post all subsequent changes, whether material or not</w:t>
            </w:r>
            <w:r w:rsidR="005337FB" w:rsidRPr="005B5418">
              <w:rPr>
                <w:rFonts w:eastAsia="Arial Unicode MS"/>
              </w:rPr>
              <w:t xml:space="preserve"> from a proprietary accounting perspective</w:t>
            </w:r>
            <w:r w:rsidRPr="005B5418">
              <w:rPr>
                <w:rFonts w:eastAsia="Arial Unicode MS"/>
              </w:rPr>
              <w:t xml:space="preserve">, to OMB’s MAX </w:t>
            </w:r>
            <w:r w:rsidR="00133A9B" w:rsidRPr="005B5418">
              <w:rPr>
                <w:rFonts w:eastAsia="Arial Unicode MS"/>
              </w:rPr>
              <w:t xml:space="preserve">A-11 Data Entry </w:t>
            </w:r>
            <w:r w:rsidRPr="005B5418">
              <w:rPr>
                <w:rFonts w:eastAsia="Arial Unicode MS"/>
              </w:rPr>
              <w:t>system during the time frames provided by OMB</w:t>
            </w:r>
            <w:r w:rsidR="00637ABE" w:rsidRPr="005B5418">
              <w:rPr>
                <w:rFonts w:eastAsia="Arial Unicode MS"/>
              </w:rPr>
              <w:t>, and</w:t>
            </w:r>
            <w:r w:rsidRPr="005B5418">
              <w:rPr>
                <w:rFonts w:eastAsia="Arial Unicode MS"/>
              </w:rPr>
              <w:t xml:space="preserve"> </w:t>
            </w:r>
          </w:p>
          <w:p w14:paraId="18ED0D60" w14:textId="5288A37F" w:rsidR="0003424A" w:rsidRPr="005B5418" w:rsidRDefault="0003424A" w:rsidP="001A1310">
            <w:pPr>
              <w:pStyle w:val="FAM-Table-outline2"/>
              <w:numPr>
                <w:ilvl w:val="1"/>
                <w:numId w:val="1"/>
              </w:numPr>
              <w:spacing w:line="240" w:lineRule="auto"/>
              <w:ind w:left="1147" w:hanging="450"/>
              <w:rPr>
                <w:rFonts w:eastAsia="Arial Unicode MS"/>
              </w:rPr>
            </w:pPr>
            <w:r w:rsidRPr="005B5418">
              <w:rPr>
                <w:rFonts w:eastAsia="Arial Unicode MS"/>
              </w:rPr>
              <w:t>post all subsequent changes, whether material or not</w:t>
            </w:r>
            <w:r w:rsidR="005337FB" w:rsidRPr="005B5418">
              <w:rPr>
                <w:rFonts w:eastAsia="Arial Unicode MS"/>
              </w:rPr>
              <w:t xml:space="preserve"> from a proprietary accounting perspective</w:t>
            </w:r>
            <w:r w:rsidRPr="005B5418">
              <w:rPr>
                <w:rFonts w:eastAsia="Arial Unicode MS"/>
              </w:rPr>
              <w:t>, made to OMB’s MAX A-11</w:t>
            </w:r>
            <w:r w:rsidR="009D3987" w:rsidRPr="005B5418">
              <w:rPr>
                <w:rFonts w:eastAsia="Arial Unicode MS"/>
              </w:rPr>
              <w:t xml:space="preserve"> Data Entry</w:t>
            </w:r>
            <w:r w:rsidRPr="005B5418">
              <w:rPr>
                <w:rFonts w:eastAsia="Arial Unicode MS"/>
              </w:rPr>
              <w:t xml:space="preserve"> system to the Governmentwide Treasury Account Symbol Adjusted Trial Balance System (GTAS) during its revision window</w:t>
            </w:r>
            <w:r w:rsidR="005337FB" w:rsidRPr="005B5418">
              <w:rPr>
                <w:rFonts w:eastAsia="Arial Unicode MS"/>
              </w:rPr>
              <w:t>, as specified in the GTAS Schedule</w:t>
            </w:r>
            <w:r w:rsidRPr="005B5418">
              <w:rPr>
                <w:rFonts w:eastAsia="Arial Unicode MS"/>
              </w:rPr>
              <w:t>? (A-136, section II.3.5.1)</w:t>
            </w:r>
          </w:p>
        </w:tc>
        <w:tc>
          <w:tcPr>
            <w:tcW w:w="965" w:type="dxa"/>
          </w:tcPr>
          <w:p w14:paraId="5926E42E" w14:textId="77777777" w:rsidR="0003424A" w:rsidRPr="005B5418" w:rsidRDefault="0003424A" w:rsidP="008848DA">
            <w:pPr>
              <w:pStyle w:val="Table-Cell-CenterBoldBefore6ptAfter6pt"/>
              <w:spacing w:before="60" w:after="60"/>
              <w:rPr>
                <w:rFonts w:cs="Arial"/>
              </w:rPr>
            </w:pPr>
          </w:p>
        </w:tc>
        <w:tc>
          <w:tcPr>
            <w:tcW w:w="3211" w:type="dxa"/>
          </w:tcPr>
          <w:p w14:paraId="440C9D6A" w14:textId="77777777" w:rsidR="0003424A" w:rsidRPr="005B5418" w:rsidRDefault="0003424A" w:rsidP="008848DA">
            <w:pPr>
              <w:spacing w:before="60" w:after="60" w:line="240" w:lineRule="auto"/>
              <w:rPr>
                <w:rFonts w:cs="Arial"/>
              </w:rPr>
            </w:pPr>
          </w:p>
        </w:tc>
      </w:tr>
      <w:tr w:rsidR="00221E16" w:rsidRPr="005B5418" w14:paraId="036112FA" w14:textId="77777777" w:rsidTr="009A3F7D">
        <w:trPr>
          <w:cantSplit/>
          <w:trHeight w:val="1808"/>
        </w:trPr>
        <w:tc>
          <w:tcPr>
            <w:tcW w:w="5400" w:type="dxa"/>
          </w:tcPr>
          <w:p w14:paraId="19FAB0BB" w14:textId="11870034" w:rsidR="00221E16" w:rsidRPr="005B5418" w:rsidRDefault="00221E16" w:rsidP="009A3F7D">
            <w:pPr>
              <w:pStyle w:val="FAM-Table-outline"/>
              <w:widowControl/>
              <w:numPr>
                <w:ilvl w:val="0"/>
                <w:numId w:val="1"/>
              </w:numPr>
              <w:adjustRightInd/>
              <w:spacing w:line="240" w:lineRule="auto"/>
              <w:textAlignment w:val="auto"/>
              <w:rPr>
                <w:rFonts w:cs="Arial"/>
              </w:rPr>
            </w:pPr>
            <w:r w:rsidRPr="005B5418">
              <w:rPr>
                <w:rFonts w:cs="Arial"/>
              </w:rPr>
              <w:t xml:space="preserve">Is recognition and measurement of budgetary resources in the SBR based on budget concepts, definitions, and guidance in OMB Circular </w:t>
            </w:r>
            <w:r w:rsidR="00032FCF" w:rsidRPr="005B5418">
              <w:rPr>
                <w:rFonts w:cs="Arial"/>
              </w:rPr>
              <w:t>No.</w:t>
            </w:r>
            <w:r w:rsidR="009A3F7D" w:rsidRPr="005B5418">
              <w:rPr>
                <w:rFonts w:cs="Arial"/>
              </w:rPr>
              <w:t xml:space="preserve"> </w:t>
            </w:r>
            <w:r w:rsidRPr="005B5418">
              <w:rPr>
                <w:rFonts w:cs="Arial"/>
              </w:rPr>
              <w:t xml:space="preserve">A-11, </w:t>
            </w:r>
            <w:r w:rsidRPr="005B5418">
              <w:rPr>
                <w:rFonts w:cs="Arial"/>
                <w:i/>
                <w:iCs/>
              </w:rPr>
              <w:t>P</w:t>
            </w:r>
            <w:r w:rsidRPr="005B5418">
              <w:rPr>
                <w:rFonts w:cs="Arial"/>
                <w:i/>
              </w:rPr>
              <w:t>reparation, Submission and Execution of the Budget</w:t>
            </w:r>
            <w:r w:rsidRPr="005B5418">
              <w:rPr>
                <w:rFonts w:cs="Arial"/>
              </w:rPr>
              <w:t>, Appendix F? (SFFAS 7, par</w:t>
            </w:r>
            <w:r w:rsidR="000F426A" w:rsidRPr="005B5418">
              <w:rPr>
                <w:rFonts w:cs="Arial"/>
              </w:rPr>
              <w:t>a</w:t>
            </w:r>
            <w:r w:rsidRPr="005B5418">
              <w:rPr>
                <w:rFonts w:cs="Arial"/>
              </w:rPr>
              <w:t>. 78; A-136, section II.3.5.1)</w:t>
            </w:r>
          </w:p>
        </w:tc>
        <w:tc>
          <w:tcPr>
            <w:tcW w:w="965" w:type="dxa"/>
          </w:tcPr>
          <w:p w14:paraId="415AADC1" w14:textId="77777777" w:rsidR="00221E16" w:rsidRPr="005B5418" w:rsidRDefault="00221E16" w:rsidP="008848DA">
            <w:pPr>
              <w:pStyle w:val="Table-Cell-CenterBoldBefore6ptAfter6pt"/>
              <w:spacing w:before="60" w:after="60"/>
              <w:rPr>
                <w:rFonts w:cs="Arial"/>
              </w:rPr>
            </w:pPr>
          </w:p>
        </w:tc>
        <w:tc>
          <w:tcPr>
            <w:tcW w:w="3211" w:type="dxa"/>
          </w:tcPr>
          <w:p w14:paraId="4EC8AB51" w14:textId="77777777" w:rsidR="00221E16" w:rsidRPr="005B5418" w:rsidRDefault="00221E16" w:rsidP="008848DA">
            <w:pPr>
              <w:spacing w:before="60" w:after="60" w:line="240" w:lineRule="auto"/>
              <w:rPr>
                <w:rFonts w:cs="Arial"/>
              </w:rPr>
            </w:pPr>
          </w:p>
        </w:tc>
      </w:tr>
      <w:tr w:rsidR="00221E16" w:rsidRPr="005B5418" w14:paraId="49936C75" w14:textId="77777777" w:rsidTr="009A3F7D">
        <w:trPr>
          <w:cantSplit/>
          <w:trHeight w:val="1790"/>
        </w:trPr>
        <w:tc>
          <w:tcPr>
            <w:tcW w:w="5400" w:type="dxa"/>
          </w:tcPr>
          <w:p w14:paraId="3E21BE69" w14:textId="2EE7FC2A" w:rsidR="00221E16" w:rsidRPr="005B5418" w:rsidRDefault="00221E16" w:rsidP="008848DA">
            <w:pPr>
              <w:pStyle w:val="FAM-Table-outline"/>
              <w:spacing w:line="240" w:lineRule="auto"/>
              <w:rPr>
                <w:rFonts w:cs="Arial"/>
              </w:rPr>
            </w:pPr>
            <w:r w:rsidRPr="005B5418">
              <w:rPr>
                <w:rFonts w:eastAsia="Arial Unicode MS"/>
              </w:rPr>
              <w:t>Does the entity ensure information used to prepare the SBR is consistent with the budgetary information reported to GTAS</w:t>
            </w:r>
            <w:r w:rsidR="009073CA" w:rsidRPr="005B5418">
              <w:t xml:space="preserve"> </w:t>
            </w:r>
            <w:r w:rsidR="009073CA" w:rsidRPr="005B5418">
              <w:rPr>
                <w:rFonts w:eastAsia="Arial Unicode MS"/>
              </w:rPr>
              <w:t>during the fourth quarter reporting window,</w:t>
            </w:r>
            <w:r w:rsidRPr="005B5418">
              <w:rPr>
                <w:rFonts w:eastAsia="Arial Unicode MS"/>
                <w:vertAlign w:val="superscript"/>
              </w:rPr>
              <w:footnoteReference w:id="67"/>
            </w:r>
            <w:r w:rsidRPr="005B5418">
              <w:rPr>
                <w:rFonts w:eastAsia="Arial Unicode MS"/>
              </w:rPr>
              <w:t xml:space="preserve"> which includes the revision window? (A-136, section II.3.5.1)</w:t>
            </w:r>
          </w:p>
        </w:tc>
        <w:tc>
          <w:tcPr>
            <w:tcW w:w="965" w:type="dxa"/>
          </w:tcPr>
          <w:p w14:paraId="2F92A7D3" w14:textId="77777777" w:rsidR="00221E16" w:rsidRPr="005B5418" w:rsidRDefault="00221E16" w:rsidP="008848DA">
            <w:pPr>
              <w:pStyle w:val="Table-Cell-CenterBoldBefore6ptAfter6pt"/>
              <w:spacing w:before="60" w:after="60"/>
              <w:rPr>
                <w:rFonts w:cs="Arial"/>
              </w:rPr>
            </w:pPr>
          </w:p>
        </w:tc>
        <w:tc>
          <w:tcPr>
            <w:tcW w:w="3211" w:type="dxa"/>
          </w:tcPr>
          <w:p w14:paraId="283D0FC9" w14:textId="77777777" w:rsidR="00221E16" w:rsidRPr="005B5418" w:rsidRDefault="00221E16" w:rsidP="008848DA">
            <w:pPr>
              <w:spacing w:before="60" w:after="60" w:line="240" w:lineRule="auto"/>
              <w:rPr>
                <w:rFonts w:cs="Arial"/>
              </w:rPr>
            </w:pPr>
          </w:p>
        </w:tc>
      </w:tr>
      <w:tr w:rsidR="00221E16" w:rsidRPr="005B5418" w14:paraId="7D26682A" w14:textId="77777777" w:rsidTr="00E162E0">
        <w:trPr>
          <w:cantSplit/>
          <w:trHeight w:val="1520"/>
        </w:trPr>
        <w:tc>
          <w:tcPr>
            <w:tcW w:w="5400" w:type="dxa"/>
          </w:tcPr>
          <w:p w14:paraId="2CC676EE" w14:textId="3907742E" w:rsidR="00221E16" w:rsidRPr="005B5418" w:rsidRDefault="00221E16" w:rsidP="008848DA">
            <w:pPr>
              <w:pStyle w:val="FAM-Table-outline"/>
              <w:spacing w:line="240" w:lineRule="auto"/>
              <w:rPr>
                <w:rFonts w:eastAsia="Arial Unicode MS"/>
              </w:rPr>
            </w:pPr>
            <w:r w:rsidRPr="005B5418">
              <w:rPr>
                <w:rFonts w:eastAsia="Arial Unicode MS"/>
              </w:rPr>
              <w:t>Is the budgetary information in the SBR presented on a combined basis that is consistent with the aggregate of the account-level information on the SF-133? (A-136, section II.3.5.2)</w:t>
            </w:r>
          </w:p>
        </w:tc>
        <w:tc>
          <w:tcPr>
            <w:tcW w:w="965" w:type="dxa"/>
          </w:tcPr>
          <w:p w14:paraId="54CD51F7" w14:textId="77777777" w:rsidR="00221E16" w:rsidRPr="005B5418" w:rsidRDefault="00221E16" w:rsidP="008848DA">
            <w:pPr>
              <w:pStyle w:val="Table-Cell-CenterBoldBefore6ptAfter6pt"/>
              <w:spacing w:before="60" w:after="60"/>
              <w:rPr>
                <w:rFonts w:cs="Arial"/>
              </w:rPr>
            </w:pPr>
          </w:p>
        </w:tc>
        <w:tc>
          <w:tcPr>
            <w:tcW w:w="3211" w:type="dxa"/>
          </w:tcPr>
          <w:p w14:paraId="63CE51D6" w14:textId="77777777" w:rsidR="00221E16" w:rsidRPr="005B5418" w:rsidRDefault="00221E16" w:rsidP="008848DA">
            <w:pPr>
              <w:spacing w:before="60" w:after="60" w:line="240" w:lineRule="auto"/>
              <w:rPr>
                <w:rFonts w:cs="Arial"/>
              </w:rPr>
            </w:pPr>
          </w:p>
        </w:tc>
      </w:tr>
      <w:tr w:rsidR="00221E16" w:rsidRPr="005B5418" w14:paraId="5F8405F5" w14:textId="77777777" w:rsidTr="00E162E0">
        <w:trPr>
          <w:cantSplit/>
          <w:trHeight w:val="2160"/>
        </w:trPr>
        <w:tc>
          <w:tcPr>
            <w:tcW w:w="5400" w:type="dxa"/>
          </w:tcPr>
          <w:p w14:paraId="457702E7" w14:textId="70BC5166" w:rsidR="00221E16" w:rsidRPr="005B5418" w:rsidRDefault="00221E16" w:rsidP="005425ED">
            <w:pPr>
              <w:pStyle w:val="FAM-Table-outline"/>
              <w:spacing w:line="240" w:lineRule="auto"/>
              <w:rPr>
                <w:rFonts w:eastAsia="Arial Unicode MS"/>
              </w:rPr>
            </w:pPr>
            <w:r w:rsidRPr="005B5418">
              <w:rPr>
                <w:rFonts w:eastAsia="Arial Unicode MS"/>
              </w:rPr>
              <w:lastRenderedPageBreak/>
              <w:t>If the SF-133 includes additional lines that are material to the SBR</w:t>
            </w:r>
          </w:p>
          <w:p w14:paraId="01B72446" w14:textId="34DB0C6B" w:rsidR="00221E16" w:rsidRPr="005B5418" w:rsidRDefault="00221E16" w:rsidP="005425ED">
            <w:pPr>
              <w:pStyle w:val="FAM-Table-outline2"/>
              <w:numPr>
                <w:ilvl w:val="1"/>
                <w:numId w:val="1"/>
              </w:numPr>
              <w:spacing w:line="240" w:lineRule="auto"/>
              <w:ind w:left="1147" w:hanging="450"/>
              <w:rPr>
                <w:rFonts w:eastAsia="Arial Unicode MS"/>
              </w:rPr>
            </w:pPr>
            <w:r w:rsidRPr="005B5418">
              <w:rPr>
                <w:rFonts w:eastAsia="Arial Unicode MS"/>
              </w:rPr>
              <w:t>does the entity report this disaggregated information on the SBR and</w:t>
            </w:r>
          </w:p>
          <w:p w14:paraId="69F7486D" w14:textId="11785B55" w:rsidR="00221E16" w:rsidRPr="005B5418" w:rsidRDefault="00221E16" w:rsidP="005425ED">
            <w:pPr>
              <w:pStyle w:val="FAM-Table-outline2"/>
              <w:numPr>
                <w:ilvl w:val="1"/>
                <w:numId w:val="1"/>
              </w:numPr>
              <w:spacing w:line="240" w:lineRule="auto"/>
              <w:ind w:left="1147" w:hanging="450"/>
              <w:rPr>
                <w:rFonts w:cs="Arial"/>
              </w:rPr>
            </w:pPr>
            <w:r w:rsidRPr="005B5418">
              <w:rPr>
                <w:rFonts w:eastAsia="Arial Unicode MS"/>
              </w:rPr>
              <w:t>is this disaggregated information subtotaled using the prescribed major categories? (A-136, section II.3.5.3)</w:t>
            </w:r>
          </w:p>
        </w:tc>
        <w:tc>
          <w:tcPr>
            <w:tcW w:w="965" w:type="dxa"/>
          </w:tcPr>
          <w:p w14:paraId="4EA263E0" w14:textId="77777777" w:rsidR="00221E16" w:rsidRPr="005B5418" w:rsidRDefault="00221E16" w:rsidP="008848DA">
            <w:pPr>
              <w:pStyle w:val="Table-Cell-CenterBoldBefore6ptAfter6pt"/>
              <w:spacing w:before="60" w:after="60"/>
              <w:rPr>
                <w:rFonts w:cs="Arial"/>
              </w:rPr>
            </w:pPr>
          </w:p>
        </w:tc>
        <w:tc>
          <w:tcPr>
            <w:tcW w:w="3211" w:type="dxa"/>
          </w:tcPr>
          <w:p w14:paraId="46DE76E5" w14:textId="77777777" w:rsidR="00221E16" w:rsidRPr="005B5418" w:rsidRDefault="00221E16" w:rsidP="008848DA">
            <w:pPr>
              <w:spacing w:before="60" w:after="60" w:line="240" w:lineRule="auto"/>
              <w:rPr>
                <w:rFonts w:cs="Arial"/>
              </w:rPr>
            </w:pPr>
          </w:p>
        </w:tc>
      </w:tr>
      <w:tr w:rsidR="00221E16" w:rsidRPr="005B5418" w14:paraId="0FFF681A" w14:textId="77777777" w:rsidTr="00E162E0">
        <w:trPr>
          <w:cantSplit/>
          <w:trHeight w:val="1367"/>
        </w:trPr>
        <w:tc>
          <w:tcPr>
            <w:tcW w:w="5400" w:type="dxa"/>
          </w:tcPr>
          <w:p w14:paraId="66E56EE1" w14:textId="706057F1" w:rsidR="00221E16" w:rsidRPr="005B5418" w:rsidRDefault="00221E16" w:rsidP="008848DA">
            <w:pPr>
              <w:pStyle w:val="FAM-Table-outline"/>
              <w:spacing w:line="240" w:lineRule="auto"/>
              <w:rPr>
                <w:rFonts w:cs="Arial"/>
              </w:rPr>
            </w:pPr>
            <w:r w:rsidRPr="005B5418">
              <w:rPr>
                <w:rFonts w:eastAsia="Arial Unicode MS"/>
              </w:rPr>
              <w:t>Are non-budgetary credit reform financing accounts reported in a separate column from those of the budgetary accounts on the SBR? (A-136, section II.3.5.3)</w:t>
            </w:r>
          </w:p>
        </w:tc>
        <w:tc>
          <w:tcPr>
            <w:tcW w:w="965" w:type="dxa"/>
          </w:tcPr>
          <w:p w14:paraId="0ADB96A4" w14:textId="77777777" w:rsidR="00221E16" w:rsidRPr="005B5418" w:rsidRDefault="00221E16" w:rsidP="008848DA">
            <w:pPr>
              <w:pStyle w:val="Table-Cell-CenterBoldBefore6ptAfter6pt"/>
              <w:spacing w:before="60" w:after="60"/>
              <w:rPr>
                <w:rFonts w:cs="Arial"/>
              </w:rPr>
            </w:pPr>
          </w:p>
        </w:tc>
        <w:tc>
          <w:tcPr>
            <w:tcW w:w="3211" w:type="dxa"/>
          </w:tcPr>
          <w:p w14:paraId="252ED072" w14:textId="77777777" w:rsidR="00221E16" w:rsidRPr="005B5418" w:rsidRDefault="00221E16" w:rsidP="008848DA">
            <w:pPr>
              <w:spacing w:before="60" w:after="60" w:line="240" w:lineRule="auto"/>
              <w:rPr>
                <w:rFonts w:cs="Arial"/>
              </w:rPr>
            </w:pPr>
          </w:p>
        </w:tc>
      </w:tr>
      <w:tr w:rsidR="00221E16" w:rsidRPr="005B5418" w14:paraId="4AAB40A9" w14:textId="77777777" w:rsidTr="00E162E0">
        <w:trPr>
          <w:cantSplit/>
          <w:trHeight w:val="2160"/>
        </w:trPr>
        <w:tc>
          <w:tcPr>
            <w:tcW w:w="5400" w:type="dxa"/>
          </w:tcPr>
          <w:p w14:paraId="54497A3F" w14:textId="77777777" w:rsidR="00221E16" w:rsidRPr="005B5418" w:rsidRDefault="00221E16" w:rsidP="008848DA">
            <w:pPr>
              <w:pStyle w:val="FAM-Table-outline"/>
              <w:widowControl/>
              <w:numPr>
                <w:ilvl w:val="0"/>
                <w:numId w:val="1"/>
              </w:numPr>
              <w:adjustRightInd/>
              <w:spacing w:line="240" w:lineRule="auto"/>
              <w:textAlignment w:val="auto"/>
              <w:rPr>
                <w:rFonts w:eastAsia="Arial Unicode MS"/>
              </w:rPr>
            </w:pPr>
            <w:r w:rsidRPr="005B5418">
              <w:rPr>
                <w:rFonts w:eastAsia="Arial Unicode MS"/>
              </w:rPr>
              <w:t>In its SBR under “Budgetary Resources,” does the entity include</w:t>
            </w:r>
            <w:r w:rsidR="00B960E7" w:rsidRPr="005B5418">
              <w:rPr>
                <w:rFonts w:eastAsia="Arial Unicode MS"/>
              </w:rPr>
              <w:t>, as applicable,</w:t>
            </w:r>
          </w:p>
          <w:p w14:paraId="21E3A3B2" w14:textId="001C1A86" w:rsidR="00221E16" w:rsidRPr="005B5418" w:rsidRDefault="00221E16" w:rsidP="005425ED">
            <w:pPr>
              <w:pStyle w:val="FAM-Table-outline2"/>
              <w:numPr>
                <w:ilvl w:val="1"/>
                <w:numId w:val="1"/>
              </w:numPr>
              <w:spacing w:line="240" w:lineRule="auto"/>
              <w:ind w:left="1147" w:hanging="450"/>
              <w:rPr>
                <w:rFonts w:eastAsia="Arial Unicode MS"/>
              </w:rPr>
            </w:pPr>
            <w:r w:rsidRPr="005B5418">
              <w:rPr>
                <w:rFonts w:eastAsia="Arial Unicode MS"/>
              </w:rPr>
              <w:t>unobligated balance from prior year budget authority</w:t>
            </w:r>
            <w:r w:rsidR="0077414E" w:rsidRPr="005B5418">
              <w:rPr>
                <w:rFonts w:eastAsia="Arial Unicode MS"/>
              </w:rPr>
              <w:t>,</w:t>
            </w:r>
          </w:p>
          <w:p w14:paraId="350BB137" w14:textId="7FE33D00" w:rsidR="00221E16" w:rsidRPr="005B5418" w:rsidRDefault="00221E16" w:rsidP="005425ED">
            <w:pPr>
              <w:pStyle w:val="FAM-Table-outline2"/>
              <w:numPr>
                <w:ilvl w:val="1"/>
                <w:numId w:val="1"/>
              </w:numPr>
              <w:spacing w:line="240" w:lineRule="auto"/>
              <w:ind w:left="1147" w:hanging="450"/>
              <w:rPr>
                <w:rFonts w:eastAsia="Arial Unicode MS"/>
              </w:rPr>
            </w:pPr>
            <w:r w:rsidRPr="005B5418">
              <w:rPr>
                <w:rFonts w:eastAsia="Arial Unicode MS"/>
              </w:rPr>
              <w:t>appropriations</w:t>
            </w:r>
            <w:r w:rsidR="0077414E" w:rsidRPr="005B5418">
              <w:rPr>
                <w:rFonts w:eastAsia="Arial Unicode MS"/>
              </w:rPr>
              <w:t>,</w:t>
            </w:r>
          </w:p>
          <w:p w14:paraId="1C9A64BF" w14:textId="24204C00" w:rsidR="00221E16" w:rsidRPr="005B5418" w:rsidRDefault="00221E16" w:rsidP="005425ED">
            <w:pPr>
              <w:pStyle w:val="FAM-Table-outline2"/>
              <w:numPr>
                <w:ilvl w:val="1"/>
                <w:numId w:val="1"/>
              </w:numPr>
              <w:spacing w:line="240" w:lineRule="auto"/>
              <w:ind w:left="1147" w:hanging="450"/>
              <w:rPr>
                <w:rFonts w:eastAsia="Arial Unicode MS"/>
              </w:rPr>
            </w:pPr>
            <w:r w:rsidRPr="005B5418">
              <w:rPr>
                <w:rFonts w:eastAsia="Arial Unicode MS"/>
              </w:rPr>
              <w:t>borrowing authority</w:t>
            </w:r>
            <w:r w:rsidR="0077414E" w:rsidRPr="005B5418">
              <w:rPr>
                <w:rFonts w:eastAsia="Arial Unicode MS"/>
              </w:rPr>
              <w:t>,</w:t>
            </w:r>
          </w:p>
          <w:p w14:paraId="6A17BE17" w14:textId="23F187BC" w:rsidR="00221E16" w:rsidRPr="005B5418" w:rsidRDefault="00221E16" w:rsidP="005425ED">
            <w:pPr>
              <w:pStyle w:val="FAM-Table-outline2"/>
              <w:numPr>
                <w:ilvl w:val="1"/>
                <w:numId w:val="1"/>
              </w:numPr>
              <w:spacing w:line="240" w:lineRule="auto"/>
              <w:ind w:left="1147" w:hanging="450"/>
              <w:rPr>
                <w:rFonts w:eastAsia="Arial Unicode MS"/>
              </w:rPr>
            </w:pPr>
            <w:r w:rsidRPr="005B5418">
              <w:rPr>
                <w:rFonts w:eastAsia="Arial Unicode MS"/>
              </w:rPr>
              <w:t>contract authority</w:t>
            </w:r>
            <w:r w:rsidR="0077414E" w:rsidRPr="005B5418">
              <w:rPr>
                <w:rFonts w:eastAsia="Arial Unicode MS"/>
              </w:rPr>
              <w:t xml:space="preserve">, </w:t>
            </w:r>
            <w:r w:rsidRPr="005B5418">
              <w:rPr>
                <w:rFonts w:eastAsia="Arial Unicode MS"/>
              </w:rPr>
              <w:t>and</w:t>
            </w:r>
          </w:p>
          <w:p w14:paraId="2BE455DE" w14:textId="2373E05F" w:rsidR="00221E16" w:rsidRPr="005B5418" w:rsidRDefault="00221E16" w:rsidP="005425ED">
            <w:pPr>
              <w:pStyle w:val="FAM-Table-outline2"/>
              <w:numPr>
                <w:ilvl w:val="1"/>
                <w:numId w:val="1"/>
              </w:numPr>
              <w:spacing w:line="240" w:lineRule="auto"/>
              <w:ind w:left="1147" w:hanging="450"/>
              <w:rPr>
                <w:rFonts w:cs="Arial"/>
                <w:lang w:val="pt-BR"/>
              </w:rPr>
            </w:pPr>
            <w:r w:rsidRPr="005B5418">
              <w:rPr>
                <w:rFonts w:eastAsia="Arial Unicode MS"/>
              </w:rPr>
              <w:t>spending authority from offsetting collections? (SFFAS 7, par</w:t>
            </w:r>
            <w:r w:rsidR="003A7D25" w:rsidRPr="005B5418">
              <w:rPr>
                <w:rFonts w:eastAsia="Arial Unicode MS"/>
              </w:rPr>
              <w:t>a</w:t>
            </w:r>
            <w:r w:rsidRPr="005B5418">
              <w:rPr>
                <w:rFonts w:eastAsia="Arial Unicode MS"/>
              </w:rPr>
              <w:t xml:space="preserve">. 77; A-136, sections II.3.5.4 </w:t>
            </w:r>
            <w:r w:rsidR="003A7D25" w:rsidRPr="005B5418">
              <w:rPr>
                <w:rFonts w:eastAsia="Arial Unicode MS"/>
              </w:rPr>
              <w:t xml:space="preserve">and </w:t>
            </w:r>
            <w:r w:rsidRPr="005B5418">
              <w:rPr>
                <w:rFonts w:eastAsia="Arial Unicode MS"/>
              </w:rPr>
              <w:t>II.3.5.5)</w:t>
            </w:r>
          </w:p>
        </w:tc>
        <w:tc>
          <w:tcPr>
            <w:tcW w:w="965" w:type="dxa"/>
          </w:tcPr>
          <w:p w14:paraId="71BEF37F" w14:textId="77777777" w:rsidR="00221E16" w:rsidRPr="005B5418" w:rsidRDefault="00221E16" w:rsidP="008848DA">
            <w:pPr>
              <w:pStyle w:val="Table-Cell-CenterBoldBefore6ptAfter6pt"/>
              <w:spacing w:before="60" w:after="60"/>
              <w:rPr>
                <w:rFonts w:cs="Arial"/>
                <w:lang w:val="pt-BR"/>
              </w:rPr>
            </w:pPr>
          </w:p>
        </w:tc>
        <w:tc>
          <w:tcPr>
            <w:tcW w:w="3211" w:type="dxa"/>
          </w:tcPr>
          <w:p w14:paraId="459044C6" w14:textId="77777777" w:rsidR="00221E16" w:rsidRPr="005B5418" w:rsidRDefault="00221E16" w:rsidP="008848DA">
            <w:pPr>
              <w:spacing w:before="60" w:after="60" w:line="240" w:lineRule="auto"/>
              <w:rPr>
                <w:rFonts w:cs="Arial"/>
                <w:lang w:val="pt-BR"/>
              </w:rPr>
            </w:pPr>
          </w:p>
        </w:tc>
      </w:tr>
      <w:tr w:rsidR="00221E16" w:rsidRPr="005B5418" w14:paraId="654E3AD3" w14:textId="77777777" w:rsidTr="00E162E0">
        <w:trPr>
          <w:cantSplit/>
          <w:trHeight w:val="2160"/>
        </w:trPr>
        <w:tc>
          <w:tcPr>
            <w:tcW w:w="5400" w:type="dxa"/>
          </w:tcPr>
          <w:p w14:paraId="26DC8058" w14:textId="77777777" w:rsidR="00221E16" w:rsidRPr="005B5418" w:rsidRDefault="00221E16" w:rsidP="008848DA">
            <w:pPr>
              <w:pStyle w:val="FAM-Table-outline"/>
              <w:widowControl/>
              <w:numPr>
                <w:ilvl w:val="0"/>
                <w:numId w:val="1"/>
              </w:numPr>
              <w:adjustRightInd/>
              <w:spacing w:line="240" w:lineRule="auto"/>
              <w:textAlignment w:val="auto"/>
              <w:rPr>
                <w:rFonts w:eastAsia="Arial Unicode MS"/>
              </w:rPr>
            </w:pPr>
            <w:r w:rsidRPr="005B5418">
              <w:rPr>
                <w:rFonts w:eastAsia="Arial Unicode MS"/>
              </w:rPr>
              <w:t>In its SBR under “Status of Budgetary Resources,” does the entity include</w:t>
            </w:r>
            <w:r w:rsidR="00B960E7" w:rsidRPr="005B5418">
              <w:rPr>
                <w:rFonts w:eastAsia="Arial Unicode MS"/>
              </w:rPr>
              <w:t xml:space="preserve">, as applicable, </w:t>
            </w:r>
            <w:r w:rsidRPr="005B5418">
              <w:rPr>
                <w:rFonts w:eastAsia="Arial Unicode MS"/>
              </w:rPr>
              <w:t xml:space="preserve"> </w:t>
            </w:r>
          </w:p>
          <w:p w14:paraId="7434677D" w14:textId="04E1156F" w:rsidR="00221E16" w:rsidRPr="005B5418" w:rsidRDefault="00221E16" w:rsidP="005425ED">
            <w:pPr>
              <w:pStyle w:val="FAM-Table-outline2"/>
              <w:numPr>
                <w:ilvl w:val="1"/>
                <w:numId w:val="1"/>
              </w:numPr>
              <w:spacing w:line="240" w:lineRule="auto"/>
              <w:ind w:left="1147" w:hanging="450"/>
              <w:rPr>
                <w:rFonts w:eastAsia="Arial Unicode MS"/>
              </w:rPr>
            </w:pPr>
            <w:r w:rsidRPr="005B5418">
              <w:rPr>
                <w:rFonts w:eastAsia="Arial Unicode MS"/>
              </w:rPr>
              <w:t>new obligations and upward adjustments</w:t>
            </w:r>
            <w:r w:rsidR="003F2F81" w:rsidRPr="005B5418">
              <w:rPr>
                <w:rFonts w:eastAsia="Arial Unicode MS"/>
              </w:rPr>
              <w:t xml:space="preserve"> and </w:t>
            </w:r>
          </w:p>
          <w:p w14:paraId="1973171B" w14:textId="69FFD8DE" w:rsidR="00221E16" w:rsidRPr="005B5418" w:rsidRDefault="00221E16" w:rsidP="005425ED">
            <w:pPr>
              <w:pStyle w:val="FAM-Table-outline2"/>
              <w:numPr>
                <w:ilvl w:val="1"/>
                <w:numId w:val="1"/>
              </w:numPr>
              <w:spacing w:line="240" w:lineRule="auto"/>
              <w:ind w:left="1147" w:hanging="450"/>
              <w:rPr>
                <w:rFonts w:eastAsia="Arial Unicode MS"/>
              </w:rPr>
            </w:pPr>
            <w:r w:rsidRPr="005B5418">
              <w:rPr>
                <w:rFonts w:eastAsia="Arial Unicode MS"/>
              </w:rPr>
              <w:t>unobligated balance(s), end of year that are</w:t>
            </w:r>
          </w:p>
          <w:p w14:paraId="6F4A217A" w14:textId="77777777" w:rsidR="00221E16" w:rsidRPr="005B5418" w:rsidRDefault="00221E16" w:rsidP="008848DA">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 xml:space="preserve">apportioned, unexpired accounts; </w:t>
            </w:r>
          </w:p>
          <w:p w14:paraId="09F327C8" w14:textId="77777777" w:rsidR="00221E16" w:rsidRPr="005B5418" w:rsidRDefault="00221E16" w:rsidP="008848DA">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exempt from apportionment, unexpired accounts;</w:t>
            </w:r>
          </w:p>
          <w:p w14:paraId="5049CAD8" w14:textId="77777777" w:rsidR="00221E16" w:rsidRPr="005B5418" w:rsidRDefault="00221E16" w:rsidP="008848DA">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unapportioned, unexpired accounts;</w:t>
            </w:r>
          </w:p>
          <w:p w14:paraId="39F79A3C" w14:textId="77777777" w:rsidR="00221E16" w:rsidRPr="005B5418" w:rsidRDefault="00221E16" w:rsidP="008848DA">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unexpired unobligated balance, end of year; and</w:t>
            </w:r>
          </w:p>
          <w:p w14:paraId="6AE4BA80" w14:textId="673E423F" w:rsidR="00221E16" w:rsidRPr="005B5418" w:rsidRDefault="004206BD" w:rsidP="008848DA">
            <w:pPr>
              <w:pStyle w:val="FAM-Table-outline3"/>
              <w:widowControl/>
              <w:adjustRightInd/>
              <w:spacing w:before="60" w:after="60" w:line="240" w:lineRule="auto"/>
              <w:ind w:left="1410" w:hanging="432"/>
              <w:textAlignment w:val="auto"/>
              <w:rPr>
                <w:rFonts w:cs="Arial"/>
                <w:sz w:val="22"/>
                <w:szCs w:val="22"/>
                <w:lang w:val="pt-BR"/>
              </w:rPr>
            </w:pPr>
            <w:r w:rsidRPr="005B5418">
              <w:rPr>
                <w:rFonts w:cs="Arial"/>
                <w:sz w:val="22"/>
                <w:szCs w:val="22"/>
              </w:rPr>
              <w:t>e</w:t>
            </w:r>
            <w:r w:rsidR="00221E16" w:rsidRPr="005B5418">
              <w:rPr>
                <w:rFonts w:cs="Arial"/>
                <w:sz w:val="22"/>
                <w:szCs w:val="22"/>
              </w:rPr>
              <w:t xml:space="preserve">xpired unobligated balance, end of year? </w:t>
            </w:r>
            <w:r w:rsidR="00221E16" w:rsidRPr="005425ED">
              <w:rPr>
                <w:sz w:val="22"/>
              </w:rPr>
              <w:t>(SFFAS 7, par</w:t>
            </w:r>
            <w:r w:rsidR="003F2F81" w:rsidRPr="005425ED">
              <w:rPr>
                <w:sz w:val="22"/>
              </w:rPr>
              <w:t>a</w:t>
            </w:r>
            <w:r w:rsidR="00221E16" w:rsidRPr="005425ED">
              <w:rPr>
                <w:sz w:val="22"/>
              </w:rPr>
              <w:t xml:space="preserve">. 77; A-136, sections II.3.5.4 </w:t>
            </w:r>
            <w:r w:rsidR="003F2F81" w:rsidRPr="005425ED">
              <w:rPr>
                <w:sz w:val="22"/>
              </w:rPr>
              <w:t xml:space="preserve">and </w:t>
            </w:r>
            <w:r w:rsidR="00221E16" w:rsidRPr="005425ED">
              <w:rPr>
                <w:sz w:val="22"/>
              </w:rPr>
              <w:t>II.3.5.6)</w:t>
            </w:r>
          </w:p>
        </w:tc>
        <w:tc>
          <w:tcPr>
            <w:tcW w:w="965" w:type="dxa"/>
          </w:tcPr>
          <w:p w14:paraId="63D39E02" w14:textId="77777777" w:rsidR="00221E16" w:rsidRPr="005B5418" w:rsidRDefault="00221E16" w:rsidP="008848DA">
            <w:pPr>
              <w:pStyle w:val="Table-Cell-CenterBoldBefore6ptAfter6pt"/>
              <w:spacing w:before="60" w:after="60"/>
              <w:rPr>
                <w:rFonts w:cs="Arial"/>
                <w:lang w:val="pt-BR"/>
              </w:rPr>
            </w:pPr>
          </w:p>
        </w:tc>
        <w:tc>
          <w:tcPr>
            <w:tcW w:w="3211" w:type="dxa"/>
          </w:tcPr>
          <w:p w14:paraId="4861A6F1" w14:textId="77777777" w:rsidR="00221E16" w:rsidRPr="005B5418" w:rsidRDefault="00221E16" w:rsidP="008848DA">
            <w:pPr>
              <w:spacing w:before="60" w:after="60" w:line="240" w:lineRule="auto"/>
              <w:rPr>
                <w:rFonts w:cs="Arial"/>
                <w:lang w:val="pt-BR"/>
              </w:rPr>
            </w:pPr>
          </w:p>
        </w:tc>
      </w:tr>
      <w:tr w:rsidR="00221E16" w:rsidRPr="005B5418" w14:paraId="6B0F924F" w14:textId="77777777" w:rsidTr="00E162E0">
        <w:trPr>
          <w:cantSplit/>
          <w:trHeight w:val="2160"/>
        </w:trPr>
        <w:tc>
          <w:tcPr>
            <w:tcW w:w="5400" w:type="dxa"/>
          </w:tcPr>
          <w:p w14:paraId="0533913D" w14:textId="7AB13670" w:rsidR="00221E16" w:rsidRPr="005B5418" w:rsidRDefault="00221E16" w:rsidP="008848DA">
            <w:pPr>
              <w:pStyle w:val="FAM-Table-outline"/>
              <w:spacing w:line="240" w:lineRule="auto"/>
              <w:rPr>
                <w:rFonts w:eastAsia="Arial Unicode MS"/>
              </w:rPr>
            </w:pPr>
            <w:r w:rsidRPr="005B5418">
              <w:rPr>
                <w:rFonts w:eastAsia="Arial Unicode MS"/>
              </w:rPr>
              <w:lastRenderedPageBreak/>
              <w:t>Does the total budgetary resources amount reported for the “status of budgetary resources” section of the SBR equal the total budgetary resources available to the reporting entity as of the reporting date as reported in the “Budgetary Resources” section? (A-136, section II.3.5.6)</w:t>
            </w:r>
          </w:p>
        </w:tc>
        <w:tc>
          <w:tcPr>
            <w:tcW w:w="965" w:type="dxa"/>
          </w:tcPr>
          <w:p w14:paraId="265789CF" w14:textId="77777777" w:rsidR="00221E16" w:rsidRPr="005B5418" w:rsidRDefault="00221E16" w:rsidP="008848DA">
            <w:pPr>
              <w:pStyle w:val="Table-Cell-CenterBoldBefore6ptAfter6pt"/>
              <w:spacing w:before="60" w:after="60"/>
              <w:rPr>
                <w:rFonts w:cs="Arial"/>
              </w:rPr>
            </w:pPr>
          </w:p>
        </w:tc>
        <w:tc>
          <w:tcPr>
            <w:tcW w:w="3211" w:type="dxa"/>
          </w:tcPr>
          <w:p w14:paraId="074E89F8" w14:textId="77777777" w:rsidR="00221E16" w:rsidRPr="005B5418" w:rsidRDefault="00221E16" w:rsidP="008848DA">
            <w:pPr>
              <w:spacing w:before="60" w:after="60" w:line="240" w:lineRule="auto"/>
              <w:rPr>
                <w:rFonts w:cs="Arial"/>
              </w:rPr>
            </w:pPr>
          </w:p>
        </w:tc>
      </w:tr>
      <w:tr w:rsidR="00221E16" w:rsidRPr="005B5418" w14:paraId="4885FFB7" w14:textId="77777777" w:rsidTr="00E162E0">
        <w:trPr>
          <w:cantSplit/>
          <w:trHeight w:val="2160"/>
        </w:trPr>
        <w:tc>
          <w:tcPr>
            <w:tcW w:w="5400" w:type="dxa"/>
          </w:tcPr>
          <w:p w14:paraId="4F6CC8C6" w14:textId="77777777" w:rsidR="00221E16" w:rsidRPr="005B5418" w:rsidRDefault="00221E16" w:rsidP="008848DA">
            <w:pPr>
              <w:pStyle w:val="FAM-Table-outline"/>
              <w:widowControl/>
              <w:numPr>
                <w:ilvl w:val="0"/>
                <w:numId w:val="1"/>
              </w:numPr>
              <w:adjustRightInd/>
              <w:spacing w:line="240" w:lineRule="auto"/>
              <w:textAlignment w:val="auto"/>
              <w:rPr>
                <w:rFonts w:eastAsia="Arial Unicode MS"/>
              </w:rPr>
            </w:pPr>
            <w:r w:rsidRPr="005B5418">
              <w:rPr>
                <w:rFonts w:eastAsia="Arial Unicode MS"/>
              </w:rPr>
              <w:t>In its SBR under “Outlays, Net,” does the entity include</w:t>
            </w:r>
          </w:p>
          <w:p w14:paraId="1B5F394F" w14:textId="77777777" w:rsidR="00221E16" w:rsidRPr="005B5418" w:rsidRDefault="00221E16" w:rsidP="005425ED">
            <w:pPr>
              <w:pStyle w:val="FAM-Table-outline2"/>
              <w:numPr>
                <w:ilvl w:val="1"/>
                <w:numId w:val="1"/>
              </w:numPr>
              <w:spacing w:line="240" w:lineRule="auto"/>
              <w:ind w:left="1147" w:hanging="450"/>
              <w:rPr>
                <w:rFonts w:eastAsia="Arial Unicode MS"/>
              </w:rPr>
            </w:pPr>
            <w:r w:rsidRPr="005B5418">
              <w:rPr>
                <w:rFonts w:eastAsia="Arial Unicode MS"/>
              </w:rPr>
              <w:t>outlays, net;</w:t>
            </w:r>
          </w:p>
          <w:p w14:paraId="2F265C53" w14:textId="77777777" w:rsidR="00221E16" w:rsidRPr="005B5418" w:rsidRDefault="00221E16" w:rsidP="005425ED">
            <w:pPr>
              <w:pStyle w:val="FAM-Table-outline2"/>
              <w:numPr>
                <w:ilvl w:val="1"/>
                <w:numId w:val="1"/>
              </w:numPr>
              <w:spacing w:line="240" w:lineRule="auto"/>
              <w:ind w:left="1147" w:hanging="450"/>
              <w:rPr>
                <w:rFonts w:eastAsia="Arial Unicode MS"/>
              </w:rPr>
            </w:pPr>
            <w:r w:rsidRPr="005B5418">
              <w:rPr>
                <w:rFonts w:eastAsia="Arial Unicode MS"/>
              </w:rPr>
              <w:t>distributed offsetting receipts; and</w:t>
            </w:r>
          </w:p>
          <w:p w14:paraId="6DB0A0B6" w14:textId="1A041B43" w:rsidR="00221E16" w:rsidRPr="005B5418" w:rsidRDefault="00221E16" w:rsidP="005425ED">
            <w:pPr>
              <w:pStyle w:val="FAM-Table-outline2"/>
              <w:numPr>
                <w:ilvl w:val="1"/>
                <w:numId w:val="1"/>
              </w:numPr>
              <w:spacing w:line="240" w:lineRule="auto"/>
              <w:ind w:left="1147" w:hanging="450"/>
              <w:rPr>
                <w:rFonts w:cs="Arial"/>
              </w:rPr>
            </w:pPr>
            <w:r w:rsidRPr="005B5418">
              <w:rPr>
                <w:rFonts w:eastAsia="Arial Unicode MS"/>
              </w:rPr>
              <w:t xml:space="preserve">agency outlays, net? (A-136, sections II.3.5.4 </w:t>
            </w:r>
            <w:r w:rsidR="00385585" w:rsidRPr="005B5418">
              <w:rPr>
                <w:rFonts w:eastAsia="Arial Unicode MS"/>
              </w:rPr>
              <w:t xml:space="preserve">and </w:t>
            </w:r>
            <w:r w:rsidRPr="005B5418">
              <w:rPr>
                <w:rFonts w:eastAsia="Arial Unicode MS"/>
              </w:rPr>
              <w:t>II.3.5.7)</w:t>
            </w:r>
          </w:p>
        </w:tc>
        <w:tc>
          <w:tcPr>
            <w:tcW w:w="965" w:type="dxa"/>
          </w:tcPr>
          <w:p w14:paraId="2C1247AD" w14:textId="77777777" w:rsidR="00221E16" w:rsidRPr="005B5418" w:rsidRDefault="00221E16" w:rsidP="008848DA">
            <w:pPr>
              <w:pStyle w:val="Table-Cell-CenterBoldBefore6ptAfter6pt"/>
              <w:spacing w:before="60" w:after="60"/>
              <w:rPr>
                <w:rFonts w:cs="Arial"/>
              </w:rPr>
            </w:pPr>
          </w:p>
        </w:tc>
        <w:tc>
          <w:tcPr>
            <w:tcW w:w="3211" w:type="dxa"/>
          </w:tcPr>
          <w:p w14:paraId="54547E81" w14:textId="77777777" w:rsidR="00221E16" w:rsidRPr="005B5418" w:rsidRDefault="00221E16" w:rsidP="008848DA">
            <w:pPr>
              <w:spacing w:before="60" w:after="60" w:line="240" w:lineRule="auto"/>
              <w:rPr>
                <w:rFonts w:cs="Arial"/>
              </w:rPr>
            </w:pPr>
          </w:p>
        </w:tc>
      </w:tr>
      <w:tr w:rsidR="00221E16" w:rsidRPr="005B5418" w14:paraId="5A012CE4" w14:textId="77777777" w:rsidTr="00E67413">
        <w:trPr>
          <w:cantSplit/>
          <w:trHeight w:val="1187"/>
        </w:trPr>
        <w:tc>
          <w:tcPr>
            <w:tcW w:w="5400" w:type="dxa"/>
          </w:tcPr>
          <w:p w14:paraId="57AFFC0D" w14:textId="4EDE659F" w:rsidR="00221E16" w:rsidRPr="005B5418" w:rsidRDefault="00221E16" w:rsidP="008848DA">
            <w:pPr>
              <w:pStyle w:val="FAM-Table-outline"/>
              <w:spacing w:line="240" w:lineRule="auto"/>
              <w:rPr>
                <w:rFonts w:eastAsia="Arial Unicode MS"/>
              </w:rPr>
            </w:pPr>
            <w:r w:rsidRPr="005B5418">
              <w:rPr>
                <w:rFonts w:eastAsia="Arial Unicode MS"/>
              </w:rPr>
              <w:t>Do the outlays</w:t>
            </w:r>
            <w:r w:rsidR="00385585" w:rsidRPr="005B5418">
              <w:rPr>
                <w:rFonts w:eastAsia="Arial Unicode MS"/>
              </w:rPr>
              <w:t xml:space="preserve"> reported in the “Outlays, net” section agree with the agency’s disbursements and collections reported to Treasury for the fiscal year to date?</w:t>
            </w:r>
            <w:r w:rsidRPr="005B5418">
              <w:rPr>
                <w:rFonts w:eastAsia="Arial Unicode MS"/>
                <w:vertAlign w:val="superscript"/>
              </w:rPr>
              <w:footnoteReference w:id="68"/>
            </w:r>
            <w:r w:rsidRPr="005B5418">
              <w:rPr>
                <w:rFonts w:eastAsia="Arial Unicode MS"/>
              </w:rPr>
              <w:t xml:space="preserve"> (A-136, section II.3.5.7)</w:t>
            </w:r>
          </w:p>
        </w:tc>
        <w:tc>
          <w:tcPr>
            <w:tcW w:w="965" w:type="dxa"/>
          </w:tcPr>
          <w:p w14:paraId="15656022" w14:textId="77777777" w:rsidR="00221E16" w:rsidRPr="005B5418" w:rsidRDefault="00221E16" w:rsidP="008848DA">
            <w:pPr>
              <w:pStyle w:val="Table-Cell-CenterBoldBefore6ptAfter6pt"/>
              <w:spacing w:before="60" w:after="60"/>
              <w:rPr>
                <w:rFonts w:cs="Arial"/>
              </w:rPr>
            </w:pPr>
          </w:p>
        </w:tc>
        <w:tc>
          <w:tcPr>
            <w:tcW w:w="3211" w:type="dxa"/>
          </w:tcPr>
          <w:p w14:paraId="6D25B0EC" w14:textId="77777777" w:rsidR="00221E16" w:rsidRPr="005B5418" w:rsidRDefault="00221E16" w:rsidP="008848DA">
            <w:pPr>
              <w:spacing w:before="60" w:after="60" w:line="240" w:lineRule="auto"/>
              <w:rPr>
                <w:rFonts w:cs="Arial"/>
              </w:rPr>
            </w:pPr>
          </w:p>
        </w:tc>
      </w:tr>
      <w:tr w:rsidR="00E63AB2" w:rsidRPr="005B5418" w14:paraId="40929CF9" w14:textId="77777777" w:rsidTr="00E67413">
        <w:trPr>
          <w:cantSplit/>
          <w:trHeight w:val="1187"/>
        </w:trPr>
        <w:tc>
          <w:tcPr>
            <w:tcW w:w="5400" w:type="dxa"/>
          </w:tcPr>
          <w:p w14:paraId="7A241B0A" w14:textId="75E962DD" w:rsidR="00E63AB2" w:rsidRPr="005B5418" w:rsidRDefault="00E63AB2" w:rsidP="008848DA">
            <w:pPr>
              <w:pStyle w:val="FAM-Table-outline"/>
              <w:widowControl/>
              <w:numPr>
                <w:ilvl w:val="0"/>
                <w:numId w:val="1"/>
              </w:numPr>
              <w:adjustRightInd/>
              <w:spacing w:line="240" w:lineRule="auto"/>
              <w:textAlignment w:val="auto"/>
              <w:rPr>
                <w:rFonts w:eastAsia="Arial Unicode MS"/>
              </w:rPr>
            </w:pPr>
            <w:r w:rsidRPr="005B5418">
              <w:rPr>
                <w:rFonts w:eastAsia="Arial Unicode MS"/>
              </w:rPr>
              <w:t xml:space="preserve">In its SBR </w:t>
            </w:r>
            <w:r w:rsidR="008F3B09" w:rsidRPr="005B5418">
              <w:rPr>
                <w:rFonts w:eastAsia="Arial Unicode MS"/>
              </w:rPr>
              <w:t>for credit finance accounts,</w:t>
            </w:r>
            <w:r w:rsidRPr="005B5418">
              <w:rPr>
                <w:rFonts w:eastAsia="Arial Unicode MS"/>
              </w:rPr>
              <w:t xml:space="preserve"> does the entity </w:t>
            </w:r>
            <w:r w:rsidR="008F3B09" w:rsidRPr="005B5418">
              <w:rPr>
                <w:rFonts w:eastAsia="Arial Unicode MS"/>
              </w:rPr>
              <w:t xml:space="preserve">present “Disbursements, Net” </w:t>
            </w:r>
            <w:r w:rsidR="0080256D" w:rsidRPr="005B5418">
              <w:rPr>
                <w:rFonts w:eastAsia="Arial Unicode MS"/>
              </w:rPr>
              <w:t>(</w:t>
            </w:r>
            <w:r w:rsidR="008F3B09" w:rsidRPr="005B5418">
              <w:rPr>
                <w:rFonts w:eastAsia="Arial Unicode MS"/>
              </w:rPr>
              <w:t>which are derived by</w:t>
            </w:r>
            <w:r w:rsidR="0080256D" w:rsidRPr="005B5418">
              <w:rPr>
                <w:rFonts w:eastAsia="Arial Unicode MS"/>
              </w:rPr>
              <w:t xml:space="preserve"> reducing</w:t>
            </w:r>
            <w:r w:rsidRPr="005B5418">
              <w:rPr>
                <w:rFonts w:eastAsia="Arial Unicode MS"/>
              </w:rPr>
              <w:t xml:space="preserve"> gross disbursements </w:t>
            </w:r>
            <w:r w:rsidR="0080256D" w:rsidRPr="005B5418">
              <w:rPr>
                <w:rFonts w:eastAsia="Arial Unicode MS"/>
              </w:rPr>
              <w:t>by actual</w:t>
            </w:r>
            <w:r w:rsidRPr="005B5418">
              <w:rPr>
                <w:rFonts w:eastAsia="Arial Unicode MS"/>
              </w:rPr>
              <w:t xml:space="preserve"> offsetting collections from credit financing accounts</w:t>
            </w:r>
            <w:r w:rsidR="0080256D" w:rsidRPr="005B5418">
              <w:rPr>
                <w:rFonts w:eastAsia="Arial Unicode MS"/>
              </w:rPr>
              <w:t>)</w:t>
            </w:r>
            <w:r w:rsidR="00BA2911" w:rsidRPr="005B5418">
              <w:rPr>
                <w:rFonts w:eastAsia="Arial Unicode MS"/>
              </w:rPr>
              <w:t>,</w:t>
            </w:r>
            <w:r w:rsidR="0080256D" w:rsidRPr="005B5418">
              <w:rPr>
                <w:rFonts w:eastAsia="Arial Unicode MS"/>
              </w:rPr>
              <w:t xml:space="preserve"> and are such amounts excluded from “Outlays, Net</w:t>
            </w:r>
            <w:r w:rsidRPr="005B5418">
              <w:rPr>
                <w:rFonts w:eastAsia="Arial Unicode MS"/>
              </w:rPr>
              <w:t>?</w:t>
            </w:r>
            <w:r w:rsidR="0080256D" w:rsidRPr="005B5418">
              <w:rPr>
                <w:rFonts w:eastAsia="Arial Unicode MS"/>
              </w:rPr>
              <w:t>”</w:t>
            </w:r>
            <w:r w:rsidRPr="005B5418">
              <w:rPr>
                <w:rFonts w:eastAsia="Arial Unicode MS"/>
              </w:rPr>
              <w:t xml:space="preserve"> (A-136, section II.3.5.7)</w:t>
            </w:r>
          </w:p>
          <w:p w14:paraId="562E4445" w14:textId="77777777" w:rsidR="00E63AB2" w:rsidRPr="005B5418" w:rsidRDefault="00E63AB2" w:rsidP="008848DA">
            <w:pPr>
              <w:pStyle w:val="FAM-Table-outline"/>
              <w:widowControl/>
              <w:numPr>
                <w:ilvl w:val="0"/>
                <w:numId w:val="0"/>
              </w:numPr>
              <w:adjustRightInd/>
              <w:spacing w:line="240" w:lineRule="auto"/>
              <w:ind w:left="576"/>
              <w:textAlignment w:val="auto"/>
              <w:rPr>
                <w:rFonts w:eastAsia="Arial Unicode MS"/>
              </w:rPr>
            </w:pPr>
          </w:p>
        </w:tc>
        <w:tc>
          <w:tcPr>
            <w:tcW w:w="965" w:type="dxa"/>
          </w:tcPr>
          <w:p w14:paraId="47FDEBCC" w14:textId="77777777" w:rsidR="00E63AB2" w:rsidRPr="005B5418" w:rsidRDefault="00E63AB2" w:rsidP="008848DA">
            <w:pPr>
              <w:pStyle w:val="Table-Cell-CenterBoldBefore6ptAfter6pt"/>
              <w:spacing w:before="60" w:after="60"/>
              <w:rPr>
                <w:rFonts w:cs="Arial"/>
              </w:rPr>
            </w:pPr>
          </w:p>
        </w:tc>
        <w:tc>
          <w:tcPr>
            <w:tcW w:w="3211" w:type="dxa"/>
          </w:tcPr>
          <w:p w14:paraId="734BDE0D" w14:textId="77777777" w:rsidR="00E63AB2" w:rsidRPr="005B5418" w:rsidRDefault="00E63AB2" w:rsidP="008848DA">
            <w:pPr>
              <w:spacing w:before="60" w:after="60" w:line="240" w:lineRule="auto"/>
              <w:rPr>
                <w:rFonts w:cs="Arial"/>
              </w:rPr>
            </w:pPr>
          </w:p>
        </w:tc>
      </w:tr>
    </w:tbl>
    <w:p w14:paraId="539CC6DC" w14:textId="77777777" w:rsidR="009D3C93" w:rsidRPr="005B5418" w:rsidRDefault="009D3C93" w:rsidP="003B61E9">
      <w:pPr>
        <w:spacing w:line="240" w:lineRule="auto"/>
        <w:rPr>
          <w:rFonts w:eastAsia="Arial Unicode MS" w:cs="Arial"/>
        </w:rPr>
      </w:pPr>
    </w:p>
    <w:p w14:paraId="4085CDEC" w14:textId="77777777" w:rsidR="009D3C93" w:rsidRPr="005B5418" w:rsidRDefault="009D3C93" w:rsidP="003B61E9">
      <w:pPr>
        <w:spacing w:line="240" w:lineRule="auto"/>
        <w:rPr>
          <w:rFonts w:eastAsia="Arial Unicode MS" w:cs="Arial"/>
        </w:rPr>
      </w:pPr>
      <w:r w:rsidRPr="005B5418">
        <w:rPr>
          <w:rFonts w:eastAsia="Arial Unicode M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65"/>
        <w:gridCol w:w="3211"/>
      </w:tblGrid>
      <w:tr w:rsidR="009D3C93" w:rsidRPr="005B5418" w14:paraId="244C52A4" w14:textId="77777777" w:rsidTr="00B96E6D">
        <w:trPr>
          <w:tblHeader/>
        </w:trPr>
        <w:tc>
          <w:tcPr>
            <w:tcW w:w="5400" w:type="dxa"/>
          </w:tcPr>
          <w:p w14:paraId="6839B511" w14:textId="77777777" w:rsidR="009D3C93" w:rsidRPr="005B5418" w:rsidRDefault="009D3C93" w:rsidP="008848DA">
            <w:pPr>
              <w:pStyle w:val="Heading4"/>
              <w:spacing w:before="60" w:after="60" w:line="240" w:lineRule="auto"/>
              <w:jc w:val="left"/>
              <w:rPr>
                <w:b/>
                <w:i/>
                <w:u w:val="none"/>
              </w:rPr>
            </w:pPr>
            <w:bookmarkStart w:id="79" w:name="_II.3.6_Statement_of"/>
            <w:bookmarkStart w:id="80" w:name="_Ref384815449"/>
            <w:bookmarkEnd w:id="79"/>
            <w:r w:rsidRPr="005B5418">
              <w:rPr>
                <w:b/>
                <w:u w:val="none"/>
              </w:rPr>
              <w:lastRenderedPageBreak/>
              <w:t>II.3.6 Statement of Custodial Activity</w:t>
            </w:r>
            <w:bookmarkEnd w:id="80"/>
          </w:p>
        </w:tc>
        <w:tc>
          <w:tcPr>
            <w:tcW w:w="965" w:type="dxa"/>
          </w:tcPr>
          <w:p w14:paraId="08E44151" w14:textId="77777777" w:rsidR="009D3C93" w:rsidRPr="005B5418" w:rsidRDefault="009D3C93" w:rsidP="008848DA">
            <w:pPr>
              <w:pStyle w:val="TableCellCenter"/>
              <w:spacing w:before="60" w:after="60"/>
              <w:jc w:val="left"/>
            </w:pPr>
            <w:r w:rsidRPr="005B5418">
              <w:t>Yes, No, or N/A</w:t>
            </w:r>
          </w:p>
        </w:tc>
        <w:tc>
          <w:tcPr>
            <w:tcW w:w="3211" w:type="dxa"/>
          </w:tcPr>
          <w:p w14:paraId="37AA88BB" w14:textId="64499F17" w:rsidR="009D3C93" w:rsidRPr="005B5418" w:rsidRDefault="009D3C93" w:rsidP="008848DA">
            <w:pPr>
              <w:pStyle w:val="TableCellCenter"/>
              <w:spacing w:before="60" w:after="60"/>
              <w:jc w:val="left"/>
            </w:pPr>
            <w:r w:rsidRPr="005B5418">
              <w:t xml:space="preserve">Explanation </w:t>
            </w:r>
            <w:r w:rsidR="006E1D33" w:rsidRPr="005B5418">
              <w:t xml:space="preserve">and </w:t>
            </w:r>
            <w:r w:rsidRPr="005B5418">
              <w:t>Reference</w:t>
            </w:r>
          </w:p>
        </w:tc>
      </w:tr>
      <w:tr w:rsidR="009D3C93" w:rsidRPr="005B5418" w14:paraId="7228BFDE" w14:textId="77777777" w:rsidTr="00E67413">
        <w:trPr>
          <w:cantSplit/>
          <w:trHeight w:val="2717"/>
        </w:trPr>
        <w:tc>
          <w:tcPr>
            <w:tcW w:w="9576" w:type="dxa"/>
            <w:gridSpan w:val="3"/>
          </w:tcPr>
          <w:p w14:paraId="1F0B15DA" w14:textId="03CB2B78" w:rsidR="009D3C93" w:rsidRPr="005B5418" w:rsidRDefault="009D3C93" w:rsidP="008848DA">
            <w:pPr>
              <w:pStyle w:val="Table-Note"/>
              <w:spacing w:before="60" w:after="60" w:line="240" w:lineRule="auto"/>
              <w:ind w:left="0"/>
              <w:jc w:val="left"/>
              <w:rPr>
                <w:rFonts w:cs="Arial"/>
                <w:i w:val="0"/>
                <w:sz w:val="22"/>
                <w:szCs w:val="22"/>
              </w:rPr>
            </w:pPr>
            <w:r w:rsidRPr="005B5418">
              <w:rPr>
                <w:rFonts w:cs="Arial"/>
                <w:i w:val="0"/>
                <w:sz w:val="22"/>
                <w:szCs w:val="22"/>
              </w:rPr>
              <w:t>The Statement of Custodial Activity (SCA) is required for entities that collect nonexchange revenue for the General Fund of the U.S. Government, a trust fund, or other recipient entities (e.g., taxes and duties collected by the Internal Revenue Service or Customs and Border Protection Agency). The SCA is also required for entities that collect exchange revenues, including oil and gas revenues, as specified in SFFAS 7. Collecting entities do not recognize as revenue collections that have been or should be transferred to others as revenues; rather, the sources and disposition of the collections are reported on the SCA.</w:t>
            </w:r>
          </w:p>
          <w:p w14:paraId="07520F7C" w14:textId="254838CD" w:rsidR="009D3C93" w:rsidRPr="005B5418" w:rsidRDefault="009D3C93" w:rsidP="00DC7457">
            <w:pPr>
              <w:pStyle w:val="Table-Note"/>
              <w:spacing w:before="60" w:after="60" w:line="240" w:lineRule="auto"/>
              <w:ind w:left="0"/>
              <w:jc w:val="left"/>
              <w:rPr>
                <w:rFonts w:cs="Arial"/>
                <w:i w:val="0"/>
                <w:sz w:val="22"/>
                <w:szCs w:val="22"/>
              </w:rPr>
            </w:pPr>
            <w:r w:rsidRPr="005B5418">
              <w:rPr>
                <w:rFonts w:cs="Arial"/>
                <w:i w:val="0"/>
                <w:sz w:val="22"/>
                <w:szCs w:val="22"/>
              </w:rPr>
              <w:t>When collecting entities have custodial collections that are incidental to their primary mission, the sources and disposition of the collections may be disclosed in the notes</w:t>
            </w:r>
            <w:r w:rsidR="00287DD0" w:rsidRPr="005B5418">
              <w:rPr>
                <w:rFonts w:cs="Arial"/>
                <w:i w:val="0"/>
                <w:sz w:val="22"/>
                <w:szCs w:val="22"/>
              </w:rPr>
              <w:t>, the SCA, or the combined SCNP/SCA.</w:t>
            </w:r>
            <w:r w:rsidR="00E67413" w:rsidRPr="005B5418">
              <w:rPr>
                <w:rFonts w:cs="Arial"/>
                <w:i w:val="0"/>
                <w:sz w:val="22"/>
                <w:szCs w:val="22"/>
              </w:rPr>
              <w:t xml:space="preserve"> (A-136, section</w:t>
            </w:r>
            <w:r w:rsidR="00D866DF" w:rsidRPr="005B5418">
              <w:rPr>
                <w:rFonts w:cs="Arial"/>
                <w:i w:val="0"/>
                <w:sz w:val="22"/>
                <w:szCs w:val="22"/>
              </w:rPr>
              <w:t>s</w:t>
            </w:r>
            <w:r w:rsidR="00E67413" w:rsidRPr="005B5418">
              <w:rPr>
                <w:rFonts w:cs="Arial"/>
                <w:i w:val="0"/>
                <w:sz w:val="22"/>
                <w:szCs w:val="22"/>
              </w:rPr>
              <w:t xml:space="preserve"> II.3.6.1</w:t>
            </w:r>
            <w:r w:rsidR="00287DD0" w:rsidRPr="005B5418">
              <w:rPr>
                <w:rFonts w:cs="Arial"/>
                <w:i w:val="0"/>
                <w:sz w:val="22"/>
                <w:szCs w:val="22"/>
              </w:rPr>
              <w:t xml:space="preserve"> </w:t>
            </w:r>
            <w:r w:rsidR="00D866DF" w:rsidRPr="005B5418">
              <w:rPr>
                <w:rFonts w:cs="Arial"/>
                <w:i w:val="0"/>
                <w:sz w:val="22"/>
                <w:szCs w:val="22"/>
              </w:rPr>
              <w:t>and</w:t>
            </w:r>
            <w:r w:rsidR="00287DD0" w:rsidRPr="005B5418">
              <w:rPr>
                <w:rFonts w:cs="Arial"/>
                <w:i w:val="0"/>
                <w:sz w:val="22"/>
                <w:szCs w:val="22"/>
              </w:rPr>
              <w:t xml:space="preserve"> II.3.4.</w:t>
            </w:r>
            <w:r w:rsidR="00DC7457" w:rsidRPr="005B5418">
              <w:rPr>
                <w:rFonts w:cs="Arial"/>
                <w:i w:val="0"/>
                <w:sz w:val="22"/>
                <w:szCs w:val="22"/>
              </w:rPr>
              <w:t>2B</w:t>
            </w:r>
            <w:r w:rsidR="00E67413" w:rsidRPr="005B5418">
              <w:rPr>
                <w:rFonts w:cs="Arial"/>
                <w:i w:val="0"/>
                <w:sz w:val="22"/>
                <w:szCs w:val="22"/>
              </w:rPr>
              <w:t>)</w:t>
            </w:r>
          </w:p>
        </w:tc>
      </w:tr>
      <w:tr w:rsidR="00D71CFB" w:rsidRPr="005B5418" w14:paraId="7B391C7F" w14:textId="77777777" w:rsidTr="00DC08FB">
        <w:trPr>
          <w:cantSplit/>
          <w:trHeight w:val="1088"/>
        </w:trPr>
        <w:tc>
          <w:tcPr>
            <w:tcW w:w="5400" w:type="dxa"/>
          </w:tcPr>
          <w:p w14:paraId="20558DDA" w14:textId="5EE4FEB9" w:rsidR="00D71CFB" w:rsidRPr="005B5418" w:rsidRDefault="00D71CFB" w:rsidP="00E72C29">
            <w:pPr>
              <w:pStyle w:val="FAM-Table-outline"/>
              <w:widowControl/>
              <w:numPr>
                <w:ilvl w:val="0"/>
                <w:numId w:val="74"/>
              </w:numPr>
              <w:adjustRightInd/>
              <w:spacing w:line="240" w:lineRule="auto"/>
              <w:textAlignment w:val="auto"/>
              <w:rPr>
                <w:rFonts w:eastAsia="Arial Unicode MS"/>
              </w:rPr>
            </w:pPr>
            <w:r w:rsidRPr="005B5418">
              <w:rPr>
                <w:rFonts w:eastAsia="Arial Unicode MS"/>
              </w:rPr>
              <w:t xml:space="preserve">Is this topic applicable to the entity’s financial statements? (Answer Y if applicable, N/A if not applicable, or N/S if not significant. If N/A or N/S, skip to the next </w:t>
            </w:r>
            <w:r w:rsidR="00131000" w:rsidRPr="005B5418">
              <w:rPr>
                <w:rFonts w:eastAsia="Arial Unicode MS"/>
              </w:rPr>
              <w:t>topic</w:t>
            </w:r>
            <w:r w:rsidRPr="005B5418">
              <w:rPr>
                <w:rFonts w:eastAsia="Arial Unicode MS"/>
              </w:rPr>
              <w:t>.</w:t>
            </w:r>
            <w:r w:rsidR="0078484E" w:rsidRPr="005B5418">
              <w:rPr>
                <w:rFonts w:eastAsia="Arial Unicode MS"/>
              </w:rPr>
              <w:t>)</w:t>
            </w:r>
          </w:p>
        </w:tc>
        <w:tc>
          <w:tcPr>
            <w:tcW w:w="965" w:type="dxa"/>
          </w:tcPr>
          <w:p w14:paraId="0D2FB4BF" w14:textId="77777777" w:rsidR="00D71CFB" w:rsidRPr="005B5418" w:rsidRDefault="00D71CFB" w:rsidP="008848DA">
            <w:pPr>
              <w:pStyle w:val="Table-Cell-CenterBoldBefore6ptAfter6pt"/>
              <w:spacing w:before="60" w:after="60"/>
              <w:rPr>
                <w:rFonts w:cs="Arial"/>
              </w:rPr>
            </w:pPr>
          </w:p>
        </w:tc>
        <w:tc>
          <w:tcPr>
            <w:tcW w:w="3211" w:type="dxa"/>
          </w:tcPr>
          <w:p w14:paraId="7A35C0F9" w14:textId="77777777" w:rsidR="00D71CFB" w:rsidRPr="005B5418" w:rsidRDefault="00D71CFB" w:rsidP="008848DA">
            <w:pPr>
              <w:pStyle w:val="Table-Cell-Center"/>
              <w:spacing w:before="60" w:after="60" w:line="240" w:lineRule="auto"/>
              <w:rPr>
                <w:rFonts w:cs="Arial"/>
              </w:rPr>
            </w:pPr>
          </w:p>
        </w:tc>
      </w:tr>
      <w:tr w:rsidR="009D3C93" w:rsidRPr="005B5418" w14:paraId="7A168E10" w14:textId="77777777" w:rsidTr="00E162E0">
        <w:trPr>
          <w:cantSplit/>
          <w:trHeight w:val="1088"/>
        </w:trPr>
        <w:tc>
          <w:tcPr>
            <w:tcW w:w="5400" w:type="dxa"/>
          </w:tcPr>
          <w:p w14:paraId="590720B5" w14:textId="3350C069" w:rsidR="009D3C93" w:rsidRPr="005B5418" w:rsidRDefault="009D3C93" w:rsidP="008848DA">
            <w:pPr>
              <w:pStyle w:val="FAM-Table-outline"/>
              <w:spacing w:line="240" w:lineRule="auto"/>
              <w:rPr>
                <w:rFonts w:eastAsia="Arial Unicode MS"/>
              </w:rPr>
            </w:pPr>
            <w:r w:rsidRPr="005B5418">
              <w:rPr>
                <w:rFonts w:eastAsia="Arial Unicode MS"/>
              </w:rPr>
              <w:t>Is collected nonexchange revenue that has or will be transferred to others reported on the SCA? (A-136, section II.3.6.1)</w:t>
            </w:r>
          </w:p>
        </w:tc>
        <w:tc>
          <w:tcPr>
            <w:tcW w:w="965" w:type="dxa"/>
          </w:tcPr>
          <w:p w14:paraId="017EA13D" w14:textId="77777777" w:rsidR="009D3C93" w:rsidRPr="005B5418" w:rsidRDefault="009D3C93" w:rsidP="008848DA">
            <w:pPr>
              <w:pStyle w:val="Table-Cell-CenterBoldBefore6ptAfter6pt"/>
              <w:spacing w:before="60" w:after="60"/>
              <w:rPr>
                <w:rFonts w:cs="Arial"/>
              </w:rPr>
            </w:pPr>
          </w:p>
        </w:tc>
        <w:tc>
          <w:tcPr>
            <w:tcW w:w="3211" w:type="dxa"/>
          </w:tcPr>
          <w:p w14:paraId="71FC60B2" w14:textId="77777777" w:rsidR="009D3C93" w:rsidRPr="005B5418" w:rsidRDefault="009D3C93" w:rsidP="008848DA">
            <w:pPr>
              <w:pStyle w:val="Table-Cell-Center"/>
              <w:spacing w:before="60" w:after="60" w:line="240" w:lineRule="auto"/>
              <w:rPr>
                <w:rFonts w:cs="Arial"/>
              </w:rPr>
            </w:pPr>
          </w:p>
        </w:tc>
      </w:tr>
      <w:tr w:rsidR="009D3C93" w:rsidRPr="005B5418" w14:paraId="11B3112B" w14:textId="77777777" w:rsidTr="008848DA">
        <w:trPr>
          <w:cantSplit/>
          <w:trHeight w:val="1907"/>
        </w:trPr>
        <w:tc>
          <w:tcPr>
            <w:tcW w:w="5400" w:type="dxa"/>
          </w:tcPr>
          <w:p w14:paraId="4E54FBDD" w14:textId="3E06E228" w:rsidR="009D3C93" w:rsidRPr="005B5418" w:rsidRDefault="009D3C93" w:rsidP="008848DA">
            <w:pPr>
              <w:pStyle w:val="FAM-Table-outline"/>
              <w:widowControl/>
              <w:numPr>
                <w:ilvl w:val="0"/>
                <w:numId w:val="1"/>
              </w:numPr>
              <w:adjustRightInd/>
              <w:spacing w:line="240" w:lineRule="auto"/>
              <w:textAlignment w:val="auto"/>
              <w:rPr>
                <w:rFonts w:eastAsia="Arial Unicode MS"/>
              </w:rPr>
            </w:pPr>
            <w:r w:rsidRPr="005B5418">
              <w:rPr>
                <w:rFonts w:eastAsia="Arial Unicode MS"/>
              </w:rPr>
              <w:t xml:space="preserve">If the entity collected exchange revenue (which is normally reported on the </w:t>
            </w:r>
            <w:r w:rsidR="005C61FF" w:rsidRPr="005B5418">
              <w:rPr>
                <w:rFonts w:eastAsia="Arial Unicode MS"/>
              </w:rPr>
              <w:t>SNC</w:t>
            </w:r>
            <w:r w:rsidRPr="005B5418">
              <w:rPr>
                <w:rFonts w:eastAsia="Arial Unicode MS"/>
              </w:rPr>
              <w:t xml:space="preserve">) on behalf of others for which it incurs virtually no cost in connection with earning the revenue, is such revenue reported in the SCA and not the </w:t>
            </w:r>
            <w:r w:rsidR="005C61FF" w:rsidRPr="005B5418">
              <w:rPr>
                <w:rFonts w:eastAsia="Arial Unicode MS"/>
              </w:rPr>
              <w:t>SNC</w:t>
            </w:r>
            <w:r w:rsidRPr="005B5418">
              <w:rPr>
                <w:rFonts w:eastAsia="Arial Unicode MS"/>
              </w:rPr>
              <w:t>? (SFFAS 7, par</w:t>
            </w:r>
            <w:r w:rsidR="00D43D13" w:rsidRPr="005B5418">
              <w:rPr>
                <w:rFonts w:eastAsia="Arial Unicode MS"/>
              </w:rPr>
              <w:t>a</w:t>
            </w:r>
            <w:r w:rsidRPr="005B5418">
              <w:rPr>
                <w:rFonts w:eastAsia="Arial Unicode MS"/>
              </w:rPr>
              <w:t>. 45)</w:t>
            </w:r>
          </w:p>
        </w:tc>
        <w:tc>
          <w:tcPr>
            <w:tcW w:w="965" w:type="dxa"/>
          </w:tcPr>
          <w:p w14:paraId="2D4F3776" w14:textId="77777777" w:rsidR="009D3C93" w:rsidRPr="005B5418" w:rsidRDefault="009D3C93" w:rsidP="008848DA">
            <w:pPr>
              <w:pStyle w:val="Table-Cell-CenterBoldBefore6ptAfter6pt"/>
              <w:spacing w:before="60" w:after="60"/>
              <w:rPr>
                <w:rFonts w:cs="Arial"/>
              </w:rPr>
            </w:pPr>
          </w:p>
        </w:tc>
        <w:tc>
          <w:tcPr>
            <w:tcW w:w="3211" w:type="dxa"/>
          </w:tcPr>
          <w:p w14:paraId="530F6C1A" w14:textId="77777777" w:rsidR="009D3C93" w:rsidRPr="005B5418" w:rsidRDefault="009D3C93" w:rsidP="008848DA">
            <w:pPr>
              <w:pStyle w:val="Table-Cell-Center"/>
              <w:spacing w:before="60" w:after="60" w:line="240" w:lineRule="auto"/>
              <w:rPr>
                <w:rFonts w:cs="Arial"/>
              </w:rPr>
            </w:pPr>
          </w:p>
        </w:tc>
      </w:tr>
      <w:tr w:rsidR="009D3C93" w:rsidRPr="005B5418" w14:paraId="0FA88644" w14:textId="77777777" w:rsidTr="00E162E0">
        <w:trPr>
          <w:cantSplit/>
        </w:trPr>
        <w:tc>
          <w:tcPr>
            <w:tcW w:w="9576" w:type="dxa"/>
            <w:gridSpan w:val="3"/>
          </w:tcPr>
          <w:p w14:paraId="1DA64B6E" w14:textId="77777777" w:rsidR="009D3C93" w:rsidRPr="005B5418" w:rsidRDefault="009D3C93" w:rsidP="008848DA">
            <w:pPr>
              <w:pStyle w:val="Heading5"/>
              <w:spacing w:before="60" w:after="60" w:line="240" w:lineRule="auto"/>
              <w:rPr>
                <w:rFonts w:ascii="Arial" w:hAnsi="Arial" w:cs="Arial"/>
                <w:b/>
                <w:i/>
                <w:color w:val="auto"/>
              </w:rPr>
            </w:pPr>
            <w:bookmarkStart w:id="81" w:name="_Ref392097426"/>
            <w:bookmarkStart w:id="82" w:name="_Toc394667879"/>
            <w:r w:rsidRPr="005B5418">
              <w:rPr>
                <w:rFonts w:ascii="Arial" w:hAnsi="Arial" w:cs="Arial"/>
                <w:b/>
                <w:color w:val="auto"/>
              </w:rPr>
              <w:t>Sources of Collections</w:t>
            </w:r>
            <w:bookmarkEnd w:id="81"/>
            <w:bookmarkEnd w:id="82"/>
          </w:p>
        </w:tc>
      </w:tr>
      <w:tr w:rsidR="009D3C93" w:rsidRPr="005B5418" w14:paraId="6F110F79" w14:textId="77777777" w:rsidTr="00E162E0">
        <w:trPr>
          <w:cantSplit/>
          <w:trHeight w:val="1268"/>
        </w:trPr>
        <w:tc>
          <w:tcPr>
            <w:tcW w:w="5400" w:type="dxa"/>
          </w:tcPr>
          <w:p w14:paraId="4F33A73C" w14:textId="7C58066E" w:rsidR="009D3C93" w:rsidRPr="005B5418" w:rsidRDefault="009D3C93" w:rsidP="008848DA">
            <w:pPr>
              <w:pStyle w:val="FAM-Table-outline"/>
              <w:spacing w:line="240" w:lineRule="auto"/>
            </w:pPr>
            <w:r w:rsidRPr="005B5418">
              <w:t>Are the components of cash collections classified by source and nature of collection, such as by type of tax or duty? (A-136, section II.3.6.3)</w:t>
            </w:r>
          </w:p>
        </w:tc>
        <w:tc>
          <w:tcPr>
            <w:tcW w:w="965" w:type="dxa"/>
          </w:tcPr>
          <w:p w14:paraId="0BA37C0C" w14:textId="77777777" w:rsidR="009D3C93" w:rsidRPr="005B5418" w:rsidRDefault="009D3C93" w:rsidP="008848DA">
            <w:pPr>
              <w:pStyle w:val="Table-Cell-CenterBoldBefore6ptAfter6pt"/>
              <w:spacing w:before="60" w:after="60"/>
              <w:rPr>
                <w:rFonts w:cs="Arial"/>
              </w:rPr>
            </w:pPr>
          </w:p>
        </w:tc>
        <w:tc>
          <w:tcPr>
            <w:tcW w:w="3211" w:type="dxa"/>
          </w:tcPr>
          <w:p w14:paraId="19DA8445" w14:textId="77777777" w:rsidR="009D3C93" w:rsidRPr="005B5418" w:rsidRDefault="009D3C93" w:rsidP="008848DA">
            <w:pPr>
              <w:pStyle w:val="Table-Cell-Center"/>
              <w:spacing w:before="60" w:after="60" w:line="240" w:lineRule="auto"/>
              <w:rPr>
                <w:rFonts w:cs="Arial"/>
              </w:rPr>
            </w:pPr>
          </w:p>
        </w:tc>
      </w:tr>
      <w:tr w:rsidR="009D3C93" w:rsidRPr="005B5418" w14:paraId="1C7F0C72" w14:textId="77777777" w:rsidTr="00E162E0">
        <w:trPr>
          <w:cantSplit/>
          <w:trHeight w:val="1817"/>
        </w:trPr>
        <w:tc>
          <w:tcPr>
            <w:tcW w:w="5400" w:type="dxa"/>
          </w:tcPr>
          <w:p w14:paraId="7C8B8EF0" w14:textId="699BAE76" w:rsidR="009D3C93" w:rsidRPr="005B5418" w:rsidRDefault="009D3C93" w:rsidP="00E72C29">
            <w:pPr>
              <w:pStyle w:val="FAM-Table-outline"/>
              <w:widowControl/>
              <w:numPr>
                <w:ilvl w:val="0"/>
                <w:numId w:val="74"/>
              </w:numPr>
              <w:adjustRightInd/>
              <w:spacing w:line="240" w:lineRule="auto"/>
              <w:textAlignment w:val="auto"/>
              <w:rPr>
                <w:rFonts w:eastAsia="Arial Unicode MS"/>
              </w:rPr>
            </w:pPr>
            <w:r w:rsidRPr="005B5418">
              <w:rPr>
                <w:rFonts w:eastAsia="Arial Unicode MS"/>
              </w:rPr>
              <w:t xml:space="preserve">Are nonexchange revenue accrual adjustments </w:t>
            </w:r>
            <w:r w:rsidR="00287DD0" w:rsidRPr="005B5418">
              <w:rPr>
                <w:rFonts w:eastAsia="Arial Unicode MS"/>
              </w:rPr>
              <w:t xml:space="preserve">reported </w:t>
            </w:r>
            <w:r w:rsidRPr="005B5418">
              <w:rPr>
                <w:rFonts w:eastAsia="Arial Unicode MS"/>
              </w:rPr>
              <w:t>separately in the “sources of collections” section?</w:t>
            </w:r>
            <w:r w:rsidRPr="005B5418">
              <w:rPr>
                <w:rFonts w:eastAsia="Arial Unicode MS"/>
                <w:vertAlign w:val="superscript"/>
              </w:rPr>
              <w:footnoteReference w:id="69"/>
            </w:r>
            <w:r w:rsidRPr="005B5418">
              <w:rPr>
                <w:rFonts w:eastAsia="Arial Unicode MS"/>
              </w:rPr>
              <w:t xml:space="preserve"> (A-136, section II.3.6.3)</w:t>
            </w:r>
          </w:p>
        </w:tc>
        <w:tc>
          <w:tcPr>
            <w:tcW w:w="965" w:type="dxa"/>
          </w:tcPr>
          <w:p w14:paraId="10F7824E" w14:textId="77777777" w:rsidR="009D3C93" w:rsidRPr="005B5418" w:rsidRDefault="009D3C93" w:rsidP="008848DA">
            <w:pPr>
              <w:pStyle w:val="Table-Cell-CenterBoldBefore6ptAfter6pt"/>
              <w:spacing w:before="60" w:after="60"/>
              <w:rPr>
                <w:rFonts w:cs="Arial"/>
              </w:rPr>
            </w:pPr>
          </w:p>
        </w:tc>
        <w:tc>
          <w:tcPr>
            <w:tcW w:w="3211" w:type="dxa"/>
          </w:tcPr>
          <w:p w14:paraId="024E9A38" w14:textId="77777777" w:rsidR="009D3C93" w:rsidRPr="005B5418" w:rsidRDefault="009D3C93" w:rsidP="008848DA">
            <w:pPr>
              <w:pStyle w:val="Table-Cell-Center"/>
              <w:spacing w:before="60" w:after="60" w:line="240" w:lineRule="auto"/>
              <w:rPr>
                <w:rFonts w:cs="Arial"/>
              </w:rPr>
            </w:pPr>
          </w:p>
        </w:tc>
      </w:tr>
      <w:tr w:rsidR="009D3C93" w:rsidRPr="005B5418" w14:paraId="0121DDF0" w14:textId="77777777" w:rsidTr="00E162E0">
        <w:trPr>
          <w:cantSplit/>
        </w:trPr>
        <w:tc>
          <w:tcPr>
            <w:tcW w:w="9576" w:type="dxa"/>
            <w:gridSpan w:val="3"/>
          </w:tcPr>
          <w:p w14:paraId="510D2A70" w14:textId="77777777" w:rsidR="009D3C93" w:rsidRPr="005B5418" w:rsidRDefault="009D3C93" w:rsidP="008848DA">
            <w:pPr>
              <w:pStyle w:val="Heading5"/>
              <w:spacing w:before="60" w:after="60" w:line="240" w:lineRule="auto"/>
              <w:rPr>
                <w:rFonts w:ascii="Arial" w:hAnsi="Arial" w:cs="Arial"/>
                <w:b/>
                <w:color w:val="auto"/>
              </w:rPr>
            </w:pPr>
            <w:bookmarkStart w:id="83" w:name="_Toc72727090"/>
            <w:bookmarkStart w:id="84" w:name="_Toc72727599"/>
            <w:bookmarkStart w:id="85" w:name="_Toc72732564"/>
            <w:bookmarkStart w:id="86" w:name="_Toc73947626"/>
            <w:bookmarkStart w:id="87" w:name="_Toc394667880"/>
            <w:bookmarkStart w:id="88" w:name="_Ref422138557"/>
            <w:bookmarkStart w:id="89" w:name="_Ref491085775"/>
            <w:r w:rsidRPr="005B5418">
              <w:rPr>
                <w:rFonts w:ascii="Arial" w:hAnsi="Arial" w:cs="Arial"/>
                <w:b/>
                <w:color w:val="auto"/>
              </w:rPr>
              <w:lastRenderedPageBreak/>
              <w:t>Disposition of Collections</w:t>
            </w:r>
            <w:bookmarkEnd w:id="83"/>
            <w:bookmarkEnd w:id="84"/>
            <w:bookmarkEnd w:id="85"/>
            <w:bookmarkEnd w:id="86"/>
            <w:bookmarkEnd w:id="87"/>
            <w:bookmarkEnd w:id="88"/>
            <w:bookmarkEnd w:id="89"/>
          </w:p>
        </w:tc>
      </w:tr>
      <w:tr w:rsidR="009D3C93" w:rsidRPr="005B5418" w14:paraId="66C165A0" w14:textId="77777777" w:rsidTr="00B96E6D">
        <w:trPr>
          <w:cantSplit/>
          <w:trHeight w:val="1520"/>
        </w:trPr>
        <w:tc>
          <w:tcPr>
            <w:tcW w:w="5400" w:type="dxa"/>
          </w:tcPr>
          <w:p w14:paraId="0B4BEC19" w14:textId="5ABAC431" w:rsidR="009D3C93" w:rsidRPr="005B5418" w:rsidRDefault="009D3C93" w:rsidP="00E72C29">
            <w:pPr>
              <w:pStyle w:val="FAM-Table-outline"/>
              <w:widowControl/>
              <w:numPr>
                <w:ilvl w:val="0"/>
                <w:numId w:val="74"/>
              </w:numPr>
              <w:adjustRightInd/>
              <w:spacing w:line="240" w:lineRule="auto"/>
              <w:textAlignment w:val="auto"/>
              <w:rPr>
                <w:rFonts w:eastAsia="Arial Unicode MS"/>
              </w:rPr>
            </w:pPr>
            <w:r w:rsidRPr="005B5418">
              <w:rPr>
                <w:rFonts w:eastAsia="Arial Unicode MS"/>
              </w:rPr>
              <w:t>Do the amounts transferred to others, reported in the “disposition of collections” section, identify the agencies to which collections were transferred and the amounts transferred? (A-136, section II.3.6.4)</w:t>
            </w:r>
          </w:p>
        </w:tc>
        <w:tc>
          <w:tcPr>
            <w:tcW w:w="965" w:type="dxa"/>
          </w:tcPr>
          <w:p w14:paraId="7AAD3F7D" w14:textId="77777777" w:rsidR="009D3C93" w:rsidRPr="005B5418" w:rsidRDefault="009D3C93" w:rsidP="008848DA">
            <w:pPr>
              <w:pStyle w:val="Table-Cell-CenterBoldBefore6ptAfter6pt"/>
              <w:spacing w:before="60" w:after="60"/>
              <w:rPr>
                <w:rFonts w:cs="Arial"/>
              </w:rPr>
            </w:pPr>
          </w:p>
        </w:tc>
        <w:tc>
          <w:tcPr>
            <w:tcW w:w="3211" w:type="dxa"/>
          </w:tcPr>
          <w:p w14:paraId="6369A3E5" w14:textId="77777777" w:rsidR="009D3C93" w:rsidRPr="005B5418" w:rsidRDefault="009D3C93" w:rsidP="008848DA">
            <w:pPr>
              <w:pStyle w:val="Table-Cell-Center"/>
              <w:spacing w:before="60" w:after="60" w:line="240" w:lineRule="auto"/>
              <w:rPr>
                <w:rFonts w:cs="Arial"/>
              </w:rPr>
            </w:pPr>
          </w:p>
        </w:tc>
      </w:tr>
      <w:tr w:rsidR="009D3C93" w:rsidRPr="005B5418" w14:paraId="15CEF0F2" w14:textId="77777777" w:rsidTr="00B96E6D">
        <w:trPr>
          <w:cantSplit/>
          <w:trHeight w:val="1151"/>
        </w:trPr>
        <w:tc>
          <w:tcPr>
            <w:tcW w:w="5400" w:type="dxa"/>
          </w:tcPr>
          <w:p w14:paraId="2464985F" w14:textId="2802CA7C" w:rsidR="009D3C93" w:rsidRPr="005B5418" w:rsidRDefault="009D3C93" w:rsidP="00E72C29">
            <w:pPr>
              <w:pStyle w:val="FAM-Table-outline"/>
              <w:widowControl/>
              <w:numPr>
                <w:ilvl w:val="0"/>
                <w:numId w:val="74"/>
              </w:numPr>
              <w:adjustRightInd/>
              <w:spacing w:line="240" w:lineRule="auto"/>
              <w:textAlignment w:val="auto"/>
              <w:rPr>
                <w:rFonts w:eastAsia="Arial Unicode MS"/>
              </w:rPr>
            </w:pPr>
            <w:r w:rsidRPr="005B5418">
              <w:rPr>
                <w:rFonts w:eastAsia="Arial Unicode MS"/>
              </w:rPr>
              <w:t>Is the change</w:t>
            </w:r>
            <w:r w:rsidR="00302DEB" w:rsidRPr="005B5418">
              <w:rPr>
                <w:rFonts w:eastAsia="Arial Unicode MS"/>
              </w:rPr>
              <w:t xml:space="preserve"> </w:t>
            </w:r>
            <w:r w:rsidR="00A55533" w:rsidRPr="005B5418">
              <w:rPr>
                <w:rFonts w:eastAsia="Arial Unicode MS"/>
              </w:rPr>
              <w:t>in</w:t>
            </w:r>
            <w:r w:rsidRPr="005B5418">
              <w:rPr>
                <w:rFonts w:eastAsia="Arial Unicode MS"/>
              </w:rPr>
              <w:t xml:space="preserve"> revenue yet to be transferred reported separately in the “disposition of collections” section of the SCA? (A-136, section II.3.6.4)</w:t>
            </w:r>
          </w:p>
        </w:tc>
        <w:tc>
          <w:tcPr>
            <w:tcW w:w="965" w:type="dxa"/>
          </w:tcPr>
          <w:p w14:paraId="423647E8" w14:textId="77777777" w:rsidR="009D3C93" w:rsidRPr="005B5418" w:rsidRDefault="009D3C93" w:rsidP="008848DA">
            <w:pPr>
              <w:pStyle w:val="Table-Cell-CenterBoldBefore6ptAfter6pt"/>
              <w:spacing w:before="60" w:after="60"/>
              <w:rPr>
                <w:rFonts w:cs="Arial"/>
              </w:rPr>
            </w:pPr>
          </w:p>
        </w:tc>
        <w:tc>
          <w:tcPr>
            <w:tcW w:w="3211" w:type="dxa"/>
          </w:tcPr>
          <w:p w14:paraId="37716F7D" w14:textId="77777777" w:rsidR="009D3C93" w:rsidRPr="005B5418" w:rsidRDefault="009D3C93" w:rsidP="008848DA">
            <w:pPr>
              <w:pStyle w:val="Table-Cell-Center"/>
              <w:spacing w:before="60" w:after="60" w:line="240" w:lineRule="auto"/>
              <w:rPr>
                <w:rFonts w:cs="Arial"/>
              </w:rPr>
            </w:pPr>
          </w:p>
        </w:tc>
      </w:tr>
      <w:tr w:rsidR="009D3C93" w:rsidRPr="005B5418" w14:paraId="569341C0" w14:textId="77777777" w:rsidTr="00E162E0">
        <w:trPr>
          <w:cantSplit/>
          <w:trHeight w:val="1250"/>
        </w:trPr>
        <w:tc>
          <w:tcPr>
            <w:tcW w:w="5400" w:type="dxa"/>
          </w:tcPr>
          <w:p w14:paraId="3EFE21EC" w14:textId="5AD58BA7" w:rsidR="009D3C93" w:rsidRPr="005B5418" w:rsidRDefault="009D3C93" w:rsidP="00E72C29">
            <w:pPr>
              <w:pStyle w:val="FAM-Table-outline"/>
              <w:widowControl/>
              <w:numPr>
                <w:ilvl w:val="0"/>
                <w:numId w:val="74"/>
              </w:numPr>
              <w:adjustRightInd/>
              <w:spacing w:line="240" w:lineRule="auto"/>
              <w:textAlignment w:val="auto"/>
              <w:rPr>
                <w:rFonts w:eastAsia="Arial Unicode MS"/>
              </w:rPr>
            </w:pPr>
            <w:r w:rsidRPr="005B5418">
              <w:rPr>
                <w:rFonts w:eastAsia="Arial Unicode MS"/>
              </w:rPr>
              <w:t xml:space="preserve">Are refunds and other payments made reported separately in the “disposition of collections” section of the SCA? (A-136, section II.3.6.4) </w:t>
            </w:r>
          </w:p>
        </w:tc>
        <w:tc>
          <w:tcPr>
            <w:tcW w:w="965" w:type="dxa"/>
          </w:tcPr>
          <w:p w14:paraId="36682271" w14:textId="77777777" w:rsidR="009D3C93" w:rsidRPr="005B5418" w:rsidRDefault="009D3C93" w:rsidP="008848DA">
            <w:pPr>
              <w:pStyle w:val="Table-Cell-CenterBoldBefore6ptAfter6pt"/>
              <w:spacing w:before="60" w:after="60"/>
              <w:rPr>
                <w:rFonts w:cs="Arial"/>
              </w:rPr>
            </w:pPr>
          </w:p>
        </w:tc>
        <w:tc>
          <w:tcPr>
            <w:tcW w:w="3211" w:type="dxa"/>
          </w:tcPr>
          <w:p w14:paraId="53FE1C5F" w14:textId="77777777" w:rsidR="009D3C93" w:rsidRPr="005B5418" w:rsidRDefault="009D3C93" w:rsidP="008848DA">
            <w:pPr>
              <w:pStyle w:val="Table-Cell-Center"/>
              <w:spacing w:before="60" w:after="60" w:line="240" w:lineRule="auto"/>
              <w:rPr>
                <w:rFonts w:cs="Arial"/>
              </w:rPr>
            </w:pPr>
          </w:p>
        </w:tc>
      </w:tr>
      <w:tr w:rsidR="009D3C93" w:rsidRPr="005B5418" w14:paraId="4178F539" w14:textId="77777777" w:rsidTr="00E162E0">
        <w:trPr>
          <w:cantSplit/>
          <w:trHeight w:val="1340"/>
        </w:trPr>
        <w:tc>
          <w:tcPr>
            <w:tcW w:w="5400" w:type="dxa"/>
          </w:tcPr>
          <w:p w14:paraId="6A4E4966" w14:textId="495A480C" w:rsidR="009D3C93" w:rsidRPr="005B5418" w:rsidRDefault="009D3C93" w:rsidP="00E72C29">
            <w:pPr>
              <w:pStyle w:val="FAM-Table-outline"/>
              <w:widowControl/>
              <w:numPr>
                <w:ilvl w:val="0"/>
                <w:numId w:val="74"/>
              </w:numPr>
              <w:adjustRightInd/>
              <w:spacing w:line="240" w:lineRule="auto"/>
              <w:textAlignment w:val="auto"/>
              <w:rPr>
                <w:rFonts w:eastAsia="Arial Unicode MS"/>
              </w:rPr>
            </w:pPr>
            <w:r w:rsidRPr="005B5418">
              <w:rPr>
                <w:rFonts w:eastAsia="Arial Unicode MS"/>
              </w:rPr>
              <w:t>Are collections retained by the entity separately reported as a disposition of collections in the SCA? (A-136, section II.3.6.4)</w:t>
            </w:r>
          </w:p>
        </w:tc>
        <w:tc>
          <w:tcPr>
            <w:tcW w:w="965" w:type="dxa"/>
          </w:tcPr>
          <w:p w14:paraId="5862C869" w14:textId="77777777" w:rsidR="009D3C93" w:rsidRPr="005B5418" w:rsidRDefault="009D3C93" w:rsidP="008848DA">
            <w:pPr>
              <w:pStyle w:val="Table-Cell-CenterBoldBefore6ptAfter6pt"/>
              <w:spacing w:before="60" w:after="60"/>
              <w:rPr>
                <w:rFonts w:cs="Arial"/>
              </w:rPr>
            </w:pPr>
          </w:p>
        </w:tc>
        <w:tc>
          <w:tcPr>
            <w:tcW w:w="3211" w:type="dxa"/>
          </w:tcPr>
          <w:p w14:paraId="60AF55BC" w14:textId="77777777" w:rsidR="009D3C93" w:rsidRPr="005B5418" w:rsidRDefault="009D3C93" w:rsidP="008848DA">
            <w:pPr>
              <w:pStyle w:val="Table-Cell-Center"/>
              <w:spacing w:before="60" w:after="60" w:line="240" w:lineRule="auto"/>
              <w:rPr>
                <w:rFonts w:cs="Arial"/>
              </w:rPr>
            </w:pPr>
          </w:p>
        </w:tc>
      </w:tr>
      <w:tr w:rsidR="009D3C93" w:rsidRPr="005B5418" w14:paraId="1E39A1CD" w14:textId="77777777" w:rsidTr="00E162E0">
        <w:trPr>
          <w:cantSplit/>
        </w:trPr>
        <w:tc>
          <w:tcPr>
            <w:tcW w:w="9576" w:type="dxa"/>
            <w:gridSpan w:val="3"/>
          </w:tcPr>
          <w:p w14:paraId="58646312" w14:textId="4D2F7891" w:rsidR="009D3C93" w:rsidRPr="005B5418" w:rsidRDefault="009D3C93" w:rsidP="008848DA">
            <w:pPr>
              <w:pStyle w:val="Heading5"/>
              <w:spacing w:before="60" w:after="60" w:line="240" w:lineRule="auto"/>
              <w:rPr>
                <w:rFonts w:ascii="Arial" w:hAnsi="Arial" w:cs="Arial"/>
                <w:b/>
                <w:color w:val="auto"/>
              </w:rPr>
            </w:pPr>
            <w:bookmarkStart w:id="90" w:name="_Ref490813990"/>
            <w:r w:rsidRPr="005B5418">
              <w:rPr>
                <w:rFonts w:ascii="Arial" w:hAnsi="Arial" w:cs="Arial"/>
                <w:b/>
                <w:color w:val="auto"/>
              </w:rPr>
              <w:t xml:space="preserve">Custodial </w:t>
            </w:r>
            <w:r w:rsidR="007E3F69" w:rsidRPr="005B5418">
              <w:rPr>
                <w:rFonts w:ascii="Arial" w:hAnsi="Arial" w:cs="Arial"/>
                <w:b/>
                <w:color w:val="auto"/>
              </w:rPr>
              <w:t>Revenue Less Disposition of Collections</w:t>
            </w:r>
            <w:bookmarkEnd w:id="90"/>
          </w:p>
        </w:tc>
      </w:tr>
      <w:tr w:rsidR="009D3C93" w:rsidRPr="005B5418" w14:paraId="28DA27B4" w14:textId="77777777" w:rsidTr="00B96E6D">
        <w:trPr>
          <w:cantSplit/>
          <w:trHeight w:val="1502"/>
        </w:trPr>
        <w:tc>
          <w:tcPr>
            <w:tcW w:w="5400" w:type="dxa"/>
          </w:tcPr>
          <w:p w14:paraId="2400FD68" w14:textId="46F2D0B6" w:rsidR="009D3C93" w:rsidRPr="005B5418" w:rsidRDefault="009D3C93" w:rsidP="00E72C29">
            <w:pPr>
              <w:pStyle w:val="FAM-Table-outline"/>
              <w:widowControl/>
              <w:numPr>
                <w:ilvl w:val="0"/>
                <w:numId w:val="74"/>
              </w:numPr>
              <w:adjustRightInd/>
              <w:spacing w:line="240" w:lineRule="auto"/>
              <w:textAlignment w:val="auto"/>
              <w:rPr>
                <w:rFonts w:cs="Arial"/>
              </w:rPr>
            </w:pPr>
            <w:r w:rsidRPr="005B5418">
              <w:rPr>
                <w:rFonts w:cs="Arial"/>
              </w:rPr>
              <w:t xml:space="preserve">Does “total custodial revenue” from the sources of cash collections section equal “total </w:t>
            </w:r>
            <w:r w:rsidRPr="005B5418">
              <w:rPr>
                <w:rFonts w:eastAsia="Arial Unicode MS"/>
              </w:rPr>
              <w:t>disposition</w:t>
            </w:r>
            <w:r w:rsidRPr="005B5418">
              <w:rPr>
                <w:rFonts w:cs="Arial"/>
              </w:rPr>
              <w:t xml:space="preserve"> of collections” from the </w:t>
            </w:r>
            <w:r w:rsidR="00404C62" w:rsidRPr="005B5418">
              <w:rPr>
                <w:rFonts w:cs="Arial"/>
              </w:rPr>
              <w:t>“</w:t>
            </w:r>
            <w:r w:rsidRPr="005B5418">
              <w:rPr>
                <w:rFonts w:cs="Arial"/>
              </w:rPr>
              <w:t>disposition of collections</w:t>
            </w:r>
            <w:r w:rsidR="00404C62" w:rsidRPr="005B5418">
              <w:rPr>
                <w:rFonts w:cs="Arial"/>
              </w:rPr>
              <w:t>”</w:t>
            </w:r>
            <w:r w:rsidRPr="005B5418">
              <w:rPr>
                <w:rFonts w:cs="Arial"/>
              </w:rPr>
              <w:t xml:space="preserve"> section so that the custodial </w:t>
            </w:r>
            <w:r w:rsidR="007E3F69" w:rsidRPr="005B5418">
              <w:rPr>
                <w:rFonts w:cs="Arial"/>
              </w:rPr>
              <w:t>Revenue Less Disposition of Collections</w:t>
            </w:r>
            <w:r w:rsidRPr="005B5418">
              <w:rPr>
                <w:rFonts w:cs="Arial"/>
              </w:rPr>
              <w:t xml:space="preserve"> is zero? (A-136, section II.3.6.5)</w:t>
            </w:r>
          </w:p>
        </w:tc>
        <w:tc>
          <w:tcPr>
            <w:tcW w:w="965" w:type="dxa"/>
          </w:tcPr>
          <w:p w14:paraId="550640A4" w14:textId="77777777" w:rsidR="009D3C93" w:rsidRPr="005B5418" w:rsidRDefault="009D3C93" w:rsidP="008848DA">
            <w:pPr>
              <w:pStyle w:val="Table-Cell-CenterBoldBefore6ptAfter6pt"/>
              <w:spacing w:before="60" w:after="60"/>
              <w:rPr>
                <w:rFonts w:cs="Arial"/>
              </w:rPr>
            </w:pPr>
          </w:p>
        </w:tc>
        <w:tc>
          <w:tcPr>
            <w:tcW w:w="3211" w:type="dxa"/>
          </w:tcPr>
          <w:p w14:paraId="6BEAC6D1" w14:textId="77777777" w:rsidR="009D3C93" w:rsidRPr="005B5418" w:rsidRDefault="009D3C93" w:rsidP="008848DA">
            <w:pPr>
              <w:pStyle w:val="Table-Cell-Center"/>
              <w:spacing w:before="60" w:after="60" w:line="240" w:lineRule="auto"/>
              <w:rPr>
                <w:rFonts w:cs="Arial"/>
              </w:rPr>
            </w:pPr>
          </w:p>
        </w:tc>
      </w:tr>
      <w:tr w:rsidR="00EE3C2B" w:rsidRPr="005B5418" w14:paraId="652F408F" w14:textId="77777777" w:rsidTr="00B43CFD">
        <w:trPr>
          <w:cantSplit/>
          <w:trHeight w:val="20"/>
        </w:trPr>
        <w:tc>
          <w:tcPr>
            <w:tcW w:w="9576" w:type="dxa"/>
            <w:gridSpan w:val="3"/>
          </w:tcPr>
          <w:p w14:paraId="75DAC7C8" w14:textId="38B5526C" w:rsidR="00EE3C2B" w:rsidRPr="005B5418" w:rsidRDefault="00EE3C2B" w:rsidP="00422500">
            <w:pPr>
              <w:pStyle w:val="Table-Cell-Center"/>
              <w:spacing w:before="60" w:after="60" w:line="240" w:lineRule="auto"/>
              <w:jc w:val="left"/>
              <w:rPr>
                <w:rFonts w:cs="Arial"/>
                <w:b/>
                <w:sz w:val="22"/>
                <w:szCs w:val="22"/>
              </w:rPr>
            </w:pPr>
            <w:r w:rsidRPr="005B5418">
              <w:rPr>
                <w:rFonts w:cs="Arial"/>
                <w:b/>
                <w:sz w:val="22"/>
                <w:szCs w:val="22"/>
              </w:rPr>
              <w:t>Custodial Appropriations and Distributions</w:t>
            </w:r>
          </w:p>
        </w:tc>
      </w:tr>
      <w:tr w:rsidR="00EE3C2B" w:rsidRPr="005B5418" w14:paraId="42056BF4" w14:textId="77777777" w:rsidTr="00B96E6D">
        <w:trPr>
          <w:cantSplit/>
          <w:trHeight w:val="1502"/>
        </w:trPr>
        <w:tc>
          <w:tcPr>
            <w:tcW w:w="5400" w:type="dxa"/>
          </w:tcPr>
          <w:p w14:paraId="7472FE92" w14:textId="04A03B2A" w:rsidR="00EE3C2B" w:rsidRPr="005B5418" w:rsidRDefault="00242B6E" w:rsidP="00E72C29">
            <w:pPr>
              <w:pStyle w:val="FAM-Table-outline"/>
              <w:widowControl/>
              <w:numPr>
                <w:ilvl w:val="0"/>
                <w:numId w:val="74"/>
              </w:numPr>
              <w:adjustRightInd/>
              <w:spacing w:line="240" w:lineRule="auto"/>
              <w:textAlignment w:val="auto"/>
              <w:rPr>
                <w:rFonts w:cs="Arial"/>
              </w:rPr>
            </w:pPr>
            <w:r w:rsidRPr="005B5418">
              <w:rPr>
                <w:rFonts w:cs="Arial"/>
              </w:rPr>
              <w:t xml:space="preserve">If the entity has custodial appropriations and distributions (e.g., tax refunds), are they </w:t>
            </w:r>
            <w:r w:rsidR="00780406" w:rsidRPr="005B5418">
              <w:rPr>
                <w:rFonts w:cs="Arial"/>
              </w:rPr>
              <w:t xml:space="preserve">separately </w:t>
            </w:r>
            <w:r w:rsidRPr="005B5418">
              <w:rPr>
                <w:rFonts w:cs="Arial"/>
              </w:rPr>
              <w:t xml:space="preserve">reported </w:t>
            </w:r>
            <w:r w:rsidR="00780406" w:rsidRPr="005B5418">
              <w:rPr>
                <w:rFonts w:cs="Arial"/>
              </w:rPr>
              <w:t xml:space="preserve">from custodial revenue less disposition of collections </w:t>
            </w:r>
            <w:r w:rsidR="00422500" w:rsidRPr="005B5418">
              <w:rPr>
                <w:rFonts w:cs="Arial"/>
              </w:rPr>
              <w:t xml:space="preserve">on </w:t>
            </w:r>
            <w:r w:rsidRPr="005B5418">
              <w:rPr>
                <w:rFonts w:cs="Arial"/>
              </w:rPr>
              <w:t xml:space="preserve">the Statement of Custodial Activity? </w:t>
            </w:r>
            <w:r w:rsidR="00B43CFD" w:rsidRPr="005B5418">
              <w:rPr>
                <w:rFonts w:cs="Arial"/>
              </w:rPr>
              <w:t>(A-136, section II.3.6.2)</w:t>
            </w:r>
          </w:p>
        </w:tc>
        <w:tc>
          <w:tcPr>
            <w:tcW w:w="965" w:type="dxa"/>
          </w:tcPr>
          <w:p w14:paraId="7A9D2238" w14:textId="77777777" w:rsidR="00EE3C2B" w:rsidRPr="005B5418" w:rsidRDefault="00EE3C2B" w:rsidP="00EE3C2B">
            <w:pPr>
              <w:pStyle w:val="Table-Cell-CenterBoldBefore6ptAfter6pt"/>
              <w:spacing w:before="60" w:after="60"/>
              <w:rPr>
                <w:rFonts w:cs="Arial"/>
              </w:rPr>
            </w:pPr>
          </w:p>
        </w:tc>
        <w:tc>
          <w:tcPr>
            <w:tcW w:w="3211" w:type="dxa"/>
          </w:tcPr>
          <w:p w14:paraId="7936AFDB" w14:textId="77777777" w:rsidR="00EE3C2B" w:rsidRPr="005B5418" w:rsidRDefault="00EE3C2B" w:rsidP="00EE3C2B">
            <w:pPr>
              <w:pStyle w:val="Table-Cell-Center"/>
              <w:spacing w:before="60" w:after="60" w:line="240" w:lineRule="auto"/>
              <w:rPr>
                <w:rFonts w:cs="Arial"/>
              </w:rPr>
            </w:pPr>
          </w:p>
        </w:tc>
      </w:tr>
    </w:tbl>
    <w:p w14:paraId="5431EDE5" w14:textId="77777777" w:rsidR="00143A92" w:rsidRPr="005B5418" w:rsidRDefault="009D3C93" w:rsidP="003B61E9">
      <w:pPr>
        <w:spacing w:line="240" w:lineRule="auto"/>
        <w:rPr>
          <w:rFonts w:eastAsia="Arial Unicode MS" w:cs="Arial"/>
        </w:rPr>
      </w:pPr>
      <w:r w:rsidRPr="005B5418">
        <w:rPr>
          <w:rFonts w:eastAsia="Arial Unicode M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65"/>
        <w:gridCol w:w="3211"/>
      </w:tblGrid>
      <w:tr w:rsidR="00143A92" w:rsidRPr="005B5418" w14:paraId="4257336D" w14:textId="77777777" w:rsidTr="00B96E6D">
        <w:trPr>
          <w:cantSplit/>
          <w:tblHeader/>
        </w:trPr>
        <w:tc>
          <w:tcPr>
            <w:tcW w:w="5400" w:type="dxa"/>
          </w:tcPr>
          <w:p w14:paraId="1A804B4D" w14:textId="77777777" w:rsidR="00143A92" w:rsidRPr="005B5418" w:rsidRDefault="00143A92" w:rsidP="00B96E6D">
            <w:pPr>
              <w:pStyle w:val="Heading4"/>
              <w:spacing w:line="240" w:lineRule="auto"/>
              <w:jc w:val="left"/>
              <w:rPr>
                <w:b/>
                <w:i/>
                <w:u w:val="none"/>
              </w:rPr>
            </w:pPr>
            <w:bookmarkStart w:id="91" w:name="_II.3.7_Statement_of"/>
            <w:bookmarkEnd w:id="91"/>
            <w:r w:rsidRPr="005B5418">
              <w:rPr>
                <w:b/>
                <w:u w:val="none"/>
              </w:rPr>
              <w:lastRenderedPageBreak/>
              <w:t>II.3.7 Statement of Social Insurance &amp; Statement of Changes in Social Insurance Amounts</w:t>
            </w:r>
          </w:p>
        </w:tc>
        <w:tc>
          <w:tcPr>
            <w:tcW w:w="965" w:type="dxa"/>
          </w:tcPr>
          <w:p w14:paraId="46D58C09" w14:textId="77777777" w:rsidR="00143A92" w:rsidRPr="005B5418" w:rsidRDefault="00143A92" w:rsidP="00B96E6D">
            <w:pPr>
              <w:pStyle w:val="TableCellCenter"/>
              <w:jc w:val="left"/>
            </w:pPr>
            <w:r w:rsidRPr="005B5418">
              <w:t>Yes, No, or N/A</w:t>
            </w:r>
          </w:p>
        </w:tc>
        <w:tc>
          <w:tcPr>
            <w:tcW w:w="3211" w:type="dxa"/>
          </w:tcPr>
          <w:p w14:paraId="0969FE8E" w14:textId="40D97007" w:rsidR="00143A92" w:rsidRPr="005B5418" w:rsidRDefault="00143A92" w:rsidP="00C875E3">
            <w:pPr>
              <w:pStyle w:val="TableCellCenter"/>
              <w:jc w:val="left"/>
            </w:pPr>
            <w:r w:rsidRPr="005B5418">
              <w:t xml:space="preserve">Explanation </w:t>
            </w:r>
            <w:r w:rsidR="00C875E3" w:rsidRPr="005B5418">
              <w:t xml:space="preserve">and </w:t>
            </w:r>
            <w:r w:rsidRPr="005B5418">
              <w:t>Reference</w:t>
            </w:r>
          </w:p>
        </w:tc>
      </w:tr>
      <w:tr w:rsidR="00143A92" w:rsidRPr="005B5418" w14:paraId="54A4FC02" w14:textId="77777777" w:rsidTr="00E162E0">
        <w:trPr>
          <w:cantSplit/>
        </w:trPr>
        <w:tc>
          <w:tcPr>
            <w:tcW w:w="9576" w:type="dxa"/>
            <w:gridSpan w:val="3"/>
          </w:tcPr>
          <w:p w14:paraId="265CAC06" w14:textId="76169254" w:rsidR="00143A92" w:rsidRPr="005B5418" w:rsidRDefault="00143A92" w:rsidP="00404C62">
            <w:pPr>
              <w:pStyle w:val="Table-Note"/>
              <w:spacing w:line="240" w:lineRule="auto"/>
              <w:ind w:left="-23"/>
              <w:jc w:val="left"/>
              <w:rPr>
                <w:rFonts w:cs="Arial"/>
                <w:i w:val="0"/>
                <w:sz w:val="22"/>
                <w:szCs w:val="22"/>
              </w:rPr>
            </w:pPr>
            <w:r w:rsidRPr="005B5418">
              <w:rPr>
                <w:rFonts w:cs="Arial"/>
                <w:i w:val="0"/>
                <w:sz w:val="22"/>
                <w:szCs w:val="22"/>
              </w:rPr>
              <w:t>A Statement of Social Insurance (SOSI) is required for the following programs: Old-Age, Survivors, and Disability Insurance (OASDI</w:t>
            </w:r>
            <w:r w:rsidR="00FC37B6" w:rsidRPr="005B5418">
              <w:rPr>
                <w:rFonts w:cs="Arial"/>
                <w:i w:val="0"/>
                <w:sz w:val="22"/>
                <w:szCs w:val="22"/>
              </w:rPr>
              <w:t>,</w:t>
            </w:r>
            <w:r w:rsidRPr="005B5418">
              <w:rPr>
                <w:rFonts w:cs="Arial"/>
                <w:i w:val="0"/>
                <w:sz w:val="22"/>
                <w:szCs w:val="22"/>
              </w:rPr>
              <w:t xml:space="preserve"> or Social Security</w:t>
            </w:r>
            <w:r w:rsidR="00FC37B6" w:rsidRPr="005B5418">
              <w:rPr>
                <w:rFonts w:cs="Arial"/>
                <w:i w:val="0"/>
                <w:sz w:val="22"/>
                <w:szCs w:val="22"/>
              </w:rPr>
              <w:t xml:space="preserve">), </w:t>
            </w:r>
            <w:r w:rsidR="002E18B7" w:rsidRPr="005B5418">
              <w:rPr>
                <w:rFonts w:cs="Arial"/>
                <w:i w:val="0"/>
                <w:sz w:val="22"/>
                <w:szCs w:val="22"/>
              </w:rPr>
              <w:t>Medicare (</w:t>
            </w:r>
            <w:r w:rsidRPr="005B5418">
              <w:rPr>
                <w:rFonts w:cs="Arial"/>
                <w:i w:val="0"/>
                <w:sz w:val="22"/>
                <w:szCs w:val="22"/>
              </w:rPr>
              <w:t>Hospital Insurance</w:t>
            </w:r>
            <w:r w:rsidR="0004047C">
              <w:rPr>
                <w:rFonts w:cs="Arial"/>
                <w:i w:val="0"/>
                <w:sz w:val="22"/>
                <w:szCs w:val="22"/>
              </w:rPr>
              <w:t xml:space="preserve"> (HI)</w:t>
            </w:r>
            <w:r w:rsidR="002E18B7" w:rsidRPr="005B5418">
              <w:rPr>
                <w:rFonts w:cs="Arial"/>
                <w:i w:val="0"/>
                <w:sz w:val="22"/>
                <w:szCs w:val="22"/>
              </w:rPr>
              <w:t xml:space="preserve"> </w:t>
            </w:r>
            <w:r w:rsidRPr="005B5418">
              <w:rPr>
                <w:rFonts w:cs="Arial"/>
                <w:i w:val="0"/>
                <w:sz w:val="22"/>
                <w:szCs w:val="22"/>
              </w:rPr>
              <w:t>and Supplementary Medical Insurance</w:t>
            </w:r>
            <w:r w:rsidR="002E18B7" w:rsidRPr="005B5418">
              <w:rPr>
                <w:rFonts w:cs="Arial"/>
                <w:i w:val="0"/>
                <w:sz w:val="22"/>
                <w:szCs w:val="22"/>
              </w:rPr>
              <w:t>)</w:t>
            </w:r>
            <w:r w:rsidR="00FC37B6" w:rsidRPr="005B5418">
              <w:rPr>
                <w:rFonts w:cs="Arial"/>
                <w:i w:val="0"/>
                <w:sz w:val="22"/>
                <w:szCs w:val="22"/>
              </w:rPr>
              <w:t xml:space="preserve">, </w:t>
            </w:r>
            <w:r w:rsidRPr="005B5418">
              <w:rPr>
                <w:rFonts w:cs="Arial"/>
                <w:i w:val="0"/>
                <w:sz w:val="22"/>
                <w:szCs w:val="22"/>
              </w:rPr>
              <w:t xml:space="preserve">Railroad Retirement </w:t>
            </w:r>
            <w:r w:rsidR="000A6986" w:rsidRPr="005B5418">
              <w:rPr>
                <w:rFonts w:cs="Arial"/>
                <w:i w:val="0"/>
                <w:sz w:val="22"/>
                <w:szCs w:val="22"/>
              </w:rPr>
              <w:t>b</w:t>
            </w:r>
            <w:r w:rsidRPr="005B5418">
              <w:rPr>
                <w:rFonts w:cs="Arial"/>
                <w:i w:val="0"/>
                <w:sz w:val="22"/>
                <w:szCs w:val="22"/>
              </w:rPr>
              <w:t>enefits, and Black Lung benefits.</w:t>
            </w:r>
          </w:p>
          <w:p w14:paraId="4C402A56" w14:textId="20CD57DA" w:rsidR="00143A92" w:rsidRPr="005B5418" w:rsidRDefault="00143A92">
            <w:pPr>
              <w:pStyle w:val="Table-Note"/>
              <w:spacing w:line="240" w:lineRule="auto"/>
              <w:ind w:left="-23"/>
              <w:jc w:val="left"/>
              <w:rPr>
                <w:rFonts w:cs="Arial"/>
                <w:i w:val="0"/>
                <w:sz w:val="22"/>
                <w:szCs w:val="22"/>
              </w:rPr>
            </w:pPr>
            <w:r w:rsidRPr="005B5418">
              <w:rPr>
                <w:rFonts w:cs="Arial"/>
                <w:i w:val="0"/>
                <w:sz w:val="22"/>
                <w:szCs w:val="22"/>
              </w:rPr>
              <w:t>For the projection period, the SOSI presents the actuarial present value for current and future participants of all future contributions and tax income (excluding interest income) and scheduled expenditures</w:t>
            </w:r>
            <w:r w:rsidR="00FC37B6" w:rsidRPr="005B5418">
              <w:rPr>
                <w:rFonts w:cs="Arial"/>
                <w:i w:val="0"/>
                <w:sz w:val="22"/>
                <w:szCs w:val="22"/>
              </w:rPr>
              <w:t>,</w:t>
            </w:r>
            <w:r w:rsidRPr="005B5418">
              <w:rPr>
                <w:rFonts w:cs="Arial"/>
                <w:i w:val="0"/>
                <w:sz w:val="22"/>
                <w:szCs w:val="22"/>
              </w:rPr>
              <w:t xml:space="preserve"> and the difference between these two actuarial present values. (SFFAS 17, par</w:t>
            </w:r>
            <w:r w:rsidR="00FC37B6" w:rsidRPr="005B5418">
              <w:rPr>
                <w:rFonts w:cs="Arial"/>
                <w:i w:val="0"/>
                <w:sz w:val="22"/>
                <w:szCs w:val="22"/>
              </w:rPr>
              <w:t>as</w:t>
            </w:r>
            <w:r w:rsidRPr="005B5418">
              <w:rPr>
                <w:rFonts w:cs="Arial"/>
                <w:i w:val="0"/>
                <w:sz w:val="22"/>
                <w:szCs w:val="22"/>
              </w:rPr>
              <w:t xml:space="preserve">. 14 </w:t>
            </w:r>
            <w:r w:rsidR="00FC37B6" w:rsidRPr="005B5418">
              <w:rPr>
                <w:rFonts w:cs="Arial"/>
                <w:i w:val="0"/>
                <w:sz w:val="22"/>
                <w:szCs w:val="22"/>
              </w:rPr>
              <w:t xml:space="preserve">and </w:t>
            </w:r>
            <w:r w:rsidRPr="005B5418">
              <w:rPr>
                <w:rFonts w:cs="Arial"/>
                <w:i w:val="0"/>
                <w:sz w:val="22"/>
                <w:szCs w:val="22"/>
              </w:rPr>
              <w:t>27(3); SFFAS 26, par</w:t>
            </w:r>
            <w:r w:rsidR="00FC37B6" w:rsidRPr="005B5418">
              <w:rPr>
                <w:rFonts w:cs="Arial"/>
                <w:i w:val="0"/>
                <w:sz w:val="22"/>
                <w:szCs w:val="22"/>
              </w:rPr>
              <w:t>a</w:t>
            </w:r>
            <w:r w:rsidRPr="005B5418">
              <w:rPr>
                <w:rFonts w:cs="Arial"/>
                <w:i w:val="0"/>
                <w:sz w:val="22"/>
                <w:szCs w:val="22"/>
              </w:rPr>
              <w:t>. 5)</w:t>
            </w:r>
          </w:p>
        </w:tc>
      </w:tr>
      <w:tr w:rsidR="00213B3F" w:rsidRPr="005B5418" w14:paraId="730783B6" w14:textId="77777777" w:rsidTr="00B96E6D">
        <w:trPr>
          <w:trHeight w:val="1205"/>
        </w:trPr>
        <w:tc>
          <w:tcPr>
            <w:tcW w:w="5400" w:type="dxa"/>
          </w:tcPr>
          <w:p w14:paraId="5864BF9A" w14:textId="495F7C5C" w:rsidR="00213B3F" w:rsidRPr="005B5418" w:rsidRDefault="00213B3F" w:rsidP="00343610">
            <w:pPr>
              <w:pStyle w:val="FAM-Table-outline"/>
              <w:widowControl/>
              <w:numPr>
                <w:ilvl w:val="0"/>
                <w:numId w:val="11"/>
              </w:numPr>
              <w:adjustRightInd/>
              <w:spacing w:before="120" w:after="120" w:line="240" w:lineRule="auto"/>
              <w:textAlignment w:val="auto"/>
              <w:rPr>
                <w:szCs w:val="22"/>
              </w:rPr>
            </w:pPr>
            <w:r w:rsidRPr="005B5418">
              <w:rPr>
                <w:rFonts w:cs="Arial"/>
                <w:szCs w:val="22"/>
              </w:rPr>
              <w:t xml:space="preserve">Is this topic applicable to the entity’s financial statements? (Answer Y if applicable, N/A if not applicable, or N/S if not significant. If N/A or N/S, skip to the next </w:t>
            </w:r>
            <w:r w:rsidR="00131000" w:rsidRPr="005B5418">
              <w:rPr>
                <w:rFonts w:cs="Arial"/>
                <w:szCs w:val="22"/>
              </w:rPr>
              <w:t>topic</w:t>
            </w:r>
            <w:r w:rsidRPr="005B5418">
              <w:rPr>
                <w:rFonts w:cs="Arial"/>
                <w:szCs w:val="22"/>
              </w:rPr>
              <w:t>.</w:t>
            </w:r>
            <w:r w:rsidR="00D95B19" w:rsidRPr="005B5418">
              <w:rPr>
                <w:rFonts w:cs="Arial"/>
                <w:szCs w:val="22"/>
              </w:rPr>
              <w:t>)</w:t>
            </w:r>
          </w:p>
        </w:tc>
        <w:tc>
          <w:tcPr>
            <w:tcW w:w="965" w:type="dxa"/>
          </w:tcPr>
          <w:p w14:paraId="2C175FD9" w14:textId="77777777" w:rsidR="00213B3F" w:rsidRPr="005B5418" w:rsidRDefault="00213B3F" w:rsidP="003B61E9">
            <w:pPr>
              <w:pStyle w:val="Table-Cell-CenterBoldBefore6ptAfter6pt"/>
              <w:rPr>
                <w:rFonts w:cs="Arial"/>
              </w:rPr>
            </w:pPr>
          </w:p>
        </w:tc>
        <w:tc>
          <w:tcPr>
            <w:tcW w:w="3211" w:type="dxa"/>
          </w:tcPr>
          <w:p w14:paraId="17C4C6B3" w14:textId="77777777" w:rsidR="00213B3F" w:rsidRPr="005B5418" w:rsidRDefault="00213B3F" w:rsidP="003B61E9">
            <w:pPr>
              <w:spacing w:line="240" w:lineRule="auto"/>
              <w:rPr>
                <w:rFonts w:cs="Arial"/>
              </w:rPr>
            </w:pPr>
          </w:p>
        </w:tc>
      </w:tr>
      <w:tr w:rsidR="00143A92" w:rsidRPr="005B5418" w14:paraId="77A24C32" w14:textId="77777777" w:rsidTr="00E162E0">
        <w:trPr>
          <w:trHeight w:val="2160"/>
        </w:trPr>
        <w:tc>
          <w:tcPr>
            <w:tcW w:w="5400" w:type="dxa"/>
          </w:tcPr>
          <w:p w14:paraId="0254D049" w14:textId="5D1147F7" w:rsidR="00143A92" w:rsidRPr="005B5418" w:rsidRDefault="00143A92" w:rsidP="00343610">
            <w:pPr>
              <w:pStyle w:val="FAM-Table-outline"/>
              <w:widowControl/>
              <w:numPr>
                <w:ilvl w:val="0"/>
                <w:numId w:val="11"/>
              </w:numPr>
              <w:adjustRightInd/>
              <w:spacing w:before="120" w:after="120" w:line="240" w:lineRule="auto"/>
              <w:textAlignment w:val="auto"/>
              <w:rPr>
                <w:rFonts w:cs="Arial"/>
                <w:szCs w:val="22"/>
              </w:rPr>
            </w:pPr>
            <w:r w:rsidRPr="005B5418">
              <w:rPr>
                <w:rFonts w:cs="Arial"/>
                <w:szCs w:val="22"/>
              </w:rPr>
              <w:t>For all social insurance programs except Unemployment Insurance (UI),</w:t>
            </w:r>
            <w:r w:rsidRPr="005B5418">
              <w:rPr>
                <w:rStyle w:val="FootnoteReference"/>
                <w:rFonts w:cs="Arial"/>
                <w:szCs w:val="22"/>
              </w:rPr>
              <w:footnoteReference w:id="70"/>
            </w:r>
            <w:r w:rsidRPr="005B5418">
              <w:rPr>
                <w:rFonts w:cs="Arial"/>
                <w:szCs w:val="22"/>
              </w:rPr>
              <w:t xml:space="preserve"> does the responsible entity’s SOSI present</w:t>
            </w:r>
            <w:r w:rsidR="00240B10" w:rsidRPr="005B5418">
              <w:rPr>
                <w:rFonts w:cs="Arial"/>
                <w:szCs w:val="22"/>
              </w:rPr>
              <w:t xml:space="preserve"> the following?</w:t>
            </w:r>
          </w:p>
          <w:p w14:paraId="0AC73B0B" w14:textId="74BD540D" w:rsidR="00143A92" w:rsidRPr="005B5418" w:rsidRDefault="00240B10" w:rsidP="005425ED">
            <w:pPr>
              <w:pStyle w:val="FAM-Table-outline2"/>
              <w:numPr>
                <w:ilvl w:val="1"/>
                <w:numId w:val="1"/>
              </w:numPr>
              <w:spacing w:line="240" w:lineRule="auto"/>
              <w:ind w:left="1147" w:hanging="450"/>
              <w:rPr>
                <w:rFonts w:eastAsia="Arial Unicode MS"/>
              </w:rPr>
            </w:pPr>
            <w:r w:rsidRPr="005B5418">
              <w:rPr>
                <w:rFonts w:eastAsia="Arial Unicode MS"/>
              </w:rPr>
              <w:t>T</w:t>
            </w:r>
            <w:r w:rsidR="00143A92" w:rsidRPr="005B5418">
              <w:rPr>
                <w:rFonts w:eastAsia="Arial Unicode MS"/>
              </w:rPr>
              <w:t>he actuarial present value of all future expenditures during the projection period related to benefit payments</w:t>
            </w:r>
          </w:p>
          <w:p w14:paraId="1830C328" w14:textId="77777777" w:rsidR="00143A92" w:rsidRPr="005B5418" w:rsidRDefault="00143A92"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to or on behalf of current participants who have not yet attained retirement/eligibility age;</w:t>
            </w:r>
          </w:p>
          <w:p w14:paraId="21BB9BCF" w14:textId="77777777" w:rsidR="00143A92" w:rsidRPr="005B5418" w:rsidRDefault="00143A92"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to or on behalf of current participants who have attained retirement/eligibility age; and</w:t>
            </w:r>
          </w:p>
          <w:p w14:paraId="355506F7" w14:textId="43B47B89" w:rsidR="00143A92" w:rsidRPr="005B5418" w:rsidRDefault="00143A92"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 xml:space="preserve">to or on behalf of those who are expected to become plan participants during a projection period encompassing substantially all the present value attributed to i. and ii., immediately above. </w:t>
            </w:r>
            <w:r w:rsidRPr="005B5418">
              <w:rPr>
                <w:rFonts w:cs="Arial"/>
                <w:sz w:val="22"/>
                <w:szCs w:val="22"/>
              </w:rPr>
              <w:br/>
              <w:t>(SFFAS 17, par</w:t>
            </w:r>
            <w:r w:rsidR="00FC37B6" w:rsidRPr="005B5418">
              <w:rPr>
                <w:rFonts w:cs="Arial"/>
                <w:sz w:val="22"/>
                <w:szCs w:val="22"/>
              </w:rPr>
              <w:t>a</w:t>
            </w:r>
            <w:r w:rsidRPr="005B5418">
              <w:rPr>
                <w:rFonts w:cs="Arial"/>
                <w:sz w:val="22"/>
                <w:szCs w:val="22"/>
              </w:rPr>
              <w:t>. 27 (3) (a)</w:t>
            </w:r>
            <w:r w:rsidR="00690F34" w:rsidRPr="005B5418">
              <w:rPr>
                <w:rFonts w:cs="Arial"/>
                <w:sz w:val="22"/>
                <w:szCs w:val="22"/>
              </w:rPr>
              <w:t>–</w:t>
            </w:r>
            <w:r w:rsidRPr="005B5418">
              <w:rPr>
                <w:rFonts w:cs="Arial"/>
                <w:sz w:val="22"/>
                <w:szCs w:val="22"/>
              </w:rPr>
              <w:t>(c))</w:t>
            </w:r>
          </w:p>
          <w:p w14:paraId="19F8FAC0" w14:textId="65292E68" w:rsidR="00143A92" w:rsidRPr="005B5418" w:rsidRDefault="00240B10" w:rsidP="005425ED">
            <w:pPr>
              <w:pStyle w:val="FAM-Table-outline2"/>
              <w:numPr>
                <w:ilvl w:val="1"/>
                <w:numId w:val="1"/>
              </w:numPr>
              <w:spacing w:line="240" w:lineRule="auto"/>
              <w:ind w:left="1147" w:hanging="450"/>
              <w:rPr>
                <w:rFonts w:eastAsia="Arial Unicode MS"/>
              </w:rPr>
            </w:pPr>
            <w:r w:rsidRPr="005B5418">
              <w:rPr>
                <w:rFonts w:eastAsia="Arial Unicode MS"/>
              </w:rPr>
              <w:t>T</w:t>
            </w:r>
            <w:r w:rsidR="00143A92" w:rsidRPr="005B5418">
              <w:rPr>
                <w:rFonts w:eastAsia="Arial Unicode MS"/>
              </w:rPr>
              <w:t>he actuarial present value of all future contributions and tax income (from taxation of benefits) during the projection period</w:t>
            </w:r>
          </w:p>
          <w:p w14:paraId="7FB85EBE" w14:textId="77777777" w:rsidR="00143A92" w:rsidRPr="005B5418" w:rsidRDefault="00143A92"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lastRenderedPageBreak/>
              <w:t>from or on behalf of current participants who have not yet attained retirement/eligibility age;</w:t>
            </w:r>
          </w:p>
          <w:p w14:paraId="5F17900D" w14:textId="77777777" w:rsidR="00143A92" w:rsidRPr="005B5418" w:rsidRDefault="00143A92"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from or on behalf of current participants who have attained retirement/eligibility age; and</w:t>
            </w:r>
          </w:p>
          <w:p w14:paraId="25FE300C" w14:textId="0A2E7A21" w:rsidR="00143A92" w:rsidRPr="005B5418" w:rsidRDefault="00143A92"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from or on behalf of those who are expected to become plan participants during a projection period encompassing substantially all the present value attributed to i. and ii., immediately above.</w:t>
            </w:r>
            <w:r w:rsidRPr="005B5418">
              <w:rPr>
                <w:rFonts w:cs="Arial"/>
                <w:sz w:val="22"/>
                <w:szCs w:val="22"/>
              </w:rPr>
              <w:br/>
              <w:t>(SFFAS 17, par</w:t>
            </w:r>
            <w:r w:rsidR="00240B10" w:rsidRPr="005B5418">
              <w:rPr>
                <w:rFonts w:cs="Arial"/>
                <w:sz w:val="22"/>
                <w:szCs w:val="22"/>
              </w:rPr>
              <w:t>a</w:t>
            </w:r>
            <w:r w:rsidRPr="005B5418">
              <w:rPr>
                <w:rFonts w:cs="Arial"/>
                <w:sz w:val="22"/>
                <w:szCs w:val="22"/>
              </w:rPr>
              <w:t>. 27 (3) (d)–(f))</w:t>
            </w:r>
          </w:p>
          <w:p w14:paraId="2385F05D" w14:textId="443321B6" w:rsidR="00143A92" w:rsidRPr="005B5418" w:rsidRDefault="00240B10" w:rsidP="005425ED">
            <w:pPr>
              <w:pStyle w:val="FAM-Table-outline2"/>
              <w:numPr>
                <w:ilvl w:val="1"/>
                <w:numId w:val="1"/>
              </w:numPr>
              <w:spacing w:line="240" w:lineRule="auto"/>
              <w:ind w:left="1147" w:hanging="450"/>
              <w:rPr>
                <w:szCs w:val="22"/>
              </w:rPr>
            </w:pPr>
            <w:r w:rsidRPr="005B5418">
              <w:rPr>
                <w:rFonts w:eastAsia="Arial Unicode MS"/>
              </w:rPr>
              <w:t>T</w:t>
            </w:r>
            <w:r w:rsidR="00143A92" w:rsidRPr="005B5418">
              <w:rPr>
                <w:rFonts w:eastAsia="Arial Unicode MS"/>
              </w:rPr>
              <w:t>he net present value of cash flow during the projection period</w:t>
            </w:r>
            <w:r w:rsidRPr="005B5418">
              <w:rPr>
                <w:rFonts w:eastAsia="Arial Unicode MS"/>
              </w:rPr>
              <w:t>.</w:t>
            </w:r>
            <w:r w:rsidR="000A6986" w:rsidRPr="005B5418">
              <w:rPr>
                <w:rFonts w:eastAsia="Arial Unicode MS"/>
              </w:rPr>
              <w:t xml:space="preserve"> </w:t>
            </w:r>
            <w:r w:rsidR="00143A92" w:rsidRPr="005B5418">
              <w:rPr>
                <w:rFonts w:eastAsia="Arial Unicode MS"/>
              </w:rPr>
              <w:t>(SFFAS 17, par</w:t>
            </w:r>
            <w:r w:rsidRPr="005B5418">
              <w:rPr>
                <w:rFonts w:eastAsia="Arial Unicode MS"/>
              </w:rPr>
              <w:t>a</w:t>
            </w:r>
            <w:r w:rsidR="00143A92" w:rsidRPr="005B5418">
              <w:rPr>
                <w:rFonts w:eastAsia="Arial Unicode MS"/>
              </w:rPr>
              <w:t>. 27 (3) (g))</w:t>
            </w:r>
          </w:p>
        </w:tc>
        <w:tc>
          <w:tcPr>
            <w:tcW w:w="965" w:type="dxa"/>
          </w:tcPr>
          <w:p w14:paraId="6462D582" w14:textId="77777777" w:rsidR="00143A92" w:rsidRPr="005B5418" w:rsidRDefault="00143A92" w:rsidP="003B61E9">
            <w:pPr>
              <w:pStyle w:val="Table-Cell-CenterBoldBefore6ptAfter6pt"/>
              <w:rPr>
                <w:rFonts w:cs="Arial"/>
              </w:rPr>
            </w:pPr>
          </w:p>
        </w:tc>
        <w:tc>
          <w:tcPr>
            <w:tcW w:w="3211" w:type="dxa"/>
          </w:tcPr>
          <w:p w14:paraId="3EA5BF22" w14:textId="77777777" w:rsidR="00143A92" w:rsidRPr="005B5418" w:rsidRDefault="00143A92" w:rsidP="003B61E9">
            <w:pPr>
              <w:spacing w:line="240" w:lineRule="auto"/>
              <w:rPr>
                <w:rFonts w:cs="Arial"/>
              </w:rPr>
            </w:pPr>
          </w:p>
        </w:tc>
      </w:tr>
      <w:tr w:rsidR="00143A92" w:rsidRPr="005B5418" w14:paraId="33EA725B" w14:textId="77777777" w:rsidTr="00E162E0">
        <w:trPr>
          <w:cantSplit/>
          <w:trHeight w:val="1277"/>
        </w:trPr>
        <w:tc>
          <w:tcPr>
            <w:tcW w:w="5400" w:type="dxa"/>
          </w:tcPr>
          <w:p w14:paraId="285219FE" w14:textId="1917FE52" w:rsidR="00143A92" w:rsidRPr="005B5418" w:rsidRDefault="00143A92" w:rsidP="00343610">
            <w:pPr>
              <w:pStyle w:val="FAM-Table-outline"/>
              <w:widowControl/>
              <w:numPr>
                <w:ilvl w:val="0"/>
                <w:numId w:val="11"/>
              </w:numPr>
              <w:adjustRightInd/>
              <w:spacing w:before="120" w:after="120" w:line="240" w:lineRule="auto"/>
              <w:textAlignment w:val="auto"/>
              <w:rPr>
                <w:rFonts w:cs="Arial"/>
                <w:szCs w:val="22"/>
              </w:rPr>
            </w:pPr>
            <w:r w:rsidRPr="005B5418">
              <w:rPr>
                <w:rFonts w:cs="Arial"/>
                <w:szCs w:val="22"/>
              </w:rPr>
              <w:t xml:space="preserve">Is the information detailed in the preceding question for the current year and for each of the preceding </w:t>
            </w:r>
            <w:r w:rsidR="00A403D4" w:rsidRPr="005B5418">
              <w:rPr>
                <w:rFonts w:cs="Arial"/>
                <w:szCs w:val="22"/>
              </w:rPr>
              <w:t>4</w:t>
            </w:r>
            <w:r w:rsidRPr="005B5418">
              <w:rPr>
                <w:rFonts w:cs="Arial"/>
                <w:szCs w:val="22"/>
              </w:rPr>
              <w:t xml:space="preserve"> years? (SFFAS 17, par</w:t>
            </w:r>
            <w:r w:rsidR="00827531" w:rsidRPr="005B5418">
              <w:rPr>
                <w:rFonts w:cs="Arial"/>
                <w:szCs w:val="22"/>
              </w:rPr>
              <w:t>a</w:t>
            </w:r>
            <w:r w:rsidRPr="005B5418">
              <w:rPr>
                <w:rFonts w:cs="Arial"/>
                <w:szCs w:val="22"/>
              </w:rPr>
              <w:t xml:space="preserve">. 27 (3) (j)) </w:t>
            </w:r>
          </w:p>
        </w:tc>
        <w:tc>
          <w:tcPr>
            <w:tcW w:w="965" w:type="dxa"/>
          </w:tcPr>
          <w:p w14:paraId="70BBFA9D" w14:textId="77777777" w:rsidR="00143A92" w:rsidRPr="005B5418" w:rsidRDefault="00143A92" w:rsidP="003B61E9">
            <w:pPr>
              <w:pStyle w:val="Table-Cell-CenterBoldBefore6ptAfter6pt"/>
              <w:rPr>
                <w:rFonts w:cs="Arial"/>
              </w:rPr>
            </w:pPr>
          </w:p>
        </w:tc>
        <w:tc>
          <w:tcPr>
            <w:tcW w:w="3211" w:type="dxa"/>
          </w:tcPr>
          <w:p w14:paraId="768A54F7" w14:textId="77777777" w:rsidR="00143A92" w:rsidRPr="005B5418" w:rsidRDefault="00143A92" w:rsidP="003B61E9">
            <w:pPr>
              <w:spacing w:line="240" w:lineRule="auto"/>
              <w:rPr>
                <w:rFonts w:cs="Arial"/>
              </w:rPr>
            </w:pPr>
          </w:p>
        </w:tc>
      </w:tr>
      <w:tr w:rsidR="00143A92" w:rsidRPr="005B5418" w14:paraId="4B3877C0" w14:textId="77777777" w:rsidTr="00E162E0">
        <w:trPr>
          <w:cantSplit/>
          <w:trHeight w:val="1250"/>
        </w:trPr>
        <w:tc>
          <w:tcPr>
            <w:tcW w:w="5400" w:type="dxa"/>
          </w:tcPr>
          <w:p w14:paraId="4431D2D1" w14:textId="091AF726" w:rsidR="00143A92" w:rsidRPr="005B5418" w:rsidRDefault="00143A92" w:rsidP="00343610">
            <w:pPr>
              <w:pStyle w:val="FAM-Table-outline"/>
              <w:widowControl/>
              <w:numPr>
                <w:ilvl w:val="0"/>
                <w:numId w:val="11"/>
              </w:numPr>
              <w:adjustRightInd/>
              <w:spacing w:before="120" w:after="120" w:line="240" w:lineRule="auto"/>
              <w:textAlignment w:val="auto"/>
              <w:rPr>
                <w:rFonts w:cs="Arial"/>
                <w:szCs w:val="22"/>
              </w:rPr>
            </w:pPr>
            <w:r w:rsidRPr="005B5418">
              <w:rPr>
                <w:rFonts w:cs="Arial"/>
                <w:szCs w:val="22"/>
              </w:rPr>
              <w:t>Is there a section within the SOSI that summarizes the closed and open group measures? (SFFAS 37, par</w:t>
            </w:r>
            <w:r w:rsidR="00827531" w:rsidRPr="005B5418">
              <w:rPr>
                <w:rFonts w:cs="Arial"/>
                <w:szCs w:val="22"/>
              </w:rPr>
              <w:t>a</w:t>
            </w:r>
            <w:r w:rsidRPr="005B5418">
              <w:rPr>
                <w:rFonts w:cs="Arial"/>
                <w:szCs w:val="22"/>
              </w:rPr>
              <w:t>. 28</w:t>
            </w:r>
            <w:r w:rsidR="00827531" w:rsidRPr="005B5418">
              <w:rPr>
                <w:rFonts w:cs="Arial"/>
                <w:szCs w:val="22"/>
              </w:rPr>
              <w:t>;</w:t>
            </w:r>
            <w:r w:rsidR="00290BF6" w:rsidRPr="005B5418">
              <w:rPr>
                <w:rFonts w:cs="Arial"/>
                <w:szCs w:val="22"/>
              </w:rPr>
              <w:t xml:space="preserve"> see illustration in </w:t>
            </w:r>
            <w:r w:rsidR="00827531" w:rsidRPr="005B5418">
              <w:rPr>
                <w:rFonts w:cs="Arial"/>
                <w:szCs w:val="22"/>
              </w:rPr>
              <w:t>app.</w:t>
            </w:r>
            <w:r w:rsidRPr="005B5418">
              <w:rPr>
                <w:rFonts w:cs="Arial"/>
                <w:szCs w:val="22"/>
              </w:rPr>
              <w:t xml:space="preserve"> C</w:t>
            </w:r>
            <w:r w:rsidR="00C940F8" w:rsidRPr="005B5418">
              <w:rPr>
                <w:rFonts w:cs="Arial"/>
                <w:szCs w:val="22"/>
              </w:rPr>
              <w:t>)</w:t>
            </w:r>
          </w:p>
        </w:tc>
        <w:tc>
          <w:tcPr>
            <w:tcW w:w="965" w:type="dxa"/>
          </w:tcPr>
          <w:p w14:paraId="467179E3" w14:textId="77777777" w:rsidR="00143A92" w:rsidRPr="005B5418" w:rsidRDefault="00143A92" w:rsidP="003B61E9">
            <w:pPr>
              <w:pStyle w:val="Table-Cell-CenterBoldBefore6ptAfter6pt"/>
              <w:rPr>
                <w:rFonts w:cs="Arial"/>
              </w:rPr>
            </w:pPr>
          </w:p>
        </w:tc>
        <w:tc>
          <w:tcPr>
            <w:tcW w:w="3211" w:type="dxa"/>
          </w:tcPr>
          <w:p w14:paraId="0A5DCAC4" w14:textId="77777777" w:rsidR="00143A92" w:rsidRPr="005B5418" w:rsidRDefault="00143A92" w:rsidP="003B61E9">
            <w:pPr>
              <w:spacing w:line="240" w:lineRule="auto"/>
              <w:rPr>
                <w:rFonts w:cs="Arial"/>
              </w:rPr>
            </w:pPr>
          </w:p>
        </w:tc>
      </w:tr>
      <w:tr w:rsidR="00143A92" w:rsidRPr="005B5418" w14:paraId="0CE010E3" w14:textId="77777777" w:rsidTr="00E67413">
        <w:trPr>
          <w:cantSplit/>
          <w:trHeight w:val="1187"/>
        </w:trPr>
        <w:tc>
          <w:tcPr>
            <w:tcW w:w="5400" w:type="dxa"/>
          </w:tcPr>
          <w:p w14:paraId="5056E394" w14:textId="16FC60F4" w:rsidR="00143A92" w:rsidRPr="005B5418" w:rsidRDefault="00143A92" w:rsidP="00343610">
            <w:pPr>
              <w:pStyle w:val="FAM-Table-outline"/>
              <w:widowControl/>
              <w:numPr>
                <w:ilvl w:val="0"/>
                <w:numId w:val="11"/>
              </w:numPr>
              <w:adjustRightInd/>
              <w:spacing w:before="120" w:after="120" w:line="240" w:lineRule="auto"/>
              <w:textAlignment w:val="auto"/>
              <w:rPr>
                <w:rFonts w:cs="Arial"/>
                <w:szCs w:val="22"/>
              </w:rPr>
            </w:pPr>
            <w:r w:rsidRPr="005B5418">
              <w:rPr>
                <w:rFonts w:cs="Arial"/>
                <w:szCs w:val="22"/>
              </w:rPr>
              <w:t>Does the summary section of the SOSI include assets held by the programs, if any</w:t>
            </w:r>
            <w:r w:rsidR="00A403D4" w:rsidRPr="005B5418">
              <w:rPr>
                <w:rFonts w:cs="Arial"/>
                <w:szCs w:val="22"/>
              </w:rPr>
              <w:t>,</w:t>
            </w:r>
            <w:r w:rsidRPr="005B5418">
              <w:rPr>
                <w:rFonts w:cs="Arial"/>
                <w:szCs w:val="22"/>
              </w:rPr>
              <w:t xml:space="preserve"> and totals for the open group unfunded obligation? (SFFAS 37, par</w:t>
            </w:r>
            <w:r w:rsidR="00A403D4" w:rsidRPr="005B5418">
              <w:rPr>
                <w:rFonts w:cs="Arial"/>
                <w:szCs w:val="22"/>
              </w:rPr>
              <w:t>a</w:t>
            </w:r>
            <w:r w:rsidRPr="005B5418">
              <w:rPr>
                <w:rFonts w:cs="Arial"/>
                <w:szCs w:val="22"/>
              </w:rPr>
              <w:t>. 29</w:t>
            </w:r>
            <w:r w:rsidR="00A403D4" w:rsidRPr="005B5418">
              <w:rPr>
                <w:rFonts w:cs="Arial"/>
                <w:szCs w:val="22"/>
              </w:rPr>
              <w:t>;</w:t>
            </w:r>
            <w:r w:rsidRPr="005B5418">
              <w:rPr>
                <w:rFonts w:cs="Arial"/>
                <w:szCs w:val="22"/>
              </w:rPr>
              <w:t xml:space="preserve"> </w:t>
            </w:r>
            <w:r w:rsidR="00290BF6" w:rsidRPr="005B5418">
              <w:rPr>
                <w:rFonts w:cs="Arial"/>
                <w:szCs w:val="22"/>
              </w:rPr>
              <w:t xml:space="preserve">see illustration in </w:t>
            </w:r>
            <w:r w:rsidR="00A403D4" w:rsidRPr="005B5418">
              <w:rPr>
                <w:rFonts w:cs="Arial"/>
                <w:szCs w:val="22"/>
              </w:rPr>
              <w:t>app.</w:t>
            </w:r>
            <w:r w:rsidRPr="005B5418">
              <w:rPr>
                <w:rFonts w:cs="Arial"/>
                <w:szCs w:val="22"/>
              </w:rPr>
              <w:t xml:space="preserve"> C</w:t>
            </w:r>
            <w:r w:rsidR="00C940F8" w:rsidRPr="005B5418">
              <w:rPr>
                <w:rFonts w:cs="Arial"/>
                <w:szCs w:val="22"/>
              </w:rPr>
              <w:t>)</w:t>
            </w:r>
          </w:p>
        </w:tc>
        <w:tc>
          <w:tcPr>
            <w:tcW w:w="965" w:type="dxa"/>
          </w:tcPr>
          <w:p w14:paraId="30659502" w14:textId="77777777" w:rsidR="00143A92" w:rsidRPr="005B5418" w:rsidRDefault="00143A92" w:rsidP="003B61E9">
            <w:pPr>
              <w:pStyle w:val="Table-Cell-CenterBoldBefore6ptAfter6pt"/>
              <w:rPr>
                <w:rFonts w:cs="Arial"/>
              </w:rPr>
            </w:pPr>
          </w:p>
        </w:tc>
        <w:tc>
          <w:tcPr>
            <w:tcW w:w="3211" w:type="dxa"/>
          </w:tcPr>
          <w:p w14:paraId="44124B50" w14:textId="77777777" w:rsidR="00143A92" w:rsidRPr="005B5418" w:rsidRDefault="00143A92" w:rsidP="003B61E9">
            <w:pPr>
              <w:spacing w:line="240" w:lineRule="auto"/>
              <w:rPr>
                <w:rFonts w:cs="Arial"/>
              </w:rPr>
            </w:pPr>
          </w:p>
        </w:tc>
      </w:tr>
      <w:tr w:rsidR="00143A92" w:rsidRPr="005B5418" w14:paraId="3E159175" w14:textId="77777777" w:rsidTr="008D3BC6">
        <w:trPr>
          <w:trHeight w:val="2160"/>
        </w:trPr>
        <w:tc>
          <w:tcPr>
            <w:tcW w:w="9576" w:type="dxa"/>
            <w:gridSpan w:val="3"/>
          </w:tcPr>
          <w:p w14:paraId="0AF47942" w14:textId="4E68F160" w:rsidR="00143A92" w:rsidRPr="005B5418" w:rsidRDefault="00143A92" w:rsidP="008848DA">
            <w:pPr>
              <w:pStyle w:val="Table-Note"/>
              <w:spacing w:before="60" w:after="60" w:line="240" w:lineRule="auto"/>
              <w:ind w:left="0"/>
              <w:jc w:val="left"/>
              <w:rPr>
                <w:rFonts w:cs="Arial"/>
                <w:i w:val="0"/>
                <w:sz w:val="22"/>
                <w:szCs w:val="22"/>
              </w:rPr>
            </w:pPr>
            <w:r w:rsidRPr="005B5418">
              <w:rPr>
                <w:rFonts w:cs="Arial"/>
                <w:i w:val="0"/>
                <w:sz w:val="22"/>
                <w:szCs w:val="22"/>
              </w:rPr>
              <w:lastRenderedPageBreak/>
              <w:t xml:space="preserve">Entities that prepare a SOSI should also present a Statement of Changes </w:t>
            </w:r>
            <w:r w:rsidR="004E086F" w:rsidRPr="005B5418">
              <w:rPr>
                <w:rFonts w:cs="Arial"/>
                <w:i w:val="0"/>
                <w:sz w:val="22"/>
                <w:szCs w:val="22"/>
              </w:rPr>
              <w:t>in</w:t>
            </w:r>
            <w:r w:rsidRPr="005B5418">
              <w:rPr>
                <w:rFonts w:cs="Arial"/>
                <w:i w:val="0"/>
                <w:sz w:val="22"/>
                <w:szCs w:val="22"/>
              </w:rPr>
              <w:t xml:space="preserve"> Social Insurance Amounts (SCSIA) that reconcile</w:t>
            </w:r>
            <w:r w:rsidR="000B3FC5" w:rsidRPr="005B5418">
              <w:rPr>
                <w:rFonts w:cs="Arial"/>
                <w:i w:val="0"/>
                <w:sz w:val="22"/>
                <w:szCs w:val="22"/>
              </w:rPr>
              <w:t>s</w:t>
            </w:r>
            <w:r w:rsidRPr="005B5418">
              <w:rPr>
                <w:rFonts w:cs="Arial"/>
                <w:i w:val="0"/>
                <w:sz w:val="22"/>
                <w:szCs w:val="22"/>
              </w:rPr>
              <w:t xml:space="preserve"> beginning and ending open group measures and present</w:t>
            </w:r>
            <w:r w:rsidR="000B3FC5" w:rsidRPr="005B5418">
              <w:rPr>
                <w:rFonts w:cs="Arial"/>
                <w:i w:val="0"/>
                <w:sz w:val="22"/>
                <w:szCs w:val="22"/>
              </w:rPr>
              <w:t>s</w:t>
            </w:r>
            <w:r w:rsidRPr="005B5418">
              <w:rPr>
                <w:rFonts w:cs="Arial"/>
                <w:i w:val="0"/>
                <w:sz w:val="22"/>
                <w:szCs w:val="22"/>
              </w:rPr>
              <w:t xml:space="preserve"> the components of the changes in the open group measure for </w:t>
            </w:r>
            <w:r w:rsidR="000B3FC5" w:rsidRPr="005B5418">
              <w:rPr>
                <w:rFonts w:cs="Arial"/>
                <w:i w:val="0"/>
                <w:sz w:val="22"/>
                <w:szCs w:val="22"/>
              </w:rPr>
              <w:t xml:space="preserve">2 </w:t>
            </w:r>
            <w:r w:rsidRPr="005B5418">
              <w:rPr>
                <w:rFonts w:cs="Arial"/>
                <w:i w:val="0"/>
                <w:sz w:val="22"/>
                <w:szCs w:val="22"/>
              </w:rPr>
              <w:t xml:space="preserve">years. (A-136, section II.3.7.1) </w:t>
            </w:r>
          </w:p>
          <w:p w14:paraId="5FDC9392" w14:textId="77777777" w:rsidR="00143A92" w:rsidRPr="005B5418" w:rsidRDefault="004E086F" w:rsidP="008848DA">
            <w:pPr>
              <w:pStyle w:val="Table-Note"/>
              <w:spacing w:before="60" w:after="60" w:line="240" w:lineRule="auto"/>
              <w:ind w:left="0"/>
              <w:jc w:val="left"/>
              <w:rPr>
                <w:rFonts w:cs="Arial"/>
                <w:i w:val="0"/>
                <w:sz w:val="22"/>
                <w:szCs w:val="22"/>
              </w:rPr>
            </w:pPr>
            <w:r w:rsidRPr="005B5418">
              <w:rPr>
                <w:rFonts w:cs="Arial"/>
                <w:i w:val="0"/>
                <w:sz w:val="22"/>
                <w:szCs w:val="22"/>
              </w:rPr>
              <w:t>The o</w:t>
            </w:r>
            <w:r w:rsidR="00143A92" w:rsidRPr="005B5418">
              <w:rPr>
                <w:rFonts w:cs="Arial"/>
                <w:i w:val="0"/>
                <w:sz w:val="22"/>
                <w:szCs w:val="22"/>
              </w:rPr>
              <w:t xml:space="preserve">pen group population </w:t>
            </w:r>
            <w:r w:rsidRPr="005B5418">
              <w:rPr>
                <w:rFonts w:cs="Arial"/>
                <w:i w:val="0"/>
                <w:sz w:val="22"/>
                <w:szCs w:val="22"/>
              </w:rPr>
              <w:t>is</w:t>
            </w:r>
            <w:r w:rsidR="00143A92" w:rsidRPr="005B5418">
              <w:rPr>
                <w:rFonts w:cs="Arial"/>
                <w:i w:val="0"/>
                <w:sz w:val="22"/>
                <w:szCs w:val="22"/>
              </w:rPr>
              <w:t xml:space="preserve"> those persons who, as of a valuation date, are or will be during the projection period participants in a social insurance program as beneficiaries, covered workers, or payers of earmarked taxes or premiums.</w:t>
            </w:r>
            <w:r w:rsidR="00F5123E" w:rsidRPr="005B5418">
              <w:rPr>
                <w:rFonts w:cs="Arial"/>
                <w:i w:val="0"/>
                <w:sz w:val="22"/>
                <w:szCs w:val="22"/>
              </w:rPr>
              <w:t xml:space="preserve"> </w:t>
            </w:r>
          </w:p>
          <w:p w14:paraId="2C162387" w14:textId="72F33148" w:rsidR="00143A92" w:rsidRPr="005B5418" w:rsidRDefault="004E086F" w:rsidP="008848DA">
            <w:pPr>
              <w:pStyle w:val="Table-Note"/>
              <w:spacing w:before="60" w:after="60" w:line="240" w:lineRule="auto"/>
              <w:ind w:left="0"/>
              <w:jc w:val="left"/>
              <w:rPr>
                <w:rFonts w:cs="Arial"/>
                <w:i w:val="0"/>
                <w:sz w:val="22"/>
                <w:szCs w:val="22"/>
              </w:rPr>
            </w:pPr>
            <w:r w:rsidRPr="005B5418">
              <w:rPr>
                <w:rFonts w:cs="Arial"/>
                <w:i w:val="0"/>
                <w:sz w:val="22"/>
                <w:szCs w:val="22"/>
              </w:rPr>
              <w:t>The o</w:t>
            </w:r>
            <w:r w:rsidR="00143A92" w:rsidRPr="005B5418">
              <w:rPr>
                <w:rFonts w:cs="Arial"/>
                <w:i w:val="0"/>
                <w:sz w:val="22"/>
                <w:szCs w:val="22"/>
              </w:rPr>
              <w:t xml:space="preserve">pen group measure is the net present value of all expenditures to or on behalf of the open group population and all contributions or other income from or on behalf of the open group population over a given projection period, </w:t>
            </w:r>
            <w:r w:rsidR="000B3FC5" w:rsidRPr="005B5418">
              <w:rPr>
                <w:rFonts w:cs="Arial"/>
                <w:i w:val="0"/>
                <w:sz w:val="22"/>
                <w:szCs w:val="22"/>
              </w:rPr>
              <w:t>for example,</w:t>
            </w:r>
            <w:r w:rsidR="00143A92" w:rsidRPr="005B5418">
              <w:rPr>
                <w:rFonts w:cs="Arial"/>
                <w:i w:val="0"/>
                <w:sz w:val="22"/>
                <w:szCs w:val="22"/>
              </w:rPr>
              <w:t xml:space="preserve"> 75 years.</w:t>
            </w:r>
          </w:p>
          <w:p w14:paraId="685DC390" w14:textId="77777777" w:rsidR="004E086F" w:rsidRPr="005B5418" w:rsidRDefault="004E086F" w:rsidP="008848DA">
            <w:pPr>
              <w:pStyle w:val="Table-Note"/>
              <w:spacing w:before="60" w:after="60" w:line="240" w:lineRule="auto"/>
              <w:ind w:left="0"/>
              <w:jc w:val="left"/>
              <w:rPr>
                <w:rFonts w:cs="Arial"/>
                <w:i w:val="0"/>
                <w:sz w:val="22"/>
                <w:szCs w:val="22"/>
              </w:rPr>
            </w:pPr>
            <w:r w:rsidRPr="005B5418">
              <w:rPr>
                <w:rFonts w:cs="Arial"/>
                <w:i w:val="0"/>
                <w:sz w:val="22"/>
                <w:szCs w:val="22"/>
              </w:rPr>
              <w:t>The c</w:t>
            </w:r>
            <w:r w:rsidR="00143A92" w:rsidRPr="005B5418">
              <w:rPr>
                <w:rFonts w:cs="Arial"/>
                <w:i w:val="0"/>
                <w:sz w:val="22"/>
                <w:szCs w:val="22"/>
              </w:rPr>
              <w:t>losed group population</w:t>
            </w:r>
            <w:r w:rsidRPr="005B5418">
              <w:rPr>
                <w:rFonts w:cs="Arial"/>
                <w:i w:val="0"/>
                <w:sz w:val="22"/>
                <w:szCs w:val="22"/>
              </w:rPr>
              <w:t xml:space="preserve"> is</w:t>
            </w:r>
            <w:r w:rsidR="00143A92" w:rsidRPr="005B5418">
              <w:rPr>
                <w:rFonts w:cs="Arial"/>
                <w:i w:val="0"/>
                <w:sz w:val="22"/>
                <w:szCs w:val="22"/>
              </w:rPr>
              <w:t xml:space="preserve"> those persons who, as of a valuation date, are participants in a social insurance program as beneficiaries, covered workers, or payers of earmarked taxes or premiums. </w:t>
            </w:r>
          </w:p>
          <w:p w14:paraId="70245D20" w14:textId="05CAEF98" w:rsidR="00143A92" w:rsidRPr="005B5418" w:rsidRDefault="004E086F" w:rsidP="008848DA">
            <w:pPr>
              <w:pStyle w:val="Table-Note"/>
              <w:spacing w:before="60" w:after="60" w:line="240" w:lineRule="auto"/>
              <w:ind w:left="0"/>
              <w:jc w:val="left"/>
              <w:rPr>
                <w:i w:val="0"/>
              </w:rPr>
            </w:pPr>
            <w:r w:rsidRPr="005B5418">
              <w:rPr>
                <w:rFonts w:cs="Arial"/>
                <w:i w:val="0"/>
                <w:sz w:val="22"/>
                <w:szCs w:val="22"/>
              </w:rPr>
              <w:t>The c</w:t>
            </w:r>
            <w:r w:rsidR="00143A92" w:rsidRPr="005B5418">
              <w:rPr>
                <w:i w:val="0"/>
                <w:sz w:val="22"/>
                <w:szCs w:val="22"/>
              </w:rPr>
              <w:t>losed group measure is the net present value of all expenditures to or on behalf of the closed group population participating in a social insurance program and all contributions or other income from or on behalf of those participants over a given projection period. (SFFAS 37, par</w:t>
            </w:r>
            <w:r w:rsidR="000B3FC5" w:rsidRPr="005B5418">
              <w:rPr>
                <w:i w:val="0"/>
                <w:sz w:val="22"/>
                <w:szCs w:val="22"/>
              </w:rPr>
              <w:t>as</w:t>
            </w:r>
            <w:r w:rsidR="00143A92" w:rsidRPr="005B5418">
              <w:rPr>
                <w:i w:val="0"/>
                <w:sz w:val="22"/>
                <w:szCs w:val="22"/>
              </w:rPr>
              <w:t xml:space="preserve">. </w:t>
            </w:r>
            <w:r w:rsidR="00F5123E" w:rsidRPr="005B5418">
              <w:rPr>
                <w:i w:val="0"/>
                <w:sz w:val="22"/>
                <w:szCs w:val="22"/>
              </w:rPr>
              <w:t>15, 16, 20</w:t>
            </w:r>
            <w:r w:rsidR="000B3FC5" w:rsidRPr="005B5418">
              <w:rPr>
                <w:i w:val="0"/>
                <w:sz w:val="22"/>
                <w:szCs w:val="22"/>
              </w:rPr>
              <w:t>,</w:t>
            </w:r>
            <w:r w:rsidR="00F5123E" w:rsidRPr="005B5418">
              <w:rPr>
                <w:i w:val="0"/>
                <w:sz w:val="22"/>
                <w:szCs w:val="22"/>
              </w:rPr>
              <w:t xml:space="preserve"> and 21</w:t>
            </w:r>
            <w:r w:rsidR="00143A92" w:rsidRPr="005B5418">
              <w:rPr>
                <w:i w:val="0"/>
                <w:sz w:val="22"/>
                <w:szCs w:val="22"/>
              </w:rPr>
              <w:t>)</w:t>
            </w:r>
          </w:p>
        </w:tc>
      </w:tr>
      <w:tr w:rsidR="00143A92" w:rsidRPr="005B5418" w14:paraId="3FA6E094" w14:textId="77777777" w:rsidTr="00E162E0">
        <w:trPr>
          <w:cantSplit/>
          <w:trHeight w:val="1511"/>
        </w:trPr>
        <w:tc>
          <w:tcPr>
            <w:tcW w:w="5400" w:type="dxa"/>
          </w:tcPr>
          <w:p w14:paraId="5C7A00A8" w14:textId="66B3D91C" w:rsidR="00143A92" w:rsidRPr="005B5418" w:rsidRDefault="00143A92" w:rsidP="007D2354">
            <w:pPr>
              <w:pStyle w:val="FAM-Table-outline"/>
              <w:widowControl/>
              <w:numPr>
                <w:ilvl w:val="0"/>
                <w:numId w:val="11"/>
              </w:numPr>
              <w:adjustRightInd/>
              <w:spacing w:line="240" w:lineRule="auto"/>
              <w:textAlignment w:val="auto"/>
              <w:rPr>
                <w:rFonts w:cs="Arial"/>
                <w:szCs w:val="22"/>
              </w:rPr>
            </w:pPr>
            <w:r w:rsidRPr="005B5418">
              <w:rPr>
                <w:rFonts w:cs="Arial"/>
                <w:szCs w:val="22"/>
              </w:rPr>
              <w:t xml:space="preserve">Are the open group measure line items on the SOSI the same as the beginning-of-year and end-of-year line items on the SCSIA for the open group measure? </w:t>
            </w:r>
          </w:p>
        </w:tc>
        <w:tc>
          <w:tcPr>
            <w:tcW w:w="965" w:type="dxa"/>
          </w:tcPr>
          <w:p w14:paraId="4F780DFD" w14:textId="77777777" w:rsidR="00143A92" w:rsidRPr="005B5418" w:rsidRDefault="00143A92" w:rsidP="003B61E9">
            <w:pPr>
              <w:pStyle w:val="Table-Cell-CenterBoldBefore6ptAfter6pt"/>
              <w:rPr>
                <w:rFonts w:cs="Arial"/>
              </w:rPr>
            </w:pPr>
          </w:p>
        </w:tc>
        <w:tc>
          <w:tcPr>
            <w:tcW w:w="3211" w:type="dxa"/>
          </w:tcPr>
          <w:p w14:paraId="4BBD7E66" w14:textId="77777777" w:rsidR="00143A92" w:rsidRPr="005B5418" w:rsidRDefault="00143A92" w:rsidP="003B61E9">
            <w:pPr>
              <w:spacing w:line="240" w:lineRule="auto"/>
              <w:rPr>
                <w:rFonts w:cs="Arial"/>
              </w:rPr>
            </w:pPr>
          </w:p>
        </w:tc>
      </w:tr>
      <w:tr w:rsidR="00143A92" w:rsidRPr="005B5418" w14:paraId="37185405" w14:textId="77777777" w:rsidTr="00E162E0">
        <w:trPr>
          <w:trHeight w:val="287"/>
        </w:trPr>
        <w:tc>
          <w:tcPr>
            <w:tcW w:w="5400" w:type="dxa"/>
          </w:tcPr>
          <w:p w14:paraId="00025939" w14:textId="739C5895" w:rsidR="00143A92" w:rsidRPr="005B5418" w:rsidRDefault="00143A92" w:rsidP="00343610">
            <w:pPr>
              <w:pStyle w:val="FAM-Table-outline"/>
              <w:widowControl/>
              <w:numPr>
                <w:ilvl w:val="0"/>
                <w:numId w:val="11"/>
              </w:numPr>
              <w:adjustRightInd/>
              <w:spacing w:line="240" w:lineRule="auto"/>
              <w:textAlignment w:val="auto"/>
              <w:rPr>
                <w:rFonts w:cs="Arial"/>
                <w:szCs w:val="22"/>
              </w:rPr>
            </w:pPr>
            <w:r w:rsidRPr="005B5418">
              <w:rPr>
                <w:rFonts w:cs="Arial"/>
                <w:szCs w:val="22"/>
              </w:rPr>
              <w:t>Did the entity present a SCSIA that reconciles beginning and ending open group measures and presents the significant components of the changes in the open group measure from the end of the previous reporting period, such as</w:t>
            </w:r>
          </w:p>
          <w:p w14:paraId="75258FCF" w14:textId="7E1416E7" w:rsidR="00143A92" w:rsidRPr="005B5418" w:rsidRDefault="00143A92" w:rsidP="005425ED">
            <w:pPr>
              <w:pStyle w:val="FAM-Table-outline2"/>
              <w:numPr>
                <w:ilvl w:val="1"/>
                <w:numId w:val="1"/>
              </w:numPr>
              <w:spacing w:line="240" w:lineRule="auto"/>
              <w:ind w:left="1147" w:hanging="450"/>
              <w:rPr>
                <w:rFonts w:eastAsia="Arial Unicode MS"/>
              </w:rPr>
            </w:pPr>
            <w:r w:rsidRPr="005B5418">
              <w:rPr>
                <w:rFonts w:eastAsia="Arial Unicode MS"/>
              </w:rPr>
              <w:t>the change due to the change in valuation period;</w:t>
            </w:r>
          </w:p>
          <w:p w14:paraId="3D0AE991" w14:textId="77777777" w:rsidR="00143A92" w:rsidRPr="005B5418" w:rsidRDefault="00143A92" w:rsidP="005425ED">
            <w:pPr>
              <w:pStyle w:val="FAM-Table-outline2"/>
              <w:numPr>
                <w:ilvl w:val="1"/>
                <w:numId w:val="1"/>
              </w:numPr>
              <w:spacing w:line="240" w:lineRule="auto"/>
              <w:ind w:left="1147" w:hanging="450"/>
              <w:rPr>
                <w:rFonts w:eastAsia="Arial Unicode MS"/>
              </w:rPr>
            </w:pPr>
            <w:r w:rsidRPr="005B5418">
              <w:rPr>
                <w:rFonts w:eastAsia="Arial Unicode MS"/>
              </w:rPr>
              <w:t>the changes in demographic, economic, and health care assumptions;</w:t>
            </w:r>
          </w:p>
          <w:p w14:paraId="66AF408E" w14:textId="77777777" w:rsidR="00143A92" w:rsidRPr="005B5418" w:rsidRDefault="00143A92" w:rsidP="005425ED">
            <w:pPr>
              <w:pStyle w:val="FAM-Table-outline2"/>
              <w:numPr>
                <w:ilvl w:val="1"/>
                <w:numId w:val="1"/>
              </w:numPr>
              <w:spacing w:line="240" w:lineRule="auto"/>
              <w:ind w:left="1147" w:hanging="450"/>
              <w:rPr>
                <w:rFonts w:eastAsia="Arial Unicode MS"/>
              </w:rPr>
            </w:pPr>
            <w:r w:rsidRPr="005B5418">
              <w:rPr>
                <w:rFonts w:eastAsia="Arial Unicode MS"/>
              </w:rPr>
              <w:t xml:space="preserve">the changes in law, regulation, and policy; and </w:t>
            </w:r>
          </w:p>
          <w:p w14:paraId="6C4C8277" w14:textId="786E707B" w:rsidR="00143A92" w:rsidRPr="005B5418" w:rsidRDefault="00143A92" w:rsidP="005425ED">
            <w:pPr>
              <w:pStyle w:val="FAM-Table-outline2"/>
              <w:numPr>
                <w:ilvl w:val="1"/>
                <w:numId w:val="1"/>
              </w:numPr>
              <w:spacing w:line="240" w:lineRule="auto"/>
              <w:ind w:left="1147" w:hanging="450"/>
              <w:rPr>
                <w:rFonts w:cs="Arial"/>
              </w:rPr>
            </w:pPr>
            <w:r w:rsidRPr="005B5418">
              <w:rPr>
                <w:rFonts w:eastAsia="Arial Unicode MS"/>
              </w:rPr>
              <w:t>the amounts associated with each type of change?</w:t>
            </w:r>
            <w:r w:rsidR="00C940F8" w:rsidRPr="005B5418">
              <w:rPr>
                <w:rFonts w:eastAsia="Arial Unicode MS"/>
              </w:rPr>
              <w:t xml:space="preserve"> </w:t>
            </w:r>
            <w:r w:rsidRPr="005B5418">
              <w:rPr>
                <w:rFonts w:eastAsia="Arial Unicode MS"/>
              </w:rPr>
              <w:t>(SFFAS 37, par</w:t>
            </w:r>
            <w:r w:rsidR="00F841AF" w:rsidRPr="005B5418">
              <w:rPr>
                <w:rFonts w:eastAsia="Arial Unicode MS"/>
              </w:rPr>
              <w:t>a</w:t>
            </w:r>
            <w:r w:rsidRPr="005B5418">
              <w:rPr>
                <w:rFonts w:eastAsia="Arial Unicode MS"/>
              </w:rPr>
              <w:t>. 31)</w:t>
            </w:r>
          </w:p>
        </w:tc>
        <w:tc>
          <w:tcPr>
            <w:tcW w:w="965" w:type="dxa"/>
          </w:tcPr>
          <w:p w14:paraId="4E360B3C" w14:textId="77777777" w:rsidR="00143A92" w:rsidRPr="005B5418" w:rsidRDefault="00143A92" w:rsidP="003B61E9">
            <w:pPr>
              <w:pStyle w:val="Table-Cell-CenterBoldBefore6ptAfter6pt"/>
              <w:rPr>
                <w:rFonts w:cs="Arial"/>
              </w:rPr>
            </w:pPr>
          </w:p>
        </w:tc>
        <w:tc>
          <w:tcPr>
            <w:tcW w:w="3211" w:type="dxa"/>
          </w:tcPr>
          <w:p w14:paraId="0A59EE51" w14:textId="77777777" w:rsidR="00143A92" w:rsidRPr="005B5418" w:rsidRDefault="00143A92" w:rsidP="003B61E9">
            <w:pPr>
              <w:spacing w:line="240" w:lineRule="auto"/>
              <w:rPr>
                <w:rFonts w:cs="Arial"/>
              </w:rPr>
            </w:pPr>
          </w:p>
        </w:tc>
      </w:tr>
      <w:tr w:rsidR="00143A92" w:rsidRPr="005B5418" w14:paraId="102BF458" w14:textId="77777777" w:rsidTr="006E7768">
        <w:trPr>
          <w:cantSplit/>
          <w:trHeight w:val="1772"/>
        </w:trPr>
        <w:tc>
          <w:tcPr>
            <w:tcW w:w="5400" w:type="dxa"/>
          </w:tcPr>
          <w:p w14:paraId="3B5C1F4E" w14:textId="32F6F457" w:rsidR="00143A92" w:rsidRPr="005B5418" w:rsidRDefault="00143A92" w:rsidP="00343610">
            <w:pPr>
              <w:pStyle w:val="FAM-Table-outline"/>
              <w:widowControl/>
              <w:numPr>
                <w:ilvl w:val="0"/>
                <w:numId w:val="11"/>
              </w:numPr>
              <w:adjustRightInd/>
              <w:spacing w:line="240" w:lineRule="auto"/>
              <w:textAlignment w:val="auto"/>
              <w:rPr>
                <w:rFonts w:cs="Arial"/>
                <w:szCs w:val="22"/>
              </w:rPr>
            </w:pPr>
            <w:r w:rsidRPr="005B5418">
              <w:rPr>
                <w:rFonts w:cs="Arial"/>
                <w:szCs w:val="22"/>
              </w:rPr>
              <w:lastRenderedPageBreak/>
              <w:t>Did the entity present a SCSIA that discloses on the statement’s face, in the notes, or both the reasons for significant changes in the open group measure from the end of the previous reporting period? (SFFAS 37, par</w:t>
            </w:r>
            <w:r w:rsidR="00D94FE0" w:rsidRPr="005B5418">
              <w:rPr>
                <w:rFonts w:cs="Arial"/>
                <w:szCs w:val="22"/>
              </w:rPr>
              <w:t>as</w:t>
            </w:r>
            <w:r w:rsidRPr="005B5418">
              <w:rPr>
                <w:rFonts w:cs="Arial"/>
                <w:szCs w:val="22"/>
              </w:rPr>
              <w:t>. 2</w:t>
            </w:r>
            <w:r w:rsidR="004E086F" w:rsidRPr="005B5418">
              <w:rPr>
                <w:rFonts w:cs="Arial"/>
                <w:szCs w:val="22"/>
              </w:rPr>
              <w:t xml:space="preserve"> and</w:t>
            </w:r>
            <w:r w:rsidRPr="005B5418">
              <w:rPr>
                <w:rFonts w:cs="Arial"/>
                <w:szCs w:val="22"/>
              </w:rPr>
              <w:t xml:space="preserve"> 32</w:t>
            </w:r>
            <w:r w:rsidR="004E086F" w:rsidRPr="005B5418">
              <w:rPr>
                <w:rFonts w:cs="Arial"/>
                <w:szCs w:val="22"/>
              </w:rPr>
              <w:t xml:space="preserve"> and</w:t>
            </w:r>
            <w:r w:rsidRPr="005B5418">
              <w:rPr>
                <w:rFonts w:cs="Arial"/>
                <w:szCs w:val="22"/>
              </w:rPr>
              <w:t xml:space="preserve"> </w:t>
            </w:r>
            <w:r w:rsidR="00D94FE0" w:rsidRPr="005B5418">
              <w:rPr>
                <w:rFonts w:cs="Arial"/>
                <w:szCs w:val="22"/>
              </w:rPr>
              <w:t xml:space="preserve">app. </w:t>
            </w:r>
            <w:r w:rsidRPr="005B5418">
              <w:rPr>
                <w:rFonts w:cs="Arial"/>
                <w:szCs w:val="22"/>
              </w:rPr>
              <w:t xml:space="preserve">D) </w:t>
            </w:r>
          </w:p>
        </w:tc>
        <w:tc>
          <w:tcPr>
            <w:tcW w:w="965" w:type="dxa"/>
          </w:tcPr>
          <w:p w14:paraId="5829C4DB" w14:textId="77777777" w:rsidR="00143A92" w:rsidRPr="005B5418" w:rsidRDefault="00143A92" w:rsidP="003B61E9">
            <w:pPr>
              <w:pStyle w:val="Table-Cell-CenterBoldBefore6ptAfter6pt"/>
              <w:rPr>
                <w:rFonts w:cs="Arial"/>
              </w:rPr>
            </w:pPr>
          </w:p>
        </w:tc>
        <w:tc>
          <w:tcPr>
            <w:tcW w:w="3211" w:type="dxa"/>
          </w:tcPr>
          <w:p w14:paraId="5571F760" w14:textId="77777777" w:rsidR="00143A92" w:rsidRPr="005B5418" w:rsidRDefault="00143A92" w:rsidP="003B61E9">
            <w:pPr>
              <w:spacing w:line="240" w:lineRule="auto"/>
              <w:rPr>
                <w:rFonts w:cs="Arial"/>
              </w:rPr>
            </w:pPr>
          </w:p>
        </w:tc>
      </w:tr>
      <w:tr w:rsidR="00143A92" w:rsidRPr="005B5418" w14:paraId="54FE5BFE" w14:textId="77777777" w:rsidTr="006E7768">
        <w:trPr>
          <w:cantSplit/>
          <w:trHeight w:val="1700"/>
        </w:trPr>
        <w:tc>
          <w:tcPr>
            <w:tcW w:w="5400" w:type="dxa"/>
          </w:tcPr>
          <w:p w14:paraId="01499EFA" w14:textId="74B3E34A" w:rsidR="00143A92" w:rsidRPr="005B5418" w:rsidRDefault="00143A92" w:rsidP="00343610">
            <w:pPr>
              <w:pStyle w:val="FAM-Table-outline"/>
              <w:widowControl/>
              <w:numPr>
                <w:ilvl w:val="0"/>
                <w:numId w:val="11"/>
              </w:numPr>
              <w:adjustRightInd/>
              <w:spacing w:line="240" w:lineRule="auto"/>
              <w:textAlignment w:val="auto"/>
              <w:rPr>
                <w:rFonts w:cs="Arial"/>
                <w:szCs w:val="22"/>
              </w:rPr>
            </w:pPr>
            <w:r w:rsidRPr="005B5418">
              <w:rPr>
                <w:rFonts w:cs="Arial"/>
                <w:szCs w:val="22"/>
              </w:rPr>
              <w:t xml:space="preserve">Are all projections and estimates made as of a date (the valuation date) as close to the end of the fiscal year being reported on (“current year”) as possible and no more than </w:t>
            </w:r>
            <w:r w:rsidR="00D94FE0" w:rsidRPr="005B5418">
              <w:rPr>
                <w:rFonts w:cs="Arial"/>
                <w:szCs w:val="22"/>
              </w:rPr>
              <w:t>1</w:t>
            </w:r>
            <w:r w:rsidRPr="005B5418">
              <w:rPr>
                <w:rFonts w:cs="Arial"/>
                <w:szCs w:val="22"/>
              </w:rPr>
              <w:t xml:space="preserve"> year prior to the end of the current year? (SFFAS 17, par</w:t>
            </w:r>
            <w:r w:rsidR="00D94FE0" w:rsidRPr="005B5418">
              <w:rPr>
                <w:rFonts w:cs="Arial"/>
                <w:szCs w:val="22"/>
              </w:rPr>
              <w:t>a</w:t>
            </w:r>
            <w:r w:rsidRPr="005B5418">
              <w:rPr>
                <w:rFonts w:cs="Arial"/>
                <w:szCs w:val="22"/>
              </w:rPr>
              <w:t>. 26)</w:t>
            </w:r>
          </w:p>
        </w:tc>
        <w:tc>
          <w:tcPr>
            <w:tcW w:w="965" w:type="dxa"/>
          </w:tcPr>
          <w:p w14:paraId="0064897B" w14:textId="77777777" w:rsidR="00143A92" w:rsidRPr="005B5418" w:rsidRDefault="00143A92" w:rsidP="003B61E9">
            <w:pPr>
              <w:pStyle w:val="Table-Cell-CenterBoldBefore6ptAfter6pt"/>
              <w:rPr>
                <w:rFonts w:cs="Arial"/>
              </w:rPr>
            </w:pPr>
          </w:p>
        </w:tc>
        <w:tc>
          <w:tcPr>
            <w:tcW w:w="3211" w:type="dxa"/>
          </w:tcPr>
          <w:p w14:paraId="2BFAF10D" w14:textId="77777777" w:rsidR="00143A92" w:rsidRPr="005B5418" w:rsidRDefault="00143A92" w:rsidP="003B61E9">
            <w:pPr>
              <w:spacing w:line="240" w:lineRule="auto"/>
              <w:rPr>
                <w:rFonts w:cs="Arial"/>
              </w:rPr>
            </w:pPr>
          </w:p>
        </w:tc>
      </w:tr>
    </w:tbl>
    <w:p w14:paraId="3D1C12AA" w14:textId="77777777" w:rsidR="00687EBE" w:rsidRPr="005B5418" w:rsidRDefault="00687EBE" w:rsidP="003B61E9">
      <w:pPr>
        <w:spacing w:line="240" w:lineRule="auto"/>
        <w:rPr>
          <w:rFonts w:eastAsia="Arial Unicode MS" w:cs="Arial"/>
        </w:rPr>
        <w:sectPr w:rsidR="00687EBE" w:rsidRPr="005B5418" w:rsidSect="008848DA">
          <w:pgSz w:w="12240" w:h="15840"/>
          <w:pgMar w:top="1530" w:right="1440" w:bottom="1440" w:left="1440" w:header="720" w:footer="720" w:gutter="0"/>
          <w:cols w:space="720"/>
          <w:docGrid w:linePitch="360"/>
        </w:sectPr>
      </w:pPr>
    </w:p>
    <w:p w14:paraId="7904D31B" w14:textId="77777777" w:rsidR="00F1513D" w:rsidRPr="005B5418" w:rsidRDefault="00F1513D" w:rsidP="003B61E9">
      <w:pPr>
        <w:pStyle w:val="Heading1"/>
        <w:rPr>
          <w:rFonts w:eastAsia="Arial Unicode MS"/>
          <w:b/>
          <w:sz w:val="28"/>
          <w:szCs w:val="28"/>
        </w:rPr>
      </w:pPr>
      <w:bookmarkStart w:id="92" w:name="_Section_II.3.8_–"/>
      <w:bookmarkStart w:id="93" w:name="_Toc18571194"/>
      <w:bookmarkEnd w:id="92"/>
      <w:r w:rsidRPr="005B5418">
        <w:rPr>
          <w:rFonts w:eastAsia="Arial Unicode MS"/>
          <w:b/>
          <w:sz w:val="28"/>
          <w:szCs w:val="28"/>
        </w:rPr>
        <w:lastRenderedPageBreak/>
        <w:t xml:space="preserve">Section </w:t>
      </w:r>
      <w:r w:rsidR="00D46B3E" w:rsidRPr="005B5418">
        <w:rPr>
          <w:rFonts w:eastAsia="Arial Unicode MS"/>
          <w:b/>
          <w:sz w:val="28"/>
          <w:szCs w:val="28"/>
        </w:rPr>
        <w:t>II.3.8</w:t>
      </w:r>
      <w:r w:rsidRPr="005B5418">
        <w:rPr>
          <w:rFonts w:eastAsia="Arial Unicode MS"/>
          <w:b/>
          <w:sz w:val="28"/>
          <w:szCs w:val="28"/>
        </w:rPr>
        <w:t xml:space="preserve"> – Accounting </w:t>
      </w:r>
      <w:r w:rsidR="00467620" w:rsidRPr="005B5418">
        <w:rPr>
          <w:rFonts w:eastAsia="Arial Unicode MS"/>
          <w:b/>
          <w:sz w:val="28"/>
          <w:szCs w:val="28"/>
        </w:rPr>
        <w:t xml:space="preserve">and </w:t>
      </w:r>
      <w:r w:rsidRPr="005B5418">
        <w:rPr>
          <w:rFonts w:eastAsia="Arial Unicode MS"/>
          <w:b/>
          <w:sz w:val="28"/>
          <w:szCs w:val="28"/>
        </w:rPr>
        <w:t xml:space="preserve">Disclosure by </w:t>
      </w:r>
      <w:r w:rsidR="00467620" w:rsidRPr="005B5418">
        <w:rPr>
          <w:rFonts w:eastAsia="Arial Unicode MS"/>
          <w:b/>
          <w:sz w:val="28"/>
          <w:szCs w:val="28"/>
        </w:rPr>
        <w:t xml:space="preserve">Specific </w:t>
      </w:r>
      <w:r w:rsidRPr="005B5418">
        <w:rPr>
          <w:rFonts w:eastAsia="Arial Unicode MS"/>
          <w:b/>
          <w:sz w:val="28"/>
          <w:szCs w:val="28"/>
        </w:rPr>
        <w:t>Topic</w:t>
      </w:r>
      <w:bookmarkEnd w:id="93"/>
      <w:r w:rsidRPr="005B5418">
        <w:rPr>
          <w:rFonts w:eastAsia="Arial Unicode MS"/>
          <w:b/>
          <w:sz w:val="28"/>
          <w:szCs w:val="28"/>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E162E0" w:rsidRPr="005B5418" w14:paraId="76ACD3E0" w14:textId="77777777" w:rsidTr="00221D67">
        <w:trPr>
          <w:tblHeader/>
        </w:trPr>
        <w:tc>
          <w:tcPr>
            <w:tcW w:w="5400" w:type="dxa"/>
            <w:tcBorders>
              <w:top w:val="single" w:sz="4" w:space="0" w:color="auto"/>
              <w:left w:val="single" w:sz="4" w:space="0" w:color="auto"/>
              <w:bottom w:val="single" w:sz="4" w:space="0" w:color="auto"/>
              <w:right w:val="single" w:sz="4" w:space="0" w:color="auto"/>
            </w:tcBorders>
          </w:tcPr>
          <w:p w14:paraId="49239A5C" w14:textId="4CFBFF94" w:rsidR="00E162E0" w:rsidRPr="005B5418" w:rsidRDefault="00E162E0" w:rsidP="008848DA">
            <w:pPr>
              <w:pStyle w:val="Heading4"/>
              <w:spacing w:before="60" w:after="60" w:line="240" w:lineRule="auto"/>
              <w:jc w:val="left"/>
              <w:rPr>
                <w:b/>
                <w:u w:val="none"/>
              </w:rPr>
            </w:pPr>
            <w:bookmarkStart w:id="94" w:name="_II.3.8.1_Significant_Accounting"/>
            <w:bookmarkStart w:id="95" w:name="_Ref384816010"/>
            <w:bookmarkStart w:id="96" w:name="_Toc394667883"/>
            <w:bookmarkEnd w:id="94"/>
            <w:r w:rsidRPr="005B5418">
              <w:rPr>
                <w:b/>
                <w:u w:val="none"/>
              </w:rPr>
              <w:t xml:space="preserve">II.3.8.1 </w:t>
            </w:r>
            <w:r w:rsidR="00995073" w:rsidRPr="005B5418">
              <w:rPr>
                <w:b/>
                <w:u w:val="none"/>
              </w:rPr>
              <w:t xml:space="preserve">Reporting Entity and Summary of </w:t>
            </w:r>
            <w:r w:rsidRPr="005B5418">
              <w:rPr>
                <w:b/>
                <w:u w:val="none"/>
              </w:rPr>
              <w:t>Significant Accounting Policies</w:t>
            </w:r>
            <w:bookmarkEnd w:id="95"/>
            <w:bookmarkEnd w:id="96"/>
            <w:r w:rsidRPr="005B5418">
              <w:rPr>
                <w:b/>
                <w:u w:val="none"/>
              </w:rPr>
              <w:t xml:space="preserve"> </w:t>
            </w:r>
          </w:p>
        </w:tc>
        <w:tc>
          <w:tcPr>
            <w:tcW w:w="965" w:type="dxa"/>
            <w:tcBorders>
              <w:top w:val="single" w:sz="4" w:space="0" w:color="auto"/>
              <w:left w:val="single" w:sz="4" w:space="0" w:color="auto"/>
              <w:bottom w:val="single" w:sz="4" w:space="0" w:color="auto"/>
              <w:right w:val="single" w:sz="4" w:space="0" w:color="auto"/>
            </w:tcBorders>
          </w:tcPr>
          <w:p w14:paraId="75E59675" w14:textId="77777777" w:rsidR="00E162E0" w:rsidRPr="005B5418" w:rsidRDefault="00E162E0" w:rsidP="00221D67">
            <w:pPr>
              <w:pStyle w:val="TableCellCenter"/>
              <w:jc w:val="left"/>
            </w:pPr>
            <w:r w:rsidRPr="005B5418">
              <w:t>Yes, No, or N/A</w:t>
            </w:r>
          </w:p>
        </w:tc>
        <w:tc>
          <w:tcPr>
            <w:tcW w:w="3211" w:type="dxa"/>
            <w:tcBorders>
              <w:top w:val="single" w:sz="4" w:space="0" w:color="auto"/>
              <w:left w:val="single" w:sz="4" w:space="0" w:color="auto"/>
              <w:bottom w:val="single" w:sz="4" w:space="0" w:color="auto"/>
              <w:right w:val="single" w:sz="4" w:space="0" w:color="auto"/>
            </w:tcBorders>
          </w:tcPr>
          <w:p w14:paraId="03C9FAF2" w14:textId="6696F8DF" w:rsidR="00E162E0" w:rsidRPr="005B5418" w:rsidRDefault="00E162E0" w:rsidP="00F06558">
            <w:pPr>
              <w:pStyle w:val="TableCellCenter"/>
              <w:jc w:val="left"/>
            </w:pPr>
            <w:r w:rsidRPr="005B5418">
              <w:t xml:space="preserve">Explanation </w:t>
            </w:r>
            <w:r w:rsidR="00F06558" w:rsidRPr="005B5418">
              <w:t xml:space="preserve">and </w:t>
            </w:r>
            <w:r w:rsidRPr="005B5418">
              <w:t>Reference</w:t>
            </w:r>
          </w:p>
        </w:tc>
      </w:tr>
      <w:tr w:rsidR="00E162E0" w:rsidRPr="005B5418" w14:paraId="184B693C" w14:textId="77777777" w:rsidTr="00E162E0">
        <w:trPr>
          <w:cantSplit/>
        </w:trPr>
        <w:tc>
          <w:tcPr>
            <w:tcW w:w="9576" w:type="dxa"/>
            <w:gridSpan w:val="3"/>
          </w:tcPr>
          <w:p w14:paraId="5F4940E5" w14:textId="32EFEF60" w:rsidR="00E162E0" w:rsidRPr="005B5418" w:rsidRDefault="00E162E0" w:rsidP="008848DA">
            <w:pPr>
              <w:pStyle w:val="Table-Note"/>
              <w:spacing w:before="60" w:after="60" w:line="240" w:lineRule="auto"/>
              <w:ind w:left="-23"/>
              <w:jc w:val="left"/>
              <w:rPr>
                <w:rFonts w:cs="Arial"/>
                <w:i w:val="0"/>
                <w:sz w:val="22"/>
                <w:szCs w:val="22"/>
              </w:rPr>
            </w:pPr>
            <w:r w:rsidRPr="005B5418">
              <w:rPr>
                <w:rFonts w:cs="Arial"/>
                <w:i w:val="0"/>
                <w:sz w:val="22"/>
                <w:szCs w:val="22"/>
              </w:rPr>
              <w:t xml:space="preserve">Disclosure of accounting policies identifies and describes the accounting principles </w:t>
            </w:r>
            <w:r w:rsidR="00234082" w:rsidRPr="005B5418">
              <w:rPr>
                <w:rFonts w:cs="Arial"/>
                <w:i w:val="0"/>
                <w:sz w:val="22"/>
                <w:szCs w:val="22"/>
              </w:rPr>
              <w:t>that</w:t>
            </w:r>
            <w:r w:rsidRPr="005B5418">
              <w:rPr>
                <w:rFonts w:cs="Arial"/>
                <w:i w:val="0"/>
                <w:sz w:val="22"/>
                <w:szCs w:val="22"/>
              </w:rPr>
              <w:t xml:space="preserve"> the reporting entity </w:t>
            </w:r>
            <w:r w:rsidR="00234082" w:rsidRPr="005B5418">
              <w:rPr>
                <w:rFonts w:cs="Arial"/>
                <w:i w:val="0"/>
                <w:sz w:val="22"/>
                <w:szCs w:val="22"/>
              </w:rPr>
              <w:t xml:space="preserve">follows </w:t>
            </w:r>
            <w:r w:rsidRPr="005B5418">
              <w:rPr>
                <w:rFonts w:cs="Arial"/>
                <w:i w:val="0"/>
                <w:sz w:val="22"/>
                <w:szCs w:val="22"/>
              </w:rPr>
              <w:t xml:space="preserve">and methods </w:t>
            </w:r>
            <w:r w:rsidR="00234082" w:rsidRPr="005B5418">
              <w:rPr>
                <w:rFonts w:cs="Arial"/>
                <w:i w:val="0"/>
                <w:sz w:val="22"/>
                <w:szCs w:val="22"/>
              </w:rPr>
              <w:t>for</w:t>
            </w:r>
            <w:r w:rsidRPr="005B5418">
              <w:rPr>
                <w:rFonts w:cs="Arial"/>
                <w:i w:val="0"/>
                <w:sz w:val="22"/>
                <w:szCs w:val="22"/>
              </w:rPr>
              <w:t xml:space="preserve"> applying those principles. In general, the disclosure encompasses important judgments as to the valuation, recognition, and allocation of assets, liabilities, expenses, revenues</w:t>
            </w:r>
            <w:r w:rsidR="00403672" w:rsidRPr="005B5418">
              <w:rPr>
                <w:rFonts w:cs="Arial"/>
                <w:i w:val="0"/>
                <w:sz w:val="22"/>
                <w:szCs w:val="22"/>
              </w:rPr>
              <w:t>,</w:t>
            </w:r>
            <w:r w:rsidRPr="005B5418">
              <w:rPr>
                <w:rFonts w:cs="Arial"/>
                <w:i w:val="0"/>
                <w:sz w:val="22"/>
                <w:szCs w:val="22"/>
              </w:rPr>
              <w:t xml:space="preserve"> and other financing sources. (A-136, section II.3.8.1)</w:t>
            </w:r>
          </w:p>
        </w:tc>
      </w:tr>
      <w:tr w:rsidR="005B4AB8" w:rsidRPr="005B5418" w14:paraId="436E90C7" w14:textId="77777777" w:rsidTr="003C542E">
        <w:trPr>
          <w:trHeight w:val="494"/>
        </w:trPr>
        <w:tc>
          <w:tcPr>
            <w:tcW w:w="9576" w:type="dxa"/>
            <w:gridSpan w:val="3"/>
          </w:tcPr>
          <w:p w14:paraId="2010E6AF" w14:textId="77777777" w:rsidR="005B4AB8" w:rsidRPr="005B5418" w:rsidRDefault="005B4AB8" w:rsidP="008848DA">
            <w:pPr>
              <w:spacing w:before="60" w:after="60" w:line="240" w:lineRule="auto"/>
              <w:rPr>
                <w:rFonts w:ascii="Arial" w:hAnsi="Arial" w:cs="Arial"/>
                <w:b/>
              </w:rPr>
            </w:pPr>
            <w:r w:rsidRPr="005B5418">
              <w:rPr>
                <w:rFonts w:ascii="Arial" w:hAnsi="Arial" w:cs="Arial"/>
                <w:b/>
              </w:rPr>
              <w:t>Disclosure</w:t>
            </w:r>
          </w:p>
        </w:tc>
      </w:tr>
      <w:tr w:rsidR="00E162E0" w:rsidRPr="005B5418" w14:paraId="435CF852" w14:textId="77777777" w:rsidTr="00E162E0">
        <w:trPr>
          <w:cantSplit/>
          <w:trHeight w:val="1367"/>
        </w:trPr>
        <w:tc>
          <w:tcPr>
            <w:tcW w:w="5400" w:type="dxa"/>
          </w:tcPr>
          <w:p w14:paraId="03B50DE5" w14:textId="2F12B230"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Is a description of the reporting entity</w:t>
            </w:r>
            <w:r w:rsidR="001E5CAF" w:rsidRPr="005B5418">
              <w:rPr>
                <w:rFonts w:cs="Arial"/>
              </w:rPr>
              <w:t>,</w:t>
            </w:r>
            <w:r w:rsidRPr="005B5418">
              <w:rPr>
                <w:rFonts w:cs="Arial"/>
              </w:rPr>
              <w:t xml:space="preserve"> including identification of its major components</w:t>
            </w:r>
            <w:r w:rsidR="001E5CAF" w:rsidRPr="005B5418">
              <w:rPr>
                <w:rFonts w:cs="Arial"/>
              </w:rPr>
              <w:t>,</w:t>
            </w:r>
            <w:r w:rsidRPr="005B5418">
              <w:rPr>
                <w:rFonts w:cs="Arial"/>
              </w:rPr>
              <w:t xml:space="preserve"> </w:t>
            </w:r>
            <w:r w:rsidR="006F2ED5" w:rsidRPr="005B5418">
              <w:rPr>
                <w:rFonts w:cs="Arial"/>
              </w:rPr>
              <w:t xml:space="preserve">and any related parties </w:t>
            </w:r>
            <w:r w:rsidRPr="005B5418">
              <w:rPr>
                <w:rFonts w:cs="Arial"/>
              </w:rPr>
              <w:t>disclosed in the significant accounting policy</w:t>
            </w:r>
            <w:r w:rsidR="00A3775D" w:rsidRPr="005B5418">
              <w:rPr>
                <w:rStyle w:val="FootnoteReference"/>
                <w:rFonts w:cs="Arial"/>
              </w:rPr>
              <w:footnoteReference w:id="71"/>
            </w:r>
            <w:r w:rsidRPr="005B5418">
              <w:rPr>
                <w:rFonts w:cs="Arial"/>
              </w:rPr>
              <w:t>?</w:t>
            </w:r>
            <w:r w:rsidR="001E5CAF" w:rsidRPr="005B5418">
              <w:rPr>
                <w:rFonts w:cs="Arial"/>
              </w:rPr>
              <w:t xml:space="preserve"> </w:t>
            </w:r>
            <w:r w:rsidRPr="005B5418">
              <w:rPr>
                <w:rFonts w:cs="Arial"/>
              </w:rPr>
              <w:t>(A-136, section II.3.8.1)</w:t>
            </w:r>
          </w:p>
        </w:tc>
        <w:tc>
          <w:tcPr>
            <w:tcW w:w="965" w:type="dxa"/>
          </w:tcPr>
          <w:p w14:paraId="53E2B75F" w14:textId="77777777" w:rsidR="00E162E0" w:rsidRPr="005B5418" w:rsidRDefault="00E162E0" w:rsidP="003B61E9">
            <w:pPr>
              <w:pStyle w:val="Table-Cell-CenterBoldBefore6ptAfter6pt"/>
              <w:rPr>
                <w:rFonts w:cs="Arial"/>
              </w:rPr>
            </w:pPr>
          </w:p>
        </w:tc>
        <w:tc>
          <w:tcPr>
            <w:tcW w:w="3211" w:type="dxa"/>
          </w:tcPr>
          <w:p w14:paraId="3BA1A5A8" w14:textId="77777777" w:rsidR="00E162E0" w:rsidRPr="005B5418" w:rsidRDefault="00E162E0" w:rsidP="003B61E9">
            <w:pPr>
              <w:spacing w:line="240" w:lineRule="auto"/>
              <w:rPr>
                <w:rFonts w:cs="Arial"/>
              </w:rPr>
            </w:pPr>
          </w:p>
        </w:tc>
      </w:tr>
      <w:tr w:rsidR="00E162E0" w:rsidRPr="005B5418" w14:paraId="021A70F9" w14:textId="77777777" w:rsidTr="001A1310">
        <w:trPr>
          <w:cantSplit/>
          <w:trHeight w:val="1295"/>
        </w:trPr>
        <w:tc>
          <w:tcPr>
            <w:tcW w:w="5400" w:type="dxa"/>
          </w:tcPr>
          <w:p w14:paraId="60AF36E8" w14:textId="325CF09D" w:rsidR="00E162E0" w:rsidRPr="005B5418" w:rsidRDefault="00E162E0">
            <w:pPr>
              <w:pStyle w:val="FAM-Table-outline"/>
              <w:widowControl/>
              <w:numPr>
                <w:ilvl w:val="0"/>
                <w:numId w:val="12"/>
              </w:numPr>
              <w:adjustRightInd/>
              <w:spacing w:line="240" w:lineRule="auto"/>
              <w:textAlignment w:val="auto"/>
              <w:rPr>
                <w:rFonts w:cs="Arial"/>
              </w:rPr>
            </w:pPr>
            <w:r w:rsidRPr="005B5418">
              <w:rPr>
                <w:rFonts w:cs="Arial"/>
              </w:rPr>
              <w:t xml:space="preserve">Is a description of any </w:t>
            </w:r>
            <w:r w:rsidR="00231979" w:rsidRPr="005B5418">
              <w:rPr>
                <w:rFonts w:cs="Arial"/>
              </w:rPr>
              <w:t xml:space="preserve">consolidation </w:t>
            </w:r>
            <w:r w:rsidRPr="005B5418">
              <w:rPr>
                <w:rFonts w:cs="Arial"/>
              </w:rPr>
              <w:t>entities and disclosure entities in accordance with SFFAS 47 disclosed in the significant accounting policy?</w:t>
            </w:r>
            <w:r w:rsidRPr="005B5418">
              <w:rPr>
                <w:vertAlign w:val="superscript"/>
              </w:rPr>
              <w:footnoteReference w:id="72"/>
            </w:r>
            <w:r w:rsidRPr="005B5418">
              <w:rPr>
                <w:rFonts w:cs="Arial"/>
              </w:rPr>
              <w:t xml:space="preserve"> (A-136, section II.3.8.1) </w:t>
            </w:r>
          </w:p>
        </w:tc>
        <w:tc>
          <w:tcPr>
            <w:tcW w:w="965" w:type="dxa"/>
          </w:tcPr>
          <w:p w14:paraId="3CDA494F" w14:textId="77777777" w:rsidR="00E162E0" w:rsidRPr="005B5418" w:rsidRDefault="00E162E0" w:rsidP="003B61E9">
            <w:pPr>
              <w:pStyle w:val="Table-Cell-CenterBoldBefore6ptAfter6pt"/>
              <w:rPr>
                <w:rFonts w:cs="Arial"/>
              </w:rPr>
            </w:pPr>
          </w:p>
        </w:tc>
        <w:tc>
          <w:tcPr>
            <w:tcW w:w="3211" w:type="dxa"/>
          </w:tcPr>
          <w:p w14:paraId="1D3B2C2D" w14:textId="77777777" w:rsidR="00E162E0" w:rsidRPr="005B5418" w:rsidRDefault="00E162E0" w:rsidP="003B61E9">
            <w:pPr>
              <w:spacing w:line="240" w:lineRule="auto"/>
              <w:rPr>
                <w:rFonts w:cs="Arial"/>
              </w:rPr>
            </w:pPr>
          </w:p>
        </w:tc>
      </w:tr>
      <w:tr w:rsidR="00E162E0" w:rsidRPr="005B5418" w14:paraId="7FCDAAC0" w14:textId="77777777" w:rsidTr="00E162E0">
        <w:trPr>
          <w:cantSplit/>
          <w:trHeight w:val="2160"/>
        </w:trPr>
        <w:tc>
          <w:tcPr>
            <w:tcW w:w="5400" w:type="dxa"/>
          </w:tcPr>
          <w:p w14:paraId="4B6CC3E4" w14:textId="72E6F8C1"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 xml:space="preserve">Has entity management summarized all appropriate accounting principles and </w:t>
            </w:r>
            <w:r w:rsidR="00170C5D" w:rsidRPr="005B5418">
              <w:rPr>
                <w:rFonts w:cs="Arial"/>
              </w:rPr>
              <w:t>method</w:t>
            </w:r>
            <w:r w:rsidR="009F0205" w:rsidRPr="005B5418">
              <w:rPr>
                <w:rFonts w:cs="Arial"/>
              </w:rPr>
              <w:t>s</w:t>
            </w:r>
            <w:r w:rsidR="00170C5D" w:rsidRPr="005B5418">
              <w:rPr>
                <w:rFonts w:cs="Arial"/>
              </w:rPr>
              <w:t xml:space="preserve"> of applying such principle</w:t>
            </w:r>
            <w:r w:rsidR="001E5CAF" w:rsidRPr="005B5418">
              <w:rPr>
                <w:rFonts w:cs="Arial"/>
              </w:rPr>
              <w:t>s</w:t>
            </w:r>
            <w:r w:rsidRPr="005B5418">
              <w:rPr>
                <w:rFonts w:cs="Arial"/>
              </w:rPr>
              <w:t xml:space="preserve"> to fairly present the entity’s assets, liabilities, </w:t>
            </w:r>
            <w:r w:rsidR="00C36DCA" w:rsidRPr="005B5418">
              <w:rPr>
                <w:rFonts w:cs="Arial"/>
              </w:rPr>
              <w:t xml:space="preserve">revenues, </w:t>
            </w:r>
            <w:r w:rsidRPr="005B5418">
              <w:rPr>
                <w:rFonts w:cs="Arial"/>
              </w:rPr>
              <w:t>net cost of operations, changes in net position</w:t>
            </w:r>
            <w:r w:rsidR="001E5CAF" w:rsidRPr="005B5418">
              <w:rPr>
                <w:rFonts w:cs="Arial"/>
              </w:rPr>
              <w:t>,</w:t>
            </w:r>
            <w:r w:rsidRPr="005B5418">
              <w:rPr>
                <w:rFonts w:cs="Arial"/>
              </w:rPr>
              <w:t xml:space="preserve"> and budgetary resources in the disclosure of significant accounting policies? (A-136, section II.3.8.1)</w:t>
            </w:r>
          </w:p>
        </w:tc>
        <w:tc>
          <w:tcPr>
            <w:tcW w:w="965" w:type="dxa"/>
          </w:tcPr>
          <w:p w14:paraId="26A3EDF4" w14:textId="77777777" w:rsidR="00E162E0" w:rsidRPr="005B5418" w:rsidRDefault="00E162E0" w:rsidP="003B61E9">
            <w:pPr>
              <w:pStyle w:val="Table-Cell-CenterBoldBefore6ptAfter6pt"/>
              <w:rPr>
                <w:rFonts w:cs="Arial"/>
              </w:rPr>
            </w:pPr>
          </w:p>
        </w:tc>
        <w:tc>
          <w:tcPr>
            <w:tcW w:w="3211" w:type="dxa"/>
          </w:tcPr>
          <w:p w14:paraId="79EC783D" w14:textId="77777777" w:rsidR="00E162E0" w:rsidRPr="005B5418" w:rsidRDefault="00E162E0" w:rsidP="003B61E9">
            <w:pPr>
              <w:spacing w:line="240" w:lineRule="auto"/>
              <w:rPr>
                <w:rFonts w:cs="Arial"/>
              </w:rPr>
            </w:pPr>
          </w:p>
        </w:tc>
      </w:tr>
      <w:tr w:rsidR="00E162E0" w:rsidRPr="005B5418" w14:paraId="08D537CE" w14:textId="77777777" w:rsidTr="00721459">
        <w:trPr>
          <w:cantSplit/>
          <w:trHeight w:val="1457"/>
        </w:trPr>
        <w:tc>
          <w:tcPr>
            <w:tcW w:w="5400" w:type="dxa"/>
          </w:tcPr>
          <w:p w14:paraId="101C8BDA" w14:textId="0F377DC7"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Does the disclosure of accounting policies encompass important judgments as to the valuation, recognition, and allocation of assets, liabilities, expenses, revenues</w:t>
            </w:r>
            <w:r w:rsidR="001E5CAF" w:rsidRPr="005B5418">
              <w:rPr>
                <w:rFonts w:cs="Arial"/>
              </w:rPr>
              <w:t>,</w:t>
            </w:r>
            <w:r w:rsidRPr="005B5418">
              <w:rPr>
                <w:rFonts w:cs="Arial"/>
              </w:rPr>
              <w:t xml:space="preserve"> and other financing sources?  </w:t>
            </w:r>
          </w:p>
        </w:tc>
        <w:tc>
          <w:tcPr>
            <w:tcW w:w="965" w:type="dxa"/>
          </w:tcPr>
          <w:p w14:paraId="322DE6AA" w14:textId="77777777" w:rsidR="00E162E0" w:rsidRPr="005B5418" w:rsidRDefault="00E162E0" w:rsidP="003B61E9">
            <w:pPr>
              <w:pStyle w:val="Table-Cell-CenterBoldBefore6ptAfter6pt"/>
              <w:rPr>
                <w:rFonts w:cs="Arial"/>
              </w:rPr>
            </w:pPr>
          </w:p>
        </w:tc>
        <w:tc>
          <w:tcPr>
            <w:tcW w:w="3211" w:type="dxa"/>
          </w:tcPr>
          <w:p w14:paraId="25F6D1A4" w14:textId="77777777" w:rsidR="00E162E0" w:rsidRPr="005B5418" w:rsidRDefault="00E162E0" w:rsidP="003B61E9">
            <w:pPr>
              <w:spacing w:line="240" w:lineRule="auto"/>
              <w:rPr>
                <w:rFonts w:cs="Arial"/>
              </w:rPr>
            </w:pPr>
          </w:p>
        </w:tc>
      </w:tr>
      <w:tr w:rsidR="00E162E0" w:rsidRPr="005B5418" w14:paraId="42826073" w14:textId="77777777" w:rsidTr="00E162E0">
        <w:trPr>
          <w:cantSplit/>
          <w:trHeight w:val="1250"/>
        </w:trPr>
        <w:tc>
          <w:tcPr>
            <w:tcW w:w="5400" w:type="dxa"/>
          </w:tcPr>
          <w:p w14:paraId="76CA884A" w14:textId="7261FDD2" w:rsidR="00E162E0" w:rsidRPr="005B5418" w:rsidRDefault="002F6FAC" w:rsidP="00343610">
            <w:pPr>
              <w:pStyle w:val="FAM-Table-outline"/>
              <w:widowControl/>
              <w:numPr>
                <w:ilvl w:val="0"/>
                <w:numId w:val="12"/>
              </w:numPr>
              <w:adjustRightInd/>
              <w:spacing w:line="240" w:lineRule="auto"/>
              <w:textAlignment w:val="auto"/>
              <w:rPr>
                <w:rFonts w:cs="Arial"/>
              </w:rPr>
            </w:pPr>
            <w:r w:rsidRPr="005B5418">
              <w:rPr>
                <w:rFonts w:cs="Arial"/>
              </w:rPr>
              <w:t xml:space="preserve">Is </w:t>
            </w:r>
            <w:r w:rsidR="00E162E0" w:rsidRPr="005B5418">
              <w:rPr>
                <w:rFonts w:cs="Arial"/>
              </w:rPr>
              <w:t>the disclosure of accounting policies not duplicate</w:t>
            </w:r>
            <w:r w:rsidRPr="005B5418">
              <w:rPr>
                <w:rFonts w:cs="Arial"/>
              </w:rPr>
              <w:t>d</w:t>
            </w:r>
            <w:r w:rsidR="00E162E0" w:rsidRPr="005B5418">
              <w:rPr>
                <w:rFonts w:cs="Arial"/>
              </w:rPr>
              <w:t xml:space="preserve"> in other notes to the financial statements, other than to include more detailed accounting policy in a specific note? (A-136, section II.3.8.1) </w:t>
            </w:r>
          </w:p>
        </w:tc>
        <w:tc>
          <w:tcPr>
            <w:tcW w:w="965" w:type="dxa"/>
          </w:tcPr>
          <w:p w14:paraId="52DB7066" w14:textId="77777777" w:rsidR="00E162E0" w:rsidRPr="005B5418" w:rsidRDefault="00E162E0" w:rsidP="003B61E9">
            <w:pPr>
              <w:pStyle w:val="Table-Cell-CenterBoldBefore6ptAfter6pt"/>
              <w:rPr>
                <w:rFonts w:cs="Arial"/>
              </w:rPr>
            </w:pPr>
          </w:p>
        </w:tc>
        <w:tc>
          <w:tcPr>
            <w:tcW w:w="3211" w:type="dxa"/>
          </w:tcPr>
          <w:p w14:paraId="4773DA16" w14:textId="77777777" w:rsidR="00E162E0" w:rsidRPr="005B5418" w:rsidRDefault="00E162E0" w:rsidP="003B61E9">
            <w:pPr>
              <w:spacing w:line="240" w:lineRule="auto"/>
              <w:rPr>
                <w:rFonts w:cs="Arial"/>
              </w:rPr>
            </w:pPr>
          </w:p>
        </w:tc>
      </w:tr>
      <w:tr w:rsidR="00E162E0" w:rsidRPr="005B5418" w14:paraId="35757607" w14:textId="77777777" w:rsidTr="009A3F7D">
        <w:trPr>
          <w:cantSplit/>
          <w:trHeight w:val="1457"/>
        </w:trPr>
        <w:tc>
          <w:tcPr>
            <w:tcW w:w="5400" w:type="dxa"/>
          </w:tcPr>
          <w:p w14:paraId="1EBAE92E" w14:textId="33111FC8" w:rsidR="00E162E0" w:rsidRPr="005B5418" w:rsidRDefault="00E162E0" w:rsidP="00AE2FC7">
            <w:pPr>
              <w:pStyle w:val="FAM-Table-outline"/>
              <w:widowControl/>
              <w:numPr>
                <w:ilvl w:val="0"/>
                <w:numId w:val="12"/>
              </w:numPr>
              <w:adjustRightInd/>
              <w:spacing w:line="240" w:lineRule="auto"/>
              <w:textAlignment w:val="auto"/>
              <w:rPr>
                <w:rFonts w:cs="Arial"/>
              </w:rPr>
            </w:pPr>
            <w:r w:rsidRPr="005B5418">
              <w:rPr>
                <w:rFonts w:cs="Arial"/>
              </w:rPr>
              <w:lastRenderedPageBreak/>
              <w:t>Does the disclosure describe changes in generally accepted accounting principles affecting the financial statements and</w:t>
            </w:r>
            <w:r w:rsidR="008E3AA5">
              <w:rPr>
                <w:rFonts w:cs="Arial"/>
              </w:rPr>
              <w:t>, if comparative statements are presented,</w:t>
            </w:r>
            <w:r w:rsidR="004C4E16" w:rsidRPr="005B5418">
              <w:rPr>
                <w:rFonts w:cs="Arial"/>
              </w:rPr>
              <w:t xml:space="preserve"> any significant change in presentation</w:t>
            </w:r>
            <w:r w:rsidR="00EB3BD0" w:rsidRPr="005B5418">
              <w:rPr>
                <w:rFonts w:cs="Arial"/>
              </w:rPr>
              <w:t>?</w:t>
            </w:r>
            <w:r w:rsidR="008E3AA5">
              <w:rPr>
                <w:rStyle w:val="FootnoteReference"/>
                <w:rFonts w:cs="Arial"/>
              </w:rPr>
              <w:footnoteReference w:id="73"/>
            </w:r>
            <w:r w:rsidRPr="005B5418">
              <w:rPr>
                <w:rFonts w:cs="Arial"/>
              </w:rPr>
              <w:t xml:space="preserve"> (A-136, section II.3.8.1</w:t>
            </w:r>
            <w:r w:rsidR="008E3AA5">
              <w:rPr>
                <w:rFonts w:cs="Arial"/>
              </w:rPr>
              <w:t xml:space="preserve">; SFFAS 21, para. 13 </w:t>
            </w:r>
            <w:r w:rsidR="00BC2588">
              <w:rPr>
                <w:rFonts w:cs="Arial"/>
              </w:rPr>
              <w:t>(</w:t>
            </w:r>
            <w:r w:rsidR="008E3AA5">
              <w:rPr>
                <w:rFonts w:cs="Arial"/>
              </w:rPr>
              <w:t>c</w:t>
            </w:r>
            <w:r w:rsidR="00BC2588">
              <w:rPr>
                <w:rFonts w:cs="Arial"/>
              </w:rPr>
              <w:t>)</w:t>
            </w:r>
            <w:r w:rsidRPr="005B5418">
              <w:rPr>
                <w:rFonts w:cs="Arial"/>
              </w:rPr>
              <w:t xml:space="preserve">) </w:t>
            </w:r>
          </w:p>
        </w:tc>
        <w:tc>
          <w:tcPr>
            <w:tcW w:w="965" w:type="dxa"/>
          </w:tcPr>
          <w:p w14:paraId="0390558B" w14:textId="77777777" w:rsidR="00E162E0" w:rsidRPr="005B5418" w:rsidRDefault="00E162E0" w:rsidP="003B61E9">
            <w:pPr>
              <w:pStyle w:val="Table-Cell-CenterBoldBefore6ptAfter6pt"/>
              <w:rPr>
                <w:rFonts w:cs="Arial"/>
              </w:rPr>
            </w:pPr>
          </w:p>
        </w:tc>
        <w:tc>
          <w:tcPr>
            <w:tcW w:w="3211" w:type="dxa"/>
          </w:tcPr>
          <w:p w14:paraId="532E6214" w14:textId="77777777" w:rsidR="00E162E0" w:rsidRPr="005B5418" w:rsidRDefault="00E162E0" w:rsidP="003B61E9">
            <w:pPr>
              <w:spacing w:line="240" w:lineRule="auto"/>
              <w:rPr>
                <w:rFonts w:cs="Arial"/>
              </w:rPr>
            </w:pPr>
          </w:p>
        </w:tc>
      </w:tr>
      <w:tr w:rsidR="004C4E16" w:rsidRPr="005B5418" w14:paraId="254D81B5" w14:textId="77777777" w:rsidTr="009A3F7D">
        <w:trPr>
          <w:cantSplit/>
          <w:trHeight w:val="1439"/>
        </w:trPr>
        <w:tc>
          <w:tcPr>
            <w:tcW w:w="5400" w:type="dxa"/>
          </w:tcPr>
          <w:p w14:paraId="7FFD3D23" w14:textId="52E94349" w:rsidR="004C4E16" w:rsidRPr="005B5418" w:rsidRDefault="004C4E16" w:rsidP="00B05CDA">
            <w:pPr>
              <w:pStyle w:val="FAM-Table-outline"/>
              <w:widowControl/>
              <w:numPr>
                <w:ilvl w:val="0"/>
                <w:numId w:val="12"/>
              </w:numPr>
              <w:adjustRightInd/>
              <w:spacing w:line="240" w:lineRule="auto"/>
              <w:textAlignment w:val="auto"/>
              <w:rPr>
                <w:rFonts w:cs="Arial"/>
              </w:rPr>
            </w:pPr>
            <w:r w:rsidRPr="005B5418">
              <w:rPr>
                <w:rFonts w:cs="Arial"/>
              </w:rPr>
              <w:t xml:space="preserve">Does the entity explain </w:t>
            </w:r>
            <w:r w:rsidR="00B05CDA" w:rsidRPr="005B5418">
              <w:rPr>
                <w:rFonts w:cs="Arial"/>
              </w:rPr>
              <w:t xml:space="preserve">concepts </w:t>
            </w:r>
            <w:r w:rsidRPr="005B5418">
              <w:rPr>
                <w:rFonts w:cs="Arial"/>
              </w:rPr>
              <w:t xml:space="preserve">unique </w:t>
            </w:r>
            <w:r w:rsidR="00544F63" w:rsidRPr="005B5418">
              <w:rPr>
                <w:rFonts w:cs="Arial"/>
              </w:rPr>
              <w:t>to federal financial statements</w:t>
            </w:r>
            <w:r w:rsidRPr="005B5418">
              <w:rPr>
                <w:rFonts w:cs="Arial"/>
              </w:rPr>
              <w:t>, such as Fund Balance with Treasury and Funds from Dedicated Collections? (A-136, section II.3.8.1)</w:t>
            </w:r>
          </w:p>
        </w:tc>
        <w:tc>
          <w:tcPr>
            <w:tcW w:w="965" w:type="dxa"/>
          </w:tcPr>
          <w:p w14:paraId="311F5483" w14:textId="77777777" w:rsidR="004C4E16" w:rsidRPr="005B5418" w:rsidRDefault="004C4E16" w:rsidP="003B61E9">
            <w:pPr>
              <w:pStyle w:val="Table-Cell-CenterBoldBefore6ptAfter6pt"/>
              <w:rPr>
                <w:rFonts w:cs="Arial"/>
              </w:rPr>
            </w:pPr>
          </w:p>
        </w:tc>
        <w:tc>
          <w:tcPr>
            <w:tcW w:w="3211" w:type="dxa"/>
          </w:tcPr>
          <w:p w14:paraId="19F9F58A" w14:textId="77777777" w:rsidR="004C4E16" w:rsidRPr="005B5418" w:rsidRDefault="004C4E16" w:rsidP="003B61E9">
            <w:pPr>
              <w:spacing w:line="240" w:lineRule="auto"/>
              <w:rPr>
                <w:rFonts w:cs="Arial"/>
              </w:rPr>
            </w:pPr>
          </w:p>
        </w:tc>
      </w:tr>
      <w:tr w:rsidR="00E162E0" w:rsidRPr="005B5418" w14:paraId="01E7F423" w14:textId="77777777" w:rsidTr="00E162E0">
        <w:trPr>
          <w:cantSplit/>
          <w:trHeight w:val="1358"/>
        </w:trPr>
        <w:tc>
          <w:tcPr>
            <w:tcW w:w="5400" w:type="dxa"/>
          </w:tcPr>
          <w:p w14:paraId="763DBF6F" w14:textId="0CAF8061"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 xml:space="preserve">Are significant changes in the composition of the entity or manner in which the entity aggregates information for financial reporting purposes disclosed? (A-136, section II.3.8.1) </w:t>
            </w:r>
          </w:p>
        </w:tc>
        <w:tc>
          <w:tcPr>
            <w:tcW w:w="965" w:type="dxa"/>
          </w:tcPr>
          <w:p w14:paraId="39E5FDCF" w14:textId="77777777" w:rsidR="00E162E0" w:rsidRPr="005B5418" w:rsidRDefault="00E162E0" w:rsidP="003B61E9">
            <w:pPr>
              <w:pStyle w:val="Table-Cell-CenterBoldBefore6ptAfter6pt"/>
              <w:rPr>
                <w:rFonts w:cs="Arial"/>
              </w:rPr>
            </w:pPr>
          </w:p>
        </w:tc>
        <w:tc>
          <w:tcPr>
            <w:tcW w:w="3211" w:type="dxa"/>
          </w:tcPr>
          <w:p w14:paraId="4746CB09" w14:textId="77777777" w:rsidR="00E162E0" w:rsidRPr="005B5418" w:rsidRDefault="00E162E0" w:rsidP="003B61E9">
            <w:pPr>
              <w:spacing w:line="240" w:lineRule="auto"/>
              <w:rPr>
                <w:rFonts w:cs="Arial"/>
              </w:rPr>
            </w:pPr>
          </w:p>
        </w:tc>
      </w:tr>
      <w:tr w:rsidR="00E162E0" w:rsidRPr="005B5418" w14:paraId="29036AD2" w14:textId="77777777" w:rsidTr="00E162E0">
        <w:trPr>
          <w:cantSplit/>
          <w:trHeight w:val="1610"/>
        </w:trPr>
        <w:tc>
          <w:tcPr>
            <w:tcW w:w="5400" w:type="dxa"/>
          </w:tcPr>
          <w:p w14:paraId="3A8D8A5A" w14:textId="32DC261C"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 xml:space="preserve">Does the entity disclose </w:t>
            </w:r>
            <w:r w:rsidR="00B75915" w:rsidRPr="005B5418">
              <w:rPr>
                <w:rFonts w:cs="Arial"/>
              </w:rPr>
              <w:t xml:space="preserve">(i) </w:t>
            </w:r>
            <w:r w:rsidRPr="005B5418">
              <w:rPr>
                <w:rFonts w:cs="Arial"/>
              </w:rPr>
              <w:t>information concerning fiduciary activities</w:t>
            </w:r>
            <w:r w:rsidRPr="005B5418">
              <w:rPr>
                <w:vertAlign w:val="superscript"/>
              </w:rPr>
              <w:footnoteReference w:id="74"/>
            </w:r>
            <w:r w:rsidRPr="005B5418">
              <w:rPr>
                <w:rFonts w:cs="Arial"/>
              </w:rPr>
              <w:t xml:space="preserve"> and </w:t>
            </w:r>
            <w:r w:rsidR="00B75915" w:rsidRPr="005B5418">
              <w:rPr>
                <w:rFonts w:cs="Arial"/>
              </w:rPr>
              <w:t xml:space="preserve">(ii) that </w:t>
            </w:r>
            <w:r w:rsidRPr="005B5418">
              <w:rPr>
                <w:rFonts w:cs="Arial"/>
              </w:rPr>
              <w:t xml:space="preserve">related fiduciary cash and other assets are not assets of the </w:t>
            </w:r>
            <w:r w:rsidR="001E5CAF" w:rsidRPr="005B5418">
              <w:rPr>
                <w:rFonts w:cs="Arial"/>
              </w:rPr>
              <w:t>f</w:t>
            </w:r>
            <w:r w:rsidRPr="005B5418">
              <w:rPr>
                <w:rFonts w:cs="Arial"/>
              </w:rPr>
              <w:t xml:space="preserve">ederal </w:t>
            </w:r>
            <w:r w:rsidR="001E5CAF" w:rsidRPr="005B5418">
              <w:rPr>
                <w:rFonts w:cs="Arial"/>
              </w:rPr>
              <w:t>g</w:t>
            </w:r>
            <w:r w:rsidRPr="005B5418">
              <w:rPr>
                <w:rFonts w:cs="Arial"/>
              </w:rPr>
              <w:t>overnment? (A-136, section II.3.8.1)</w:t>
            </w:r>
          </w:p>
        </w:tc>
        <w:tc>
          <w:tcPr>
            <w:tcW w:w="965" w:type="dxa"/>
          </w:tcPr>
          <w:p w14:paraId="63017BE8" w14:textId="77777777" w:rsidR="00E162E0" w:rsidRPr="005B5418" w:rsidRDefault="00E162E0" w:rsidP="003B61E9">
            <w:pPr>
              <w:pStyle w:val="Table-Cell-CenterBoldBefore6ptAfter6pt"/>
              <w:rPr>
                <w:rFonts w:cs="Arial"/>
              </w:rPr>
            </w:pPr>
          </w:p>
        </w:tc>
        <w:tc>
          <w:tcPr>
            <w:tcW w:w="3211" w:type="dxa"/>
          </w:tcPr>
          <w:p w14:paraId="4AFB62A0" w14:textId="77777777" w:rsidR="00E162E0" w:rsidRPr="005B5418" w:rsidRDefault="00E162E0" w:rsidP="003B61E9">
            <w:pPr>
              <w:spacing w:line="240" w:lineRule="auto"/>
              <w:rPr>
                <w:rFonts w:cs="Arial"/>
              </w:rPr>
            </w:pPr>
          </w:p>
        </w:tc>
      </w:tr>
      <w:tr w:rsidR="00E162E0" w:rsidRPr="005B5418" w14:paraId="495C37DB" w14:textId="77777777" w:rsidTr="00E162E0">
        <w:trPr>
          <w:cantSplit/>
          <w:trHeight w:val="2160"/>
        </w:trPr>
        <w:tc>
          <w:tcPr>
            <w:tcW w:w="5400" w:type="dxa"/>
          </w:tcPr>
          <w:p w14:paraId="0325B3D7" w14:textId="6064DD85"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If the entity is a “parent” or transferring entity involved in an allocation transfer with another federal entity, does the disclosure include an explanation (no amounts required) that there are amounts reported in the parent entity’s net cost of operations, changes in net position, and budgetary resources that relate to activity performed by another federal entity? (A-136, section II.3.8.1)</w:t>
            </w:r>
          </w:p>
        </w:tc>
        <w:tc>
          <w:tcPr>
            <w:tcW w:w="965" w:type="dxa"/>
          </w:tcPr>
          <w:p w14:paraId="5870DF66" w14:textId="77777777" w:rsidR="00E162E0" w:rsidRPr="005B5418" w:rsidRDefault="00E162E0" w:rsidP="003B61E9">
            <w:pPr>
              <w:pStyle w:val="Table-Cell-CenterBoldBefore6ptAfter6pt"/>
              <w:rPr>
                <w:rFonts w:cs="Arial"/>
              </w:rPr>
            </w:pPr>
          </w:p>
        </w:tc>
        <w:tc>
          <w:tcPr>
            <w:tcW w:w="3211" w:type="dxa"/>
          </w:tcPr>
          <w:p w14:paraId="7D3730E8" w14:textId="77777777" w:rsidR="00E162E0" w:rsidRPr="005B5418" w:rsidRDefault="00E162E0" w:rsidP="003B61E9">
            <w:pPr>
              <w:spacing w:line="240" w:lineRule="auto"/>
              <w:rPr>
                <w:rFonts w:cs="Arial"/>
              </w:rPr>
            </w:pPr>
          </w:p>
        </w:tc>
      </w:tr>
      <w:tr w:rsidR="00E162E0" w:rsidRPr="005B5418" w14:paraId="3584A75B" w14:textId="77777777" w:rsidTr="00E162E0">
        <w:trPr>
          <w:cantSplit/>
          <w:trHeight w:val="2160"/>
        </w:trPr>
        <w:tc>
          <w:tcPr>
            <w:tcW w:w="5400" w:type="dxa"/>
          </w:tcPr>
          <w:p w14:paraId="71D7A4E5" w14:textId="2EFBEC5A"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lastRenderedPageBreak/>
              <w:t>If the entity is a “child” or receiving entity involved in an allocation transfer with another federal entity, does the disclosure include an explanation (no amounts required) that it performed activity reported in the financial statements of the “parent”? (A-136, section II.3.8.1)</w:t>
            </w:r>
          </w:p>
        </w:tc>
        <w:tc>
          <w:tcPr>
            <w:tcW w:w="965" w:type="dxa"/>
          </w:tcPr>
          <w:p w14:paraId="78DDEB4F" w14:textId="77777777" w:rsidR="00E162E0" w:rsidRPr="005B5418" w:rsidRDefault="00E162E0" w:rsidP="003B61E9">
            <w:pPr>
              <w:pStyle w:val="Table-Cell-CenterBoldBefore6ptAfter6pt"/>
              <w:rPr>
                <w:rFonts w:cs="Arial"/>
              </w:rPr>
            </w:pPr>
          </w:p>
        </w:tc>
        <w:tc>
          <w:tcPr>
            <w:tcW w:w="3211" w:type="dxa"/>
          </w:tcPr>
          <w:p w14:paraId="74993B4B" w14:textId="77777777" w:rsidR="00E162E0" w:rsidRPr="005B5418" w:rsidRDefault="00E162E0" w:rsidP="003B61E9">
            <w:pPr>
              <w:spacing w:line="240" w:lineRule="auto"/>
              <w:rPr>
                <w:rFonts w:cs="Arial"/>
              </w:rPr>
            </w:pPr>
          </w:p>
        </w:tc>
      </w:tr>
      <w:tr w:rsidR="00E162E0" w:rsidRPr="005B5418" w14:paraId="037A78C6" w14:textId="77777777" w:rsidTr="00B463BC">
        <w:trPr>
          <w:cantSplit/>
          <w:trHeight w:val="1277"/>
        </w:trPr>
        <w:tc>
          <w:tcPr>
            <w:tcW w:w="5400" w:type="dxa"/>
          </w:tcPr>
          <w:p w14:paraId="3D151252" w14:textId="5ED58FA1"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 xml:space="preserve">Does the disclosure from the “parent” or “child” in an allocation transfer include the names of the other federal entities involved in the allocation transfers? (A-136, section II.3.8.1) </w:t>
            </w:r>
          </w:p>
        </w:tc>
        <w:tc>
          <w:tcPr>
            <w:tcW w:w="965" w:type="dxa"/>
          </w:tcPr>
          <w:p w14:paraId="6C6C9978" w14:textId="77777777" w:rsidR="00E162E0" w:rsidRPr="005B5418" w:rsidRDefault="00E162E0" w:rsidP="003B61E9">
            <w:pPr>
              <w:pStyle w:val="Table-Cell-CenterBoldBefore6ptAfter6pt"/>
              <w:rPr>
                <w:rFonts w:cs="Arial"/>
              </w:rPr>
            </w:pPr>
          </w:p>
        </w:tc>
        <w:tc>
          <w:tcPr>
            <w:tcW w:w="3211" w:type="dxa"/>
          </w:tcPr>
          <w:p w14:paraId="1D488DF4" w14:textId="77777777" w:rsidR="00E162E0" w:rsidRPr="005B5418" w:rsidRDefault="00E162E0" w:rsidP="003B61E9">
            <w:pPr>
              <w:spacing w:line="240" w:lineRule="auto"/>
              <w:rPr>
                <w:rFonts w:cs="Arial"/>
              </w:rPr>
            </w:pPr>
          </w:p>
        </w:tc>
      </w:tr>
      <w:tr w:rsidR="00E162E0" w:rsidRPr="005B5418" w14:paraId="41FABAF0" w14:textId="77777777" w:rsidTr="00E162E0">
        <w:trPr>
          <w:cantSplit/>
          <w:trHeight w:val="2160"/>
        </w:trPr>
        <w:tc>
          <w:tcPr>
            <w:tcW w:w="5400" w:type="dxa"/>
          </w:tcPr>
          <w:p w14:paraId="0C780113" w14:textId="31C745F7"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 xml:space="preserve">If the entity reports liabilities for </w:t>
            </w:r>
            <w:r w:rsidR="001E5CAF" w:rsidRPr="005B5418">
              <w:rPr>
                <w:rFonts w:cs="Arial"/>
              </w:rPr>
              <w:t>f</w:t>
            </w:r>
            <w:r w:rsidRPr="005B5418">
              <w:rPr>
                <w:rFonts w:cs="Arial"/>
              </w:rPr>
              <w:t>ederal employee pensions, ORB, and OPEB, including veterans’ compensation, does the disclosure include its policy regarding consistency in the number of historical rates used to calculate the average historical Treasury rates from one reporting period to the next? (A-136, section II.3.8.1)</w:t>
            </w:r>
          </w:p>
        </w:tc>
        <w:tc>
          <w:tcPr>
            <w:tcW w:w="965" w:type="dxa"/>
          </w:tcPr>
          <w:p w14:paraId="72CDF1C4" w14:textId="77777777" w:rsidR="00E162E0" w:rsidRPr="005B5418" w:rsidRDefault="00E162E0" w:rsidP="003B61E9">
            <w:pPr>
              <w:pStyle w:val="Table-Cell-CenterBoldBefore6ptAfter6pt"/>
              <w:rPr>
                <w:rFonts w:cs="Arial"/>
              </w:rPr>
            </w:pPr>
          </w:p>
        </w:tc>
        <w:tc>
          <w:tcPr>
            <w:tcW w:w="3211" w:type="dxa"/>
          </w:tcPr>
          <w:p w14:paraId="61C0F16D" w14:textId="77777777" w:rsidR="00E162E0" w:rsidRPr="005B5418" w:rsidRDefault="00E162E0" w:rsidP="003B61E9">
            <w:pPr>
              <w:spacing w:line="240" w:lineRule="auto"/>
              <w:rPr>
                <w:rFonts w:cs="Arial"/>
              </w:rPr>
            </w:pPr>
          </w:p>
        </w:tc>
      </w:tr>
      <w:tr w:rsidR="00E162E0" w:rsidRPr="005B5418" w14:paraId="214862C2" w14:textId="77777777" w:rsidTr="00B463BC">
        <w:trPr>
          <w:cantSplit/>
          <w:trHeight w:val="1772"/>
        </w:trPr>
        <w:tc>
          <w:tcPr>
            <w:tcW w:w="5400" w:type="dxa"/>
          </w:tcPr>
          <w:p w14:paraId="4AE268F2" w14:textId="734E8FCC" w:rsidR="00B75915"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If the entity prepared a SOSI, does the disclosure explain that SOSI amounts are estimates based on current conditions</w:t>
            </w:r>
            <w:r w:rsidR="00615B48" w:rsidRPr="005B5418">
              <w:rPr>
                <w:rFonts w:cs="Arial"/>
              </w:rPr>
              <w:t>;</w:t>
            </w:r>
            <w:r w:rsidRPr="005B5418">
              <w:rPr>
                <w:rFonts w:cs="Arial"/>
              </w:rPr>
              <w:t xml:space="preserve"> that such conditions may change in the future</w:t>
            </w:r>
            <w:r w:rsidR="00615B48" w:rsidRPr="005B5418">
              <w:rPr>
                <w:rFonts w:cs="Arial"/>
              </w:rPr>
              <w:t>;</w:t>
            </w:r>
            <w:r w:rsidRPr="005B5418">
              <w:rPr>
                <w:rFonts w:cs="Arial"/>
              </w:rPr>
              <w:t xml:space="preserve"> and that actual cost may vary, sometimes greatly, from estimates? (A-136, section II.3.8.1) </w:t>
            </w:r>
          </w:p>
        </w:tc>
        <w:tc>
          <w:tcPr>
            <w:tcW w:w="965" w:type="dxa"/>
          </w:tcPr>
          <w:p w14:paraId="6AE0EAFF" w14:textId="77777777" w:rsidR="00E162E0" w:rsidRPr="005B5418" w:rsidRDefault="00E162E0" w:rsidP="003B61E9">
            <w:pPr>
              <w:pStyle w:val="Table-Cell-CenterBoldBefore6ptAfter6pt"/>
              <w:rPr>
                <w:rFonts w:cs="Arial"/>
              </w:rPr>
            </w:pPr>
          </w:p>
        </w:tc>
        <w:tc>
          <w:tcPr>
            <w:tcW w:w="3211" w:type="dxa"/>
          </w:tcPr>
          <w:p w14:paraId="51A425BB" w14:textId="77777777" w:rsidR="00E162E0" w:rsidRPr="005B5418" w:rsidRDefault="00E162E0" w:rsidP="003B61E9">
            <w:pPr>
              <w:spacing w:line="240" w:lineRule="auto"/>
              <w:rPr>
                <w:rFonts w:cs="Arial"/>
              </w:rPr>
            </w:pPr>
          </w:p>
        </w:tc>
      </w:tr>
      <w:tr w:rsidR="00476789" w:rsidRPr="005B5418" w14:paraId="276AB2C7" w14:textId="77777777" w:rsidTr="00E74D43">
        <w:trPr>
          <w:cantSplit/>
          <w:trHeight w:val="1160"/>
        </w:trPr>
        <w:tc>
          <w:tcPr>
            <w:tcW w:w="5400" w:type="dxa"/>
          </w:tcPr>
          <w:p w14:paraId="71016E90" w14:textId="150A21E3" w:rsidR="00476789" w:rsidRPr="005B5418" w:rsidRDefault="00476789" w:rsidP="002266E5">
            <w:pPr>
              <w:pStyle w:val="FAM-Table-outline"/>
              <w:widowControl/>
              <w:numPr>
                <w:ilvl w:val="0"/>
                <w:numId w:val="12"/>
              </w:numPr>
              <w:adjustRightInd/>
              <w:spacing w:line="240" w:lineRule="auto"/>
              <w:textAlignment w:val="auto"/>
              <w:rPr>
                <w:rFonts w:cs="Arial"/>
              </w:rPr>
            </w:pPr>
            <w:r w:rsidRPr="005B5418">
              <w:rPr>
                <w:rFonts w:cs="Arial"/>
              </w:rPr>
              <w:t xml:space="preserve">Did the entity disclose the general nature of other imputed costs recognized in </w:t>
            </w:r>
            <w:r w:rsidR="00817668" w:rsidRPr="005B5418">
              <w:rPr>
                <w:rFonts w:cs="Arial"/>
              </w:rPr>
              <w:t xml:space="preserve">its </w:t>
            </w:r>
            <w:r w:rsidRPr="005B5418">
              <w:rPr>
                <w:rFonts w:cs="Arial"/>
              </w:rPr>
              <w:t xml:space="preserve">financial statements? (A-136, </w:t>
            </w:r>
            <w:r w:rsidR="001E5CAF" w:rsidRPr="005B5418">
              <w:rPr>
                <w:rFonts w:cs="Arial"/>
              </w:rPr>
              <w:t xml:space="preserve">section </w:t>
            </w:r>
            <w:r w:rsidRPr="005B5418">
              <w:rPr>
                <w:rFonts w:cs="Arial"/>
              </w:rPr>
              <w:t>II.3.8.</w:t>
            </w:r>
            <w:r w:rsidR="002266E5" w:rsidRPr="005B5418">
              <w:rPr>
                <w:rFonts w:cs="Arial"/>
              </w:rPr>
              <w:t>24</w:t>
            </w:r>
            <w:r w:rsidRPr="005B5418">
              <w:rPr>
                <w:rFonts w:cs="Arial"/>
              </w:rPr>
              <w:t>)</w:t>
            </w:r>
          </w:p>
        </w:tc>
        <w:tc>
          <w:tcPr>
            <w:tcW w:w="965" w:type="dxa"/>
          </w:tcPr>
          <w:p w14:paraId="5EFB6C18" w14:textId="77777777" w:rsidR="00476789" w:rsidRPr="005B5418" w:rsidRDefault="00476789" w:rsidP="003B61E9">
            <w:pPr>
              <w:pStyle w:val="Table-Cell-CenterBoldBefore6ptAfter6pt"/>
              <w:rPr>
                <w:rFonts w:cs="Arial"/>
              </w:rPr>
            </w:pPr>
          </w:p>
        </w:tc>
        <w:tc>
          <w:tcPr>
            <w:tcW w:w="3211" w:type="dxa"/>
          </w:tcPr>
          <w:p w14:paraId="6E6EB034" w14:textId="77777777" w:rsidR="00476789" w:rsidRPr="005B5418" w:rsidRDefault="00476789" w:rsidP="003B61E9">
            <w:pPr>
              <w:spacing w:line="240" w:lineRule="auto"/>
              <w:rPr>
                <w:rFonts w:cs="Arial"/>
              </w:rPr>
            </w:pPr>
          </w:p>
        </w:tc>
      </w:tr>
      <w:tr w:rsidR="00E162E0" w:rsidRPr="005B5418" w14:paraId="32BB7C72" w14:textId="77777777" w:rsidTr="00E162E0">
        <w:trPr>
          <w:cantSplit/>
          <w:trHeight w:val="1961"/>
        </w:trPr>
        <w:tc>
          <w:tcPr>
            <w:tcW w:w="5400" w:type="dxa"/>
          </w:tcPr>
          <w:p w14:paraId="435947BF" w14:textId="0F3B132C" w:rsidR="0016341D" w:rsidRPr="005B5418" w:rsidRDefault="00C53162" w:rsidP="00343610">
            <w:pPr>
              <w:pStyle w:val="FAM-Table-outline"/>
              <w:widowControl/>
              <w:numPr>
                <w:ilvl w:val="0"/>
                <w:numId w:val="12"/>
              </w:numPr>
              <w:adjustRightInd/>
              <w:spacing w:line="240" w:lineRule="auto"/>
              <w:textAlignment w:val="auto"/>
              <w:rPr>
                <w:rFonts w:cs="Arial"/>
              </w:rPr>
            </w:pPr>
            <w:r w:rsidRPr="005B5418">
              <w:rPr>
                <w:rFonts w:cs="Arial"/>
              </w:rPr>
              <w:lastRenderedPageBreak/>
              <w:t>D</w:t>
            </w:r>
            <w:r w:rsidR="00E162E0" w:rsidRPr="005B5418">
              <w:rPr>
                <w:rFonts w:cs="Arial"/>
              </w:rPr>
              <w:t xml:space="preserve">oes the reporting entity disclose that certain goods and services that are received from other federal entities </w:t>
            </w:r>
            <w:r w:rsidR="003A43A9" w:rsidRPr="005B5418">
              <w:rPr>
                <w:rFonts w:cs="Arial"/>
              </w:rPr>
              <w:t xml:space="preserve">are recognized </w:t>
            </w:r>
            <w:r w:rsidR="00E162E0" w:rsidRPr="005B5418">
              <w:rPr>
                <w:rFonts w:cs="Arial"/>
              </w:rPr>
              <w:t>at no cost or at a cost less than the full cost</w:t>
            </w:r>
            <w:r w:rsidR="00AE0A72" w:rsidRPr="005B5418">
              <w:rPr>
                <w:rFonts w:cs="Arial"/>
              </w:rPr>
              <w:t>?</w:t>
            </w:r>
            <w:r w:rsidR="00E162E0" w:rsidRPr="005B5418">
              <w:rPr>
                <w:rFonts w:cs="Arial"/>
              </w:rPr>
              <w:t xml:space="preserve"> (SFFAS 4, par</w:t>
            </w:r>
            <w:r w:rsidR="00233381" w:rsidRPr="005B5418">
              <w:rPr>
                <w:rFonts w:cs="Arial"/>
              </w:rPr>
              <w:t>a</w:t>
            </w:r>
            <w:r w:rsidR="00E162E0" w:rsidRPr="005B5418">
              <w:rPr>
                <w:rFonts w:cs="Arial"/>
              </w:rPr>
              <w:t>. 113A)</w:t>
            </w:r>
            <w:r w:rsidR="0016341D" w:rsidRPr="005B5418">
              <w:rPr>
                <w:rFonts w:cs="Arial"/>
              </w:rPr>
              <w:t xml:space="preserve"> The following is an illustrative example </w:t>
            </w:r>
            <w:r w:rsidR="00233381" w:rsidRPr="005B5418">
              <w:rPr>
                <w:rFonts w:cs="Arial"/>
              </w:rPr>
              <w:t xml:space="preserve">that </w:t>
            </w:r>
            <w:r w:rsidR="0016341D" w:rsidRPr="005B5418">
              <w:rPr>
                <w:rFonts w:cs="Arial"/>
              </w:rPr>
              <w:t>should be tailored as needed:</w:t>
            </w:r>
          </w:p>
          <w:p w14:paraId="532240DA" w14:textId="77777777" w:rsidR="0016341D" w:rsidRPr="005B5418" w:rsidRDefault="0016341D" w:rsidP="007B5405">
            <w:pPr>
              <w:pStyle w:val="FAM-Table-outline"/>
              <w:numPr>
                <w:ilvl w:val="0"/>
                <w:numId w:val="0"/>
              </w:numPr>
              <w:spacing w:line="240" w:lineRule="auto"/>
              <w:ind w:left="576"/>
              <w:rPr>
                <w:rFonts w:cs="Arial"/>
              </w:rPr>
            </w:pPr>
          </w:p>
          <w:p w14:paraId="641EDC8F" w14:textId="7A290CE4" w:rsidR="0016341D" w:rsidRPr="005B5418" w:rsidRDefault="0016341D" w:rsidP="00E72C29">
            <w:pPr>
              <w:pStyle w:val="FAM-Table-outline"/>
              <w:widowControl/>
              <w:numPr>
                <w:ilvl w:val="0"/>
                <w:numId w:val="0"/>
              </w:numPr>
              <w:adjustRightInd/>
              <w:spacing w:line="240" w:lineRule="auto"/>
              <w:ind w:left="666"/>
              <w:textAlignment w:val="auto"/>
              <w:rPr>
                <w:rFonts w:cs="Arial"/>
              </w:rPr>
            </w:pPr>
            <w:r w:rsidRPr="005B5418">
              <w:rPr>
                <w:rFonts w:cs="Arial"/>
              </w:rPr>
              <w:t>Goods and services are received from other federal entities at no cost or at a cost less than the full cost to the providing federal entity. Consistent with accounting standards, certain costs of the providing entity that are not fully reimbursed [by the component reporting entity] are recognized as imputed cost [in the Statement of Net Cost] and are offset by imputed revenue [in the Statement of Changes in Net Position]. Such imputed costs and revenues relate to business-type activities (if applicable), employee benefits, and claims to be settled by the Treasury Judgment Fund. However, unreimbursed costs of goods and services other than those identified above are not included in our financial statements</w:t>
            </w:r>
            <w:r w:rsidR="001B6AAB" w:rsidRPr="005B5418">
              <w:rPr>
                <w:rFonts w:cs="Arial"/>
              </w:rPr>
              <w:t>.</w:t>
            </w:r>
            <w:r w:rsidRPr="005B5418">
              <w:rPr>
                <w:rFonts w:cs="Arial"/>
              </w:rPr>
              <w:t xml:space="preserve"> (SFFAS 4, par</w:t>
            </w:r>
            <w:r w:rsidR="00233381" w:rsidRPr="005B5418">
              <w:rPr>
                <w:rFonts w:cs="Arial"/>
              </w:rPr>
              <w:t>a</w:t>
            </w:r>
            <w:r w:rsidRPr="005B5418">
              <w:rPr>
                <w:rFonts w:cs="Arial"/>
              </w:rPr>
              <w:t>. 113A)</w:t>
            </w:r>
          </w:p>
        </w:tc>
        <w:tc>
          <w:tcPr>
            <w:tcW w:w="965" w:type="dxa"/>
          </w:tcPr>
          <w:p w14:paraId="0F005356" w14:textId="77777777" w:rsidR="00E162E0" w:rsidRPr="005B5418" w:rsidRDefault="00E162E0" w:rsidP="003B61E9">
            <w:pPr>
              <w:pStyle w:val="Table-Cell-CenterBoldBefore6ptAfter6pt"/>
              <w:rPr>
                <w:rFonts w:cs="Arial"/>
              </w:rPr>
            </w:pPr>
          </w:p>
        </w:tc>
        <w:tc>
          <w:tcPr>
            <w:tcW w:w="3211" w:type="dxa"/>
          </w:tcPr>
          <w:p w14:paraId="1A89C79C" w14:textId="77777777" w:rsidR="00E162E0" w:rsidRPr="005B5418" w:rsidRDefault="00E162E0" w:rsidP="003B61E9">
            <w:pPr>
              <w:spacing w:line="240" w:lineRule="auto"/>
              <w:rPr>
                <w:rFonts w:cs="Arial"/>
              </w:rPr>
            </w:pPr>
          </w:p>
        </w:tc>
      </w:tr>
      <w:tr w:rsidR="00E162E0" w:rsidRPr="005B5418" w14:paraId="54B723C0" w14:textId="77777777" w:rsidTr="00E162E0">
        <w:trPr>
          <w:cantSplit/>
          <w:trHeight w:val="1961"/>
        </w:trPr>
        <w:tc>
          <w:tcPr>
            <w:tcW w:w="5400" w:type="dxa"/>
          </w:tcPr>
          <w:p w14:paraId="5DA1F3E9" w14:textId="7243CFC5"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Does the reporting entity include the following in the summary of significant accounting policies</w:t>
            </w:r>
            <w:r w:rsidR="002B74D2" w:rsidRPr="005B5418">
              <w:rPr>
                <w:rFonts w:cs="Arial"/>
              </w:rPr>
              <w:t>?</w:t>
            </w:r>
          </w:p>
          <w:p w14:paraId="29170AF6" w14:textId="4F9AA351" w:rsidR="00E162E0" w:rsidRPr="005B5418" w:rsidRDefault="00E162E0" w:rsidP="00E72C29">
            <w:pPr>
              <w:pStyle w:val="FAM-Table-outline"/>
              <w:widowControl/>
              <w:numPr>
                <w:ilvl w:val="0"/>
                <w:numId w:val="0"/>
              </w:numPr>
              <w:adjustRightInd/>
              <w:spacing w:line="240" w:lineRule="auto"/>
              <w:ind w:left="666"/>
              <w:textAlignment w:val="auto"/>
              <w:rPr>
                <w:rFonts w:cs="Arial"/>
              </w:rPr>
            </w:pPr>
            <w:r w:rsidRPr="005B5418">
              <w:rPr>
                <w:rFonts w:cs="Arial"/>
              </w:rPr>
              <w:t>“Accounting standards require all reporting entities to disclose that accounting standards allow certain presentations and disclosures to be modified, if needed, to prevent the disclosure of classified information</w:t>
            </w:r>
            <w:r w:rsidR="002B74D2" w:rsidRPr="005B5418">
              <w:rPr>
                <w:rFonts w:cs="Arial"/>
              </w:rPr>
              <w:t>.</w:t>
            </w:r>
            <w:r w:rsidRPr="005B5418">
              <w:rPr>
                <w:rFonts w:cs="Arial"/>
              </w:rPr>
              <w:t>”</w:t>
            </w:r>
            <w:r w:rsidR="00A94167" w:rsidRPr="005B5418">
              <w:rPr>
                <w:rFonts w:cs="Arial"/>
              </w:rPr>
              <w:t xml:space="preserve"> </w:t>
            </w:r>
            <w:r w:rsidRPr="005B5418">
              <w:rPr>
                <w:rFonts w:cs="Arial"/>
              </w:rPr>
              <w:t>(SFFAS 56, par</w:t>
            </w:r>
            <w:r w:rsidR="002B74D2" w:rsidRPr="005B5418">
              <w:rPr>
                <w:rFonts w:cs="Arial"/>
              </w:rPr>
              <w:t>a</w:t>
            </w:r>
            <w:r w:rsidRPr="005B5418">
              <w:rPr>
                <w:rFonts w:cs="Arial"/>
              </w:rPr>
              <w:t>. 12; A-136, section II.3.8.1)</w:t>
            </w:r>
          </w:p>
        </w:tc>
        <w:tc>
          <w:tcPr>
            <w:tcW w:w="965" w:type="dxa"/>
          </w:tcPr>
          <w:p w14:paraId="740C469F" w14:textId="77777777" w:rsidR="00E162E0" w:rsidRPr="005B5418" w:rsidRDefault="00E162E0" w:rsidP="003B61E9">
            <w:pPr>
              <w:pStyle w:val="Table-Cell-CenterBoldBefore6ptAfter6pt"/>
              <w:rPr>
                <w:rFonts w:cs="Arial"/>
              </w:rPr>
            </w:pPr>
          </w:p>
        </w:tc>
        <w:tc>
          <w:tcPr>
            <w:tcW w:w="3211" w:type="dxa"/>
          </w:tcPr>
          <w:p w14:paraId="15FE3800" w14:textId="77777777" w:rsidR="00E162E0" w:rsidRPr="005B5418" w:rsidRDefault="00E162E0" w:rsidP="003B61E9">
            <w:pPr>
              <w:spacing w:line="240" w:lineRule="auto"/>
              <w:rPr>
                <w:rFonts w:cs="Arial"/>
              </w:rPr>
            </w:pPr>
          </w:p>
        </w:tc>
      </w:tr>
      <w:tr w:rsidR="00E162E0" w:rsidRPr="005B5418" w14:paraId="6F3356DA" w14:textId="77777777" w:rsidTr="00B463BC">
        <w:trPr>
          <w:cantSplit/>
          <w:trHeight w:val="1637"/>
        </w:trPr>
        <w:tc>
          <w:tcPr>
            <w:tcW w:w="5400" w:type="dxa"/>
          </w:tcPr>
          <w:p w14:paraId="10E36F18" w14:textId="34CD0D91" w:rsidR="00E162E0" w:rsidRPr="005B5418" w:rsidRDefault="00E162E0" w:rsidP="00343610">
            <w:pPr>
              <w:pStyle w:val="FAM-Table-outline"/>
              <w:widowControl/>
              <w:numPr>
                <w:ilvl w:val="0"/>
                <w:numId w:val="12"/>
              </w:numPr>
              <w:adjustRightInd/>
              <w:spacing w:line="240" w:lineRule="auto"/>
              <w:textAlignment w:val="auto"/>
              <w:rPr>
                <w:rFonts w:cs="Arial"/>
              </w:rPr>
            </w:pPr>
            <w:r w:rsidRPr="005B5418">
              <w:rPr>
                <w:rFonts w:cs="Arial"/>
              </w:rPr>
              <w:t xml:space="preserve">Reporting entities </w:t>
            </w:r>
            <w:r w:rsidR="00D62D2B" w:rsidRPr="005B5418">
              <w:rPr>
                <w:rFonts w:cs="Arial"/>
              </w:rPr>
              <w:t>must</w:t>
            </w:r>
            <w:r w:rsidRPr="005B5418">
              <w:rPr>
                <w:rFonts w:cs="Arial"/>
              </w:rPr>
              <w:t xml:space="preserve"> not disclose application of SFFAS 56, including any interpretations of the </w:t>
            </w:r>
            <w:r w:rsidR="001E5CAF" w:rsidRPr="005B5418">
              <w:rPr>
                <w:rFonts w:cs="Arial"/>
              </w:rPr>
              <w:t>s</w:t>
            </w:r>
            <w:r w:rsidRPr="005B5418">
              <w:rPr>
                <w:rFonts w:cs="Arial"/>
              </w:rPr>
              <w:t>tatement. Did the reporting entity comply with this requirement? (SFFAS 56, par</w:t>
            </w:r>
            <w:r w:rsidR="002B74D2" w:rsidRPr="005B5418">
              <w:rPr>
                <w:rFonts w:cs="Arial"/>
              </w:rPr>
              <w:t>a</w:t>
            </w:r>
            <w:r w:rsidRPr="005B5418">
              <w:rPr>
                <w:rFonts w:cs="Arial"/>
              </w:rPr>
              <w:t>. 12, A-136, section II.3.8.1)</w:t>
            </w:r>
          </w:p>
        </w:tc>
        <w:tc>
          <w:tcPr>
            <w:tcW w:w="965" w:type="dxa"/>
          </w:tcPr>
          <w:p w14:paraId="0029A63E" w14:textId="77777777" w:rsidR="00E162E0" w:rsidRPr="005B5418" w:rsidRDefault="00E162E0" w:rsidP="003B61E9">
            <w:pPr>
              <w:pStyle w:val="Table-Cell-CenterBoldBefore6ptAfter6pt"/>
              <w:rPr>
                <w:rFonts w:cs="Arial"/>
              </w:rPr>
            </w:pPr>
          </w:p>
        </w:tc>
        <w:tc>
          <w:tcPr>
            <w:tcW w:w="3211" w:type="dxa"/>
          </w:tcPr>
          <w:p w14:paraId="58DB46AE" w14:textId="77777777" w:rsidR="00E162E0" w:rsidRPr="005B5418" w:rsidRDefault="00E162E0" w:rsidP="003B61E9">
            <w:pPr>
              <w:spacing w:line="240" w:lineRule="auto"/>
              <w:rPr>
                <w:rFonts w:cs="Arial"/>
              </w:rPr>
            </w:pPr>
          </w:p>
        </w:tc>
      </w:tr>
    </w:tbl>
    <w:p w14:paraId="1F97E906" w14:textId="77777777" w:rsidR="00A831F7" w:rsidRPr="005B5418" w:rsidRDefault="00E162E0" w:rsidP="003B61E9">
      <w:pPr>
        <w:spacing w:line="240" w:lineRule="auto"/>
        <w:rPr>
          <w:rFonts w:eastAsia="Arial Unicode MS" w:cs="Arial"/>
        </w:rPr>
      </w:pPr>
      <w:r w:rsidRPr="005B5418">
        <w:rPr>
          <w:rFonts w:eastAsia="Arial Unicode M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A831F7" w:rsidRPr="005B5418" w14:paraId="5F765088" w14:textId="77777777" w:rsidTr="00B463BC">
        <w:tc>
          <w:tcPr>
            <w:tcW w:w="5400" w:type="dxa"/>
          </w:tcPr>
          <w:p w14:paraId="21D36086" w14:textId="4B1BE175" w:rsidR="00A831F7" w:rsidRPr="005B5418" w:rsidRDefault="00A831F7" w:rsidP="008848DA">
            <w:pPr>
              <w:pStyle w:val="Heading4"/>
              <w:spacing w:before="60" w:after="60" w:line="240" w:lineRule="auto"/>
              <w:jc w:val="left"/>
              <w:rPr>
                <w:b/>
                <w:i/>
                <w:u w:val="none"/>
              </w:rPr>
            </w:pPr>
            <w:bookmarkStart w:id="97" w:name="_II.3.8.2_Non-entity_Assets"/>
            <w:bookmarkStart w:id="98" w:name="_Ref8063091"/>
            <w:bookmarkEnd w:id="97"/>
            <w:r w:rsidRPr="005B5418">
              <w:rPr>
                <w:b/>
                <w:u w:val="none"/>
              </w:rPr>
              <w:lastRenderedPageBreak/>
              <w:t>II.3.8.2 Non-</w:t>
            </w:r>
            <w:r w:rsidR="0003014C" w:rsidRPr="005B5418">
              <w:rPr>
                <w:b/>
                <w:u w:val="none"/>
              </w:rPr>
              <w:t xml:space="preserve">Entity </w:t>
            </w:r>
            <w:r w:rsidRPr="005B5418">
              <w:rPr>
                <w:b/>
                <w:u w:val="none"/>
              </w:rPr>
              <w:t>Assets</w:t>
            </w:r>
            <w:bookmarkEnd w:id="98"/>
            <w:r w:rsidRPr="005B5418">
              <w:rPr>
                <w:b/>
                <w:u w:val="none"/>
              </w:rPr>
              <w:t xml:space="preserve"> </w:t>
            </w:r>
          </w:p>
        </w:tc>
        <w:tc>
          <w:tcPr>
            <w:tcW w:w="965" w:type="dxa"/>
          </w:tcPr>
          <w:p w14:paraId="452ACA3F" w14:textId="77777777" w:rsidR="00A831F7" w:rsidRPr="005B5418" w:rsidRDefault="00A831F7" w:rsidP="008848DA">
            <w:pPr>
              <w:pStyle w:val="TableCellCenter"/>
              <w:spacing w:before="60" w:after="60"/>
              <w:jc w:val="left"/>
            </w:pPr>
            <w:r w:rsidRPr="005B5418">
              <w:t>Yes, No, or N/A</w:t>
            </w:r>
          </w:p>
        </w:tc>
        <w:tc>
          <w:tcPr>
            <w:tcW w:w="3211" w:type="dxa"/>
          </w:tcPr>
          <w:p w14:paraId="159DBD5D" w14:textId="43581BA8" w:rsidR="00A831F7" w:rsidRPr="005B5418" w:rsidRDefault="00A831F7" w:rsidP="008848DA">
            <w:pPr>
              <w:pStyle w:val="TableCellCenter"/>
              <w:spacing w:before="60" w:after="60"/>
              <w:jc w:val="left"/>
            </w:pPr>
            <w:r w:rsidRPr="005B5418">
              <w:t xml:space="preserve">Explanation </w:t>
            </w:r>
            <w:r w:rsidR="00F06558" w:rsidRPr="005B5418">
              <w:t xml:space="preserve">and </w:t>
            </w:r>
            <w:r w:rsidRPr="005B5418">
              <w:t>Reference</w:t>
            </w:r>
          </w:p>
        </w:tc>
      </w:tr>
      <w:tr w:rsidR="00A831F7" w:rsidRPr="005B5418" w14:paraId="62AE783F" w14:textId="77777777" w:rsidTr="00113F40">
        <w:trPr>
          <w:cantSplit/>
        </w:trPr>
        <w:tc>
          <w:tcPr>
            <w:tcW w:w="9576" w:type="dxa"/>
            <w:gridSpan w:val="3"/>
          </w:tcPr>
          <w:p w14:paraId="58FC50A4" w14:textId="0BD90A7B" w:rsidR="00A831F7" w:rsidRPr="005B5418" w:rsidRDefault="00A831F7" w:rsidP="008848DA">
            <w:pPr>
              <w:pStyle w:val="Table-Note"/>
              <w:spacing w:before="60" w:after="60" w:line="240" w:lineRule="auto"/>
              <w:ind w:left="-23"/>
              <w:jc w:val="left"/>
              <w:rPr>
                <w:rFonts w:cs="Arial"/>
                <w:i w:val="0"/>
                <w:sz w:val="22"/>
                <w:szCs w:val="22"/>
              </w:rPr>
            </w:pPr>
            <w:r w:rsidRPr="005B5418">
              <w:rPr>
                <w:rFonts w:cs="Arial"/>
                <w:i w:val="0"/>
                <w:sz w:val="22"/>
                <w:szCs w:val="22"/>
              </w:rPr>
              <w:t xml:space="preserve">Non-entity assets are assets held by an entity that are not available to the entity (e.g., income tax receivables, which the Internal Revenue Service collects for the U.S. </w:t>
            </w:r>
            <w:r w:rsidR="00643402" w:rsidRPr="005B5418">
              <w:rPr>
                <w:rFonts w:cs="Arial"/>
                <w:i w:val="0"/>
                <w:sz w:val="22"/>
                <w:szCs w:val="22"/>
              </w:rPr>
              <w:t xml:space="preserve">government </w:t>
            </w:r>
            <w:r w:rsidRPr="005B5418">
              <w:rPr>
                <w:rFonts w:cs="Arial"/>
                <w:i w:val="0"/>
                <w:sz w:val="22"/>
                <w:szCs w:val="22"/>
              </w:rPr>
              <w:t>but has no authority to spend). (</w:t>
            </w:r>
            <w:r w:rsidR="00B6687A" w:rsidRPr="005B5418">
              <w:rPr>
                <w:rFonts w:cs="Arial"/>
                <w:i w:val="0"/>
                <w:sz w:val="22"/>
                <w:szCs w:val="22"/>
              </w:rPr>
              <w:t>SFFAS 1, par</w:t>
            </w:r>
            <w:r w:rsidR="00795D18" w:rsidRPr="005B5418">
              <w:rPr>
                <w:rFonts w:cs="Arial"/>
                <w:i w:val="0"/>
                <w:sz w:val="22"/>
                <w:szCs w:val="22"/>
              </w:rPr>
              <w:t>as</w:t>
            </w:r>
            <w:r w:rsidR="00B6687A" w:rsidRPr="005B5418">
              <w:rPr>
                <w:rFonts w:cs="Arial"/>
                <w:i w:val="0"/>
                <w:sz w:val="22"/>
                <w:szCs w:val="22"/>
              </w:rPr>
              <w:t>. 28</w:t>
            </w:r>
            <w:r w:rsidR="00795D18" w:rsidRPr="005B5418">
              <w:rPr>
                <w:rFonts w:cs="Arial"/>
                <w:i w:val="0"/>
                <w:sz w:val="22"/>
                <w:szCs w:val="22"/>
              </w:rPr>
              <w:t>–</w:t>
            </w:r>
            <w:r w:rsidR="00B6687A" w:rsidRPr="005B5418">
              <w:rPr>
                <w:rFonts w:cs="Arial"/>
                <w:i w:val="0"/>
                <w:sz w:val="22"/>
                <w:szCs w:val="22"/>
              </w:rPr>
              <w:t xml:space="preserve">29, </w:t>
            </w:r>
            <w:r w:rsidRPr="005B5418">
              <w:rPr>
                <w:rFonts w:cs="Arial"/>
                <w:i w:val="0"/>
                <w:sz w:val="22"/>
                <w:szCs w:val="22"/>
              </w:rPr>
              <w:t>A-136, section II.3.2.3)</w:t>
            </w:r>
          </w:p>
        </w:tc>
      </w:tr>
      <w:tr w:rsidR="00F12FD8" w:rsidRPr="005B5418" w14:paraId="06C4B399" w14:textId="77777777" w:rsidTr="00DC08FB">
        <w:trPr>
          <w:cantSplit/>
          <w:trHeight w:val="1367"/>
        </w:trPr>
        <w:tc>
          <w:tcPr>
            <w:tcW w:w="5400" w:type="dxa"/>
          </w:tcPr>
          <w:p w14:paraId="5A47EC77" w14:textId="537F7DD4" w:rsidR="00F12FD8" w:rsidRPr="005B5418" w:rsidRDefault="00F12FD8" w:rsidP="00825C76">
            <w:pPr>
              <w:pStyle w:val="FAM-Table-outline"/>
              <w:widowControl/>
              <w:numPr>
                <w:ilvl w:val="0"/>
                <w:numId w:val="62"/>
              </w:numPr>
              <w:adjustRightInd/>
              <w:spacing w:line="240" w:lineRule="auto"/>
              <w:textAlignment w:val="auto"/>
              <w:rPr>
                <w:rFonts w:cs="Arial"/>
              </w:rPr>
            </w:pPr>
            <w:r w:rsidRPr="005B5418">
              <w:rPr>
                <w:rFonts w:cs="Arial"/>
              </w:rPr>
              <w:t>Is this topic applicable to the entity’s financial statements? (Answer Y if applicable, N/A if not applicable, or N/S if not significant. If N/A or N/S, skip to the next topic.</w:t>
            </w:r>
            <w:r w:rsidR="00DB0197" w:rsidRPr="005B5418">
              <w:rPr>
                <w:rFonts w:cs="Arial"/>
              </w:rPr>
              <w:t>)</w:t>
            </w:r>
          </w:p>
        </w:tc>
        <w:tc>
          <w:tcPr>
            <w:tcW w:w="965" w:type="dxa"/>
          </w:tcPr>
          <w:p w14:paraId="14477A6F" w14:textId="77777777" w:rsidR="00F12FD8" w:rsidRPr="005B5418" w:rsidRDefault="00F12FD8" w:rsidP="008848DA">
            <w:pPr>
              <w:pStyle w:val="Table-Cell-CenterBoldBefore6ptAfter6pt"/>
              <w:spacing w:before="60" w:after="60"/>
              <w:rPr>
                <w:rFonts w:cs="Arial"/>
              </w:rPr>
            </w:pPr>
          </w:p>
        </w:tc>
        <w:tc>
          <w:tcPr>
            <w:tcW w:w="3211" w:type="dxa"/>
          </w:tcPr>
          <w:p w14:paraId="1530A8B4" w14:textId="77777777" w:rsidR="00F12FD8" w:rsidRPr="005B5418" w:rsidRDefault="00F12FD8" w:rsidP="008848DA">
            <w:pPr>
              <w:spacing w:before="60" w:after="60" w:line="240" w:lineRule="auto"/>
              <w:rPr>
                <w:rFonts w:cs="Arial"/>
              </w:rPr>
            </w:pPr>
          </w:p>
        </w:tc>
      </w:tr>
      <w:tr w:rsidR="005B4AB8" w:rsidRPr="005B5418" w14:paraId="54C36D09" w14:textId="77777777" w:rsidTr="003C542E">
        <w:trPr>
          <w:trHeight w:val="494"/>
        </w:trPr>
        <w:tc>
          <w:tcPr>
            <w:tcW w:w="9576" w:type="dxa"/>
            <w:gridSpan w:val="3"/>
          </w:tcPr>
          <w:p w14:paraId="432A9C85" w14:textId="77777777" w:rsidR="005B4AB8" w:rsidRPr="005B5418" w:rsidRDefault="005B4AB8" w:rsidP="008848DA">
            <w:pPr>
              <w:spacing w:before="60" w:after="60" w:line="240" w:lineRule="auto"/>
              <w:rPr>
                <w:rFonts w:ascii="Arial" w:hAnsi="Arial" w:cs="Arial"/>
                <w:b/>
              </w:rPr>
            </w:pPr>
            <w:r w:rsidRPr="005B5418">
              <w:rPr>
                <w:rFonts w:ascii="Arial" w:hAnsi="Arial" w:cs="Arial"/>
                <w:b/>
              </w:rPr>
              <w:t>Disclosure</w:t>
            </w:r>
          </w:p>
        </w:tc>
      </w:tr>
      <w:tr w:rsidR="00A831F7" w:rsidRPr="005B5418" w14:paraId="5AF24F4C" w14:textId="77777777" w:rsidTr="00113F40">
        <w:trPr>
          <w:cantSplit/>
          <w:trHeight w:val="1043"/>
        </w:trPr>
        <w:tc>
          <w:tcPr>
            <w:tcW w:w="5400" w:type="dxa"/>
          </w:tcPr>
          <w:p w14:paraId="683AE07D" w14:textId="34DDC7D6" w:rsidR="00A831F7" w:rsidRPr="005B5418" w:rsidRDefault="00A831F7" w:rsidP="00825C76">
            <w:pPr>
              <w:pStyle w:val="FAM-Table-outline"/>
              <w:widowControl/>
              <w:numPr>
                <w:ilvl w:val="0"/>
                <w:numId w:val="62"/>
              </w:numPr>
              <w:adjustRightInd/>
              <w:spacing w:line="240" w:lineRule="auto"/>
              <w:textAlignment w:val="auto"/>
              <w:rPr>
                <w:rFonts w:cs="Arial"/>
              </w:rPr>
            </w:pPr>
            <w:r w:rsidRPr="005B5418">
              <w:rPr>
                <w:rFonts w:cs="Arial"/>
              </w:rPr>
              <w:t>Are the amounts and types of non-entity assets disclosed in a note to the financial statements? (A-136, section II.3.2.3)</w:t>
            </w:r>
          </w:p>
        </w:tc>
        <w:tc>
          <w:tcPr>
            <w:tcW w:w="965" w:type="dxa"/>
          </w:tcPr>
          <w:p w14:paraId="35C2FCAB" w14:textId="77777777" w:rsidR="00A831F7" w:rsidRPr="005B5418" w:rsidRDefault="00A831F7" w:rsidP="008848DA">
            <w:pPr>
              <w:pStyle w:val="Table-Cell-CenterBoldBefore6ptAfter6pt"/>
              <w:spacing w:before="60" w:after="60"/>
              <w:rPr>
                <w:rFonts w:cs="Arial"/>
              </w:rPr>
            </w:pPr>
          </w:p>
        </w:tc>
        <w:tc>
          <w:tcPr>
            <w:tcW w:w="3211" w:type="dxa"/>
          </w:tcPr>
          <w:p w14:paraId="1463FD1F" w14:textId="77777777" w:rsidR="00A831F7" w:rsidRPr="005B5418" w:rsidRDefault="00A831F7" w:rsidP="008848DA">
            <w:pPr>
              <w:pStyle w:val="Table-Cell-Left"/>
              <w:spacing w:before="60" w:after="60" w:line="240" w:lineRule="auto"/>
              <w:rPr>
                <w:rFonts w:cs="Arial"/>
              </w:rPr>
            </w:pPr>
          </w:p>
        </w:tc>
      </w:tr>
      <w:tr w:rsidR="00A831F7" w:rsidRPr="005B5418" w14:paraId="56674AC9" w14:textId="77777777" w:rsidTr="00113F40">
        <w:trPr>
          <w:cantSplit/>
          <w:trHeight w:val="1340"/>
        </w:trPr>
        <w:tc>
          <w:tcPr>
            <w:tcW w:w="5400" w:type="dxa"/>
          </w:tcPr>
          <w:p w14:paraId="1CD909ED" w14:textId="0E0BF21E" w:rsidR="00A831F7" w:rsidRPr="005B5418" w:rsidRDefault="00A831F7" w:rsidP="00825C76">
            <w:pPr>
              <w:pStyle w:val="FAM-Table-outline"/>
              <w:widowControl/>
              <w:numPr>
                <w:ilvl w:val="0"/>
                <w:numId w:val="62"/>
              </w:numPr>
              <w:adjustRightInd/>
              <w:spacing w:line="240" w:lineRule="auto"/>
              <w:textAlignment w:val="auto"/>
              <w:rPr>
                <w:rFonts w:cs="Arial"/>
              </w:rPr>
            </w:pPr>
            <w:r w:rsidRPr="005B5418">
              <w:rPr>
                <w:rFonts w:cs="Arial"/>
              </w:rPr>
              <w:t xml:space="preserve">Are intragovernmental non-entity assets </w:t>
            </w:r>
            <w:r w:rsidR="00B6687A" w:rsidRPr="005B5418">
              <w:rPr>
                <w:rFonts w:cs="Arial"/>
              </w:rPr>
              <w:t xml:space="preserve">disclosed </w:t>
            </w:r>
            <w:r w:rsidRPr="005B5418">
              <w:rPr>
                <w:rFonts w:cs="Arial"/>
              </w:rPr>
              <w:t>separate</w:t>
            </w:r>
            <w:r w:rsidR="00B6687A" w:rsidRPr="005B5418">
              <w:rPr>
                <w:rFonts w:cs="Arial"/>
              </w:rPr>
              <w:t>ly</w:t>
            </w:r>
            <w:r w:rsidRPr="005B5418">
              <w:rPr>
                <w:rFonts w:cs="Arial"/>
              </w:rPr>
              <w:t xml:space="preserve"> from other non-entity assets in a note to the financial statements? (A-136, section II.3.8.2)</w:t>
            </w:r>
          </w:p>
        </w:tc>
        <w:tc>
          <w:tcPr>
            <w:tcW w:w="965" w:type="dxa"/>
          </w:tcPr>
          <w:p w14:paraId="4D5E917A" w14:textId="77777777" w:rsidR="00A831F7" w:rsidRPr="005B5418" w:rsidRDefault="00A831F7" w:rsidP="008848DA">
            <w:pPr>
              <w:pStyle w:val="Table-Cell-CenterBoldBefore6ptAfter6pt"/>
              <w:spacing w:before="60" w:after="60"/>
              <w:rPr>
                <w:rFonts w:cs="Arial"/>
              </w:rPr>
            </w:pPr>
          </w:p>
        </w:tc>
        <w:tc>
          <w:tcPr>
            <w:tcW w:w="3211" w:type="dxa"/>
          </w:tcPr>
          <w:p w14:paraId="3FFFE0FE" w14:textId="77777777" w:rsidR="00A831F7" w:rsidRPr="005B5418" w:rsidRDefault="00A831F7" w:rsidP="008848DA">
            <w:pPr>
              <w:pStyle w:val="Table-Cell-Left"/>
              <w:spacing w:before="60" w:after="60" w:line="240" w:lineRule="auto"/>
              <w:rPr>
                <w:rFonts w:cs="Arial"/>
              </w:rPr>
            </w:pPr>
          </w:p>
        </w:tc>
      </w:tr>
      <w:tr w:rsidR="00A831F7" w:rsidRPr="005B5418" w14:paraId="7F410DB1" w14:textId="77777777" w:rsidTr="00113F40">
        <w:trPr>
          <w:cantSplit/>
          <w:trHeight w:val="1160"/>
        </w:trPr>
        <w:tc>
          <w:tcPr>
            <w:tcW w:w="5400" w:type="dxa"/>
          </w:tcPr>
          <w:p w14:paraId="53ACEB0B" w14:textId="7928A5F2" w:rsidR="00A831F7" w:rsidRPr="005B5418" w:rsidRDefault="00A831F7" w:rsidP="00825C76">
            <w:pPr>
              <w:pStyle w:val="FAM-Table-outline"/>
              <w:widowControl/>
              <w:numPr>
                <w:ilvl w:val="0"/>
                <w:numId w:val="62"/>
              </w:numPr>
              <w:adjustRightInd/>
              <w:spacing w:line="240" w:lineRule="auto"/>
              <w:textAlignment w:val="auto"/>
              <w:rPr>
                <w:rFonts w:cs="Arial"/>
              </w:rPr>
            </w:pPr>
            <w:r w:rsidRPr="005B5418">
              <w:rPr>
                <w:rFonts w:cs="Arial"/>
              </w:rPr>
              <w:t xml:space="preserve">Is sufficient information to understand the nature of non-entity assets </w:t>
            </w:r>
            <w:r w:rsidR="005F4D38" w:rsidRPr="005B5418">
              <w:rPr>
                <w:rFonts w:cs="Arial"/>
              </w:rPr>
              <w:t xml:space="preserve">provided </w:t>
            </w:r>
            <w:r w:rsidRPr="005B5418">
              <w:rPr>
                <w:rFonts w:cs="Arial"/>
              </w:rPr>
              <w:t>in a note? (A-136, section II.3.8.2)</w:t>
            </w:r>
          </w:p>
        </w:tc>
        <w:tc>
          <w:tcPr>
            <w:tcW w:w="965" w:type="dxa"/>
          </w:tcPr>
          <w:p w14:paraId="2BC1DFA9" w14:textId="77777777" w:rsidR="00A831F7" w:rsidRPr="005B5418" w:rsidRDefault="00A831F7" w:rsidP="008848DA">
            <w:pPr>
              <w:pStyle w:val="Table-Cell-CenterBoldBefore6ptAfter6pt"/>
              <w:spacing w:before="60" w:after="60"/>
              <w:rPr>
                <w:rFonts w:cs="Arial"/>
              </w:rPr>
            </w:pPr>
          </w:p>
        </w:tc>
        <w:tc>
          <w:tcPr>
            <w:tcW w:w="3211" w:type="dxa"/>
          </w:tcPr>
          <w:p w14:paraId="47AE27FE" w14:textId="77777777" w:rsidR="00A831F7" w:rsidRPr="005B5418" w:rsidRDefault="00A831F7" w:rsidP="008848DA">
            <w:pPr>
              <w:pStyle w:val="Table-Cell-Left"/>
              <w:spacing w:before="60" w:after="60" w:line="240" w:lineRule="auto"/>
              <w:rPr>
                <w:rFonts w:cs="Arial"/>
              </w:rPr>
            </w:pPr>
          </w:p>
        </w:tc>
      </w:tr>
      <w:tr w:rsidR="00A831F7" w:rsidRPr="005B5418" w14:paraId="7C2B36AD" w14:textId="77777777" w:rsidTr="00113F40">
        <w:trPr>
          <w:cantSplit/>
          <w:trHeight w:val="1439"/>
        </w:trPr>
        <w:tc>
          <w:tcPr>
            <w:tcW w:w="5400" w:type="dxa"/>
          </w:tcPr>
          <w:p w14:paraId="7DB73802" w14:textId="1F5CB1FD" w:rsidR="00A831F7" w:rsidRPr="005B5418" w:rsidDel="00A06DD1" w:rsidRDefault="00A831F7" w:rsidP="00825C76">
            <w:pPr>
              <w:pStyle w:val="FAM-Table-outline"/>
              <w:widowControl/>
              <w:numPr>
                <w:ilvl w:val="0"/>
                <w:numId w:val="62"/>
              </w:numPr>
              <w:adjustRightInd/>
              <w:spacing w:line="240" w:lineRule="auto"/>
              <w:textAlignment w:val="auto"/>
              <w:rPr>
                <w:rFonts w:cs="Arial"/>
              </w:rPr>
            </w:pPr>
            <w:r w:rsidRPr="005B5418">
              <w:rPr>
                <w:rFonts w:cs="Arial"/>
              </w:rPr>
              <w:t xml:space="preserve">Are non-fiduciary deposit funds that are held by the </w:t>
            </w:r>
            <w:r w:rsidR="00E03529" w:rsidRPr="005B5418">
              <w:rPr>
                <w:rFonts w:cs="Arial"/>
              </w:rPr>
              <w:t xml:space="preserve">U.S. </w:t>
            </w:r>
            <w:r w:rsidR="00643402" w:rsidRPr="005B5418">
              <w:rPr>
                <w:rFonts w:cs="Arial"/>
              </w:rPr>
              <w:t xml:space="preserve">government </w:t>
            </w:r>
            <w:r w:rsidRPr="005B5418">
              <w:rPr>
                <w:rFonts w:cs="Arial"/>
              </w:rPr>
              <w:t>on behalf of non-</w:t>
            </w:r>
            <w:r w:rsidR="005F4D38" w:rsidRPr="005B5418">
              <w:rPr>
                <w:rFonts w:cs="Arial"/>
              </w:rPr>
              <w:t>f</w:t>
            </w:r>
            <w:r w:rsidRPr="005B5418">
              <w:rPr>
                <w:rFonts w:cs="Arial"/>
              </w:rPr>
              <w:t xml:space="preserve">ederal entities or individuals classified as non-entity assets in </w:t>
            </w:r>
            <w:r w:rsidR="00C2289E" w:rsidRPr="005B5418">
              <w:rPr>
                <w:rFonts w:cs="Arial"/>
              </w:rPr>
              <w:t xml:space="preserve">the Non-entity Assets </w:t>
            </w:r>
            <w:r w:rsidR="00ED0A84" w:rsidRPr="005B5418">
              <w:rPr>
                <w:rFonts w:cs="Arial"/>
              </w:rPr>
              <w:t>note</w:t>
            </w:r>
            <w:r w:rsidRPr="005B5418">
              <w:rPr>
                <w:rFonts w:cs="Arial"/>
              </w:rPr>
              <w:t>? (A-136, section II.3.2.3)</w:t>
            </w:r>
          </w:p>
        </w:tc>
        <w:tc>
          <w:tcPr>
            <w:tcW w:w="965" w:type="dxa"/>
          </w:tcPr>
          <w:p w14:paraId="78EC968A" w14:textId="77777777" w:rsidR="00A831F7" w:rsidRPr="005B5418" w:rsidRDefault="00A831F7" w:rsidP="008848DA">
            <w:pPr>
              <w:pStyle w:val="Table-Cell-CenterBoldBefore6ptAfter6pt"/>
              <w:spacing w:before="60" w:after="60"/>
              <w:rPr>
                <w:rFonts w:cs="Arial"/>
              </w:rPr>
            </w:pPr>
          </w:p>
        </w:tc>
        <w:tc>
          <w:tcPr>
            <w:tcW w:w="3211" w:type="dxa"/>
          </w:tcPr>
          <w:p w14:paraId="2758290A" w14:textId="77777777" w:rsidR="00A831F7" w:rsidRPr="005B5418" w:rsidRDefault="00A831F7" w:rsidP="008848DA">
            <w:pPr>
              <w:pStyle w:val="Table-Cell-Left"/>
              <w:spacing w:before="60" w:after="60" w:line="240" w:lineRule="auto"/>
              <w:rPr>
                <w:rFonts w:cs="Arial"/>
              </w:rPr>
            </w:pPr>
          </w:p>
        </w:tc>
      </w:tr>
    </w:tbl>
    <w:p w14:paraId="20DD8715" w14:textId="77777777" w:rsidR="00A831F7" w:rsidRPr="005B5418" w:rsidRDefault="00A831F7" w:rsidP="003B61E9">
      <w:pPr>
        <w:spacing w:line="240" w:lineRule="auto"/>
        <w:rPr>
          <w:rFonts w:eastAsia="Arial Unicode MS" w:cs="Arial"/>
        </w:rPr>
      </w:pPr>
      <w:r w:rsidRPr="005B5418">
        <w:rPr>
          <w:rFonts w:eastAsia="Arial Unicode MS" w:cs="Arial"/>
        </w:rPr>
        <w:br w:type="page"/>
      </w:r>
    </w:p>
    <w:tbl>
      <w:tblPr>
        <w:tblW w:w="96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5"/>
        <w:gridCol w:w="968"/>
        <w:gridCol w:w="3196"/>
      </w:tblGrid>
      <w:tr w:rsidR="00F45069" w:rsidRPr="005B5418" w14:paraId="5F96D8E6" w14:textId="77777777" w:rsidTr="005C61FF">
        <w:trPr>
          <w:cantSplit/>
          <w:trHeight w:val="962"/>
          <w:tblHeader/>
        </w:trPr>
        <w:tc>
          <w:tcPr>
            <w:tcW w:w="5525" w:type="dxa"/>
          </w:tcPr>
          <w:p w14:paraId="6D93EA65" w14:textId="77777777" w:rsidR="00F45069" w:rsidRPr="005B5418" w:rsidRDefault="00F12FD8" w:rsidP="008848DA">
            <w:pPr>
              <w:pStyle w:val="Heading4"/>
              <w:keepLines w:val="0"/>
              <w:spacing w:before="60" w:after="60" w:line="240" w:lineRule="auto"/>
              <w:jc w:val="left"/>
              <w:rPr>
                <w:rFonts w:eastAsia="Arial Unicode MS"/>
                <w:szCs w:val="24"/>
              </w:rPr>
            </w:pPr>
            <w:bookmarkStart w:id="99" w:name="_Fund_Balance_with"/>
            <w:bookmarkStart w:id="100" w:name="_IV.1.1_Fund_Balance"/>
            <w:bookmarkStart w:id="101" w:name="_II.3.8.3_Fund_Balance"/>
            <w:bookmarkStart w:id="102" w:name="_Ref8724477"/>
            <w:bookmarkStart w:id="103" w:name="_Toc72727002"/>
            <w:bookmarkStart w:id="104" w:name="_Toc72727511"/>
            <w:bookmarkStart w:id="105" w:name="_Ref384710588"/>
            <w:bookmarkEnd w:id="29"/>
            <w:bookmarkEnd w:id="30"/>
            <w:bookmarkEnd w:id="31"/>
            <w:bookmarkEnd w:id="32"/>
            <w:bookmarkEnd w:id="99"/>
            <w:bookmarkEnd w:id="100"/>
            <w:bookmarkEnd w:id="101"/>
            <w:r w:rsidRPr="005B5418">
              <w:rPr>
                <w:rFonts w:eastAsia="Arial Unicode MS"/>
                <w:b/>
                <w:szCs w:val="24"/>
                <w:u w:val="none"/>
              </w:rPr>
              <w:lastRenderedPageBreak/>
              <w:t>I</w:t>
            </w:r>
            <w:r w:rsidR="00646551" w:rsidRPr="005B5418">
              <w:rPr>
                <w:rFonts w:eastAsia="Arial Unicode MS"/>
                <w:b/>
                <w:szCs w:val="24"/>
                <w:u w:val="none"/>
              </w:rPr>
              <w:t>I</w:t>
            </w:r>
            <w:r w:rsidR="00742C3D" w:rsidRPr="005B5418">
              <w:rPr>
                <w:rFonts w:eastAsia="Arial Unicode MS"/>
                <w:b/>
                <w:szCs w:val="24"/>
                <w:u w:val="none"/>
              </w:rPr>
              <w:t>.</w:t>
            </w:r>
            <w:r w:rsidR="00646551" w:rsidRPr="005B5418">
              <w:rPr>
                <w:rFonts w:eastAsia="Arial Unicode MS"/>
                <w:b/>
                <w:szCs w:val="24"/>
                <w:u w:val="none"/>
              </w:rPr>
              <w:t>3</w:t>
            </w:r>
            <w:r w:rsidRPr="005B5418">
              <w:rPr>
                <w:rFonts w:eastAsia="Arial Unicode MS"/>
                <w:b/>
                <w:szCs w:val="24"/>
                <w:u w:val="none"/>
              </w:rPr>
              <w:t>.8.3</w:t>
            </w:r>
            <w:r w:rsidR="00742C3D" w:rsidRPr="005B5418">
              <w:rPr>
                <w:rFonts w:eastAsia="Arial Unicode MS"/>
                <w:b/>
                <w:szCs w:val="24"/>
                <w:u w:val="none"/>
              </w:rPr>
              <w:t xml:space="preserve"> </w:t>
            </w:r>
            <w:r w:rsidR="00F45069" w:rsidRPr="005B5418">
              <w:rPr>
                <w:rFonts w:eastAsia="Arial Unicode MS"/>
                <w:b/>
                <w:szCs w:val="24"/>
                <w:u w:val="none"/>
              </w:rPr>
              <w:t>Fund Balance with Treasury</w:t>
            </w:r>
            <w:bookmarkEnd w:id="102"/>
            <w:r w:rsidR="00F45069" w:rsidRPr="005B5418">
              <w:rPr>
                <w:rFonts w:eastAsia="Arial Unicode MS"/>
                <w:b/>
                <w:szCs w:val="24"/>
                <w:u w:val="none"/>
              </w:rPr>
              <w:t xml:space="preserve"> </w:t>
            </w:r>
            <w:bookmarkEnd w:id="103"/>
            <w:bookmarkEnd w:id="104"/>
            <w:bookmarkEnd w:id="105"/>
          </w:p>
        </w:tc>
        <w:tc>
          <w:tcPr>
            <w:tcW w:w="968" w:type="dxa"/>
          </w:tcPr>
          <w:p w14:paraId="5E94269E" w14:textId="77777777" w:rsidR="00F45069" w:rsidRPr="005B5418" w:rsidRDefault="00F45069" w:rsidP="00B463BC">
            <w:pPr>
              <w:pStyle w:val="Table-Head-Center"/>
              <w:spacing w:line="240" w:lineRule="auto"/>
              <w:jc w:val="left"/>
              <w:rPr>
                <w:rFonts w:eastAsia="Arial Unicode MS" w:cs="Arial"/>
                <w:sz w:val="22"/>
                <w:szCs w:val="22"/>
              </w:rPr>
            </w:pPr>
            <w:r w:rsidRPr="005B5418">
              <w:rPr>
                <w:rFonts w:eastAsia="Arial Unicode MS" w:cs="Arial"/>
                <w:sz w:val="22"/>
                <w:szCs w:val="22"/>
              </w:rPr>
              <w:t>Yes, No, or N/A</w:t>
            </w:r>
          </w:p>
        </w:tc>
        <w:tc>
          <w:tcPr>
            <w:tcW w:w="3196" w:type="dxa"/>
          </w:tcPr>
          <w:p w14:paraId="749A5409" w14:textId="31B0BDE2" w:rsidR="00F45069" w:rsidRPr="005B5418" w:rsidRDefault="00F45069" w:rsidP="00901BC7">
            <w:pPr>
              <w:pStyle w:val="Table-Head-Center"/>
              <w:spacing w:line="240" w:lineRule="auto"/>
              <w:jc w:val="left"/>
              <w:rPr>
                <w:rFonts w:eastAsia="Arial Unicode MS" w:cs="Arial"/>
                <w:sz w:val="22"/>
                <w:szCs w:val="22"/>
              </w:rPr>
            </w:pPr>
            <w:r w:rsidRPr="005B5418">
              <w:rPr>
                <w:rFonts w:eastAsia="Arial Unicode MS" w:cs="Arial"/>
                <w:sz w:val="22"/>
                <w:szCs w:val="22"/>
              </w:rPr>
              <w:t xml:space="preserve">Explanation </w:t>
            </w:r>
            <w:r w:rsidR="00901BC7" w:rsidRPr="005B5418">
              <w:rPr>
                <w:rFonts w:eastAsia="Arial Unicode MS" w:cs="Arial"/>
                <w:sz w:val="22"/>
                <w:szCs w:val="22"/>
              </w:rPr>
              <w:t xml:space="preserve">and </w:t>
            </w:r>
            <w:r w:rsidRPr="005B5418">
              <w:rPr>
                <w:rFonts w:eastAsia="Arial Unicode MS" w:cs="Arial"/>
                <w:sz w:val="22"/>
                <w:szCs w:val="22"/>
              </w:rPr>
              <w:t>Reference</w:t>
            </w:r>
          </w:p>
        </w:tc>
      </w:tr>
      <w:tr w:rsidR="0032120F" w:rsidRPr="005B5418" w14:paraId="13801C62" w14:textId="77777777" w:rsidTr="005C61FF">
        <w:trPr>
          <w:cantSplit/>
        </w:trPr>
        <w:tc>
          <w:tcPr>
            <w:tcW w:w="9689" w:type="dxa"/>
            <w:gridSpan w:val="3"/>
            <w:tcBorders>
              <w:bottom w:val="nil"/>
            </w:tcBorders>
          </w:tcPr>
          <w:p w14:paraId="18504A4B" w14:textId="25BFA892" w:rsidR="00182CA8" w:rsidRPr="005B5418" w:rsidRDefault="00182CA8" w:rsidP="008848DA">
            <w:pPr>
              <w:pStyle w:val="Table-Head-Center"/>
              <w:spacing w:before="60" w:after="60" w:line="240" w:lineRule="auto"/>
              <w:jc w:val="left"/>
              <w:rPr>
                <w:rFonts w:eastAsia="Arial Unicode MS" w:cs="Arial"/>
                <w:b w:val="0"/>
                <w:sz w:val="22"/>
                <w:szCs w:val="22"/>
              </w:rPr>
            </w:pPr>
            <w:r w:rsidRPr="005B5418">
              <w:rPr>
                <w:rFonts w:eastAsia="Arial Unicode MS" w:cs="Arial"/>
                <w:b w:val="0"/>
                <w:sz w:val="22"/>
                <w:szCs w:val="22"/>
              </w:rPr>
              <w:t xml:space="preserve">A federal entity's FBWT is the aggregate amount of funds in the entity's accounts with Treasury for which the entity is authorized to make expenditures and pay liabilities. FBWT includes clearing account balances and the dollar equivalent of foreign currency account balances. FBWT is an intragovernmental item, except for fiduciary and other non-federal non-entity </w:t>
            </w:r>
            <w:r w:rsidR="00507A4C" w:rsidRPr="005B5418">
              <w:rPr>
                <w:rFonts w:eastAsia="Arial Unicode MS" w:cs="Arial"/>
                <w:b w:val="0"/>
                <w:sz w:val="22"/>
                <w:szCs w:val="22"/>
              </w:rPr>
              <w:t>FBWT</w:t>
            </w:r>
            <w:r w:rsidRPr="005B5418">
              <w:rPr>
                <w:rFonts w:eastAsia="Arial Unicode MS" w:cs="Arial"/>
                <w:b w:val="0"/>
                <w:sz w:val="22"/>
                <w:szCs w:val="22"/>
              </w:rPr>
              <w:t xml:space="preserve">. </w:t>
            </w:r>
            <w:r w:rsidRPr="005B5418">
              <w:rPr>
                <w:rFonts w:cs="Arial"/>
                <w:b w:val="0"/>
                <w:sz w:val="22"/>
                <w:szCs w:val="22"/>
              </w:rPr>
              <w:t xml:space="preserve">From the reporting entity's perspective, FBWT is an (intragovernmental) asset (although it is an intragovernmental liability to Treasury). From the perspective of the federal government as a whole, FBWT is neither an asset nor a liability and is eliminated in the federal consolidated financial statements. FBWT represents a commitment to make resources available to federal departments, agencies, programs, and other entities. </w:t>
            </w:r>
            <w:r w:rsidRPr="005B5418">
              <w:rPr>
                <w:rFonts w:eastAsia="Arial Unicode MS" w:cs="Arial"/>
                <w:b w:val="0"/>
                <w:sz w:val="22"/>
                <w:szCs w:val="22"/>
              </w:rPr>
              <w:t>In contrast, fiduciary and other non-federal non-entity FBWT is not intragovernmental and represents a liability of the appropriate Treasury component, and of the federal government as a whole, to the non-federal beneficiaries.</w:t>
            </w:r>
            <w:r w:rsidR="005D5379" w:rsidRPr="005B5418">
              <w:rPr>
                <w:rFonts w:eastAsia="Arial Unicode MS" w:cs="Arial"/>
                <w:b w:val="0"/>
                <w:sz w:val="22"/>
                <w:szCs w:val="22"/>
              </w:rPr>
              <w:t xml:space="preserve"> </w:t>
            </w:r>
            <w:r w:rsidRPr="005B5418">
              <w:rPr>
                <w:rFonts w:eastAsia="Arial Unicode MS" w:cs="Arial"/>
                <w:b w:val="0"/>
                <w:sz w:val="22"/>
                <w:szCs w:val="22"/>
              </w:rPr>
              <w:t>(SFFAS 1, par</w:t>
            </w:r>
            <w:r w:rsidR="00AE6095" w:rsidRPr="005B5418">
              <w:rPr>
                <w:rFonts w:eastAsia="Arial Unicode MS" w:cs="Arial"/>
                <w:b w:val="0"/>
                <w:sz w:val="22"/>
                <w:szCs w:val="22"/>
              </w:rPr>
              <w:t>as</w:t>
            </w:r>
            <w:r w:rsidRPr="005B5418">
              <w:rPr>
                <w:rFonts w:eastAsia="Arial Unicode MS" w:cs="Arial"/>
                <w:b w:val="0"/>
                <w:sz w:val="22"/>
                <w:szCs w:val="22"/>
              </w:rPr>
              <w:t>. 31</w:t>
            </w:r>
            <w:r w:rsidR="00AE6095" w:rsidRPr="005B5418">
              <w:rPr>
                <w:rFonts w:eastAsia="Arial Unicode MS" w:cs="Arial"/>
                <w:b w:val="0"/>
                <w:sz w:val="22"/>
                <w:szCs w:val="22"/>
              </w:rPr>
              <w:t>–</w:t>
            </w:r>
            <w:r w:rsidRPr="005B5418">
              <w:rPr>
                <w:rFonts w:eastAsia="Arial Unicode MS" w:cs="Arial"/>
                <w:b w:val="0"/>
                <w:sz w:val="22"/>
                <w:szCs w:val="22"/>
              </w:rPr>
              <w:t>32)</w:t>
            </w:r>
          </w:p>
          <w:p w14:paraId="5B3ECE60" w14:textId="3F30D925" w:rsidR="0032120F" w:rsidRPr="005B5418" w:rsidRDefault="000B6098" w:rsidP="008848DA">
            <w:pPr>
              <w:pStyle w:val="Heading4"/>
              <w:spacing w:before="60" w:after="60" w:line="240" w:lineRule="auto"/>
              <w:jc w:val="left"/>
              <w:rPr>
                <w:rFonts w:eastAsia="Arial Unicode MS"/>
                <w:sz w:val="22"/>
                <w:szCs w:val="22"/>
                <w:u w:val="none"/>
              </w:rPr>
            </w:pPr>
            <w:r w:rsidRPr="005B5418">
              <w:rPr>
                <w:sz w:val="22"/>
                <w:szCs w:val="22"/>
                <w:u w:val="none"/>
              </w:rPr>
              <w:t>N</w:t>
            </w:r>
            <w:r w:rsidR="00182CA8" w:rsidRPr="005B5418">
              <w:rPr>
                <w:sz w:val="22"/>
                <w:szCs w:val="22"/>
                <w:u w:val="none"/>
              </w:rPr>
              <w:t>on-fiduciary deposit funds should be reported as “intragovernmental.” Examples of “intragovernmental” non-fiduciary deposit funds include deposit funds that are used to hold unpaid payroll withholdings, unearned revenues, and certain collections that may or may not be distributed to non-federal parties depending on the results of research or legal or agency judgment. (A-136, section II.3.</w:t>
            </w:r>
            <w:r w:rsidR="00370C61" w:rsidRPr="005B5418">
              <w:rPr>
                <w:sz w:val="22"/>
                <w:szCs w:val="22"/>
                <w:u w:val="none"/>
              </w:rPr>
              <w:t>2</w:t>
            </w:r>
            <w:r w:rsidR="00182CA8" w:rsidRPr="005B5418">
              <w:rPr>
                <w:sz w:val="22"/>
                <w:szCs w:val="22"/>
                <w:u w:val="none"/>
              </w:rPr>
              <w:t>.3)</w:t>
            </w:r>
          </w:p>
        </w:tc>
      </w:tr>
      <w:tr w:rsidR="00FB39AB" w:rsidRPr="005B5418" w14:paraId="44D7BDB3" w14:textId="77777777" w:rsidTr="005C61FF">
        <w:trPr>
          <w:cantSplit/>
        </w:trPr>
        <w:tc>
          <w:tcPr>
            <w:tcW w:w="5525" w:type="dxa"/>
          </w:tcPr>
          <w:p w14:paraId="34CD9778" w14:textId="7EBF214C" w:rsidR="00FB39AB" w:rsidRPr="005B5418" w:rsidRDefault="00FB39AB" w:rsidP="00343610">
            <w:pPr>
              <w:pStyle w:val="FAM-Table-outline"/>
              <w:numPr>
                <w:ilvl w:val="0"/>
                <w:numId w:val="5"/>
              </w:numPr>
              <w:spacing w:line="240" w:lineRule="auto"/>
              <w:rPr>
                <w:rFonts w:eastAsia="Arial Unicode MS" w:cs="Arial"/>
                <w:szCs w:val="22"/>
              </w:rPr>
            </w:pPr>
            <w:r w:rsidRPr="005B5418">
              <w:rPr>
                <w:rFonts w:eastAsia="Arial Unicode MS" w:cs="Arial"/>
                <w:szCs w:val="22"/>
              </w:rPr>
              <w:t xml:space="preserve">Is this </w:t>
            </w:r>
            <w:r w:rsidR="005B4AB8" w:rsidRPr="005B5418">
              <w:rPr>
                <w:rFonts w:eastAsia="Arial Unicode MS" w:cs="Arial"/>
                <w:szCs w:val="22"/>
              </w:rPr>
              <w:t>topic</w:t>
            </w:r>
            <w:r w:rsidRPr="005B5418">
              <w:rPr>
                <w:rFonts w:eastAsia="Arial Unicode MS" w:cs="Arial"/>
                <w:szCs w:val="22"/>
              </w:rPr>
              <w:t xml:space="preserve"> applicable to the entity’s financial statements? </w:t>
            </w:r>
            <w:r w:rsidR="006D760D" w:rsidRPr="005B5418">
              <w:rPr>
                <w:rFonts w:eastAsia="Arial Unicode MS" w:cs="Arial"/>
                <w:szCs w:val="22"/>
              </w:rPr>
              <w:t xml:space="preserve">(Answer Y if applicable, </w:t>
            </w:r>
            <w:r w:rsidRPr="005B5418">
              <w:rPr>
                <w:rFonts w:eastAsia="Arial Unicode MS" w:cs="Arial"/>
                <w:szCs w:val="22"/>
              </w:rPr>
              <w:t>N/A</w:t>
            </w:r>
            <w:r w:rsidR="006D760D" w:rsidRPr="005B5418">
              <w:rPr>
                <w:rFonts w:eastAsia="Arial Unicode MS" w:cs="Arial"/>
                <w:szCs w:val="22"/>
              </w:rPr>
              <w:t xml:space="preserve"> if not applicable, or N/S if not significant. If N/A or N/S, skip to the next </w:t>
            </w:r>
            <w:r w:rsidR="00131000" w:rsidRPr="005B5418">
              <w:rPr>
                <w:rFonts w:eastAsia="Arial Unicode MS" w:cs="Arial"/>
                <w:szCs w:val="22"/>
              </w:rPr>
              <w:t>topic</w:t>
            </w:r>
            <w:r w:rsidR="00507A4C" w:rsidRPr="005B5418">
              <w:rPr>
                <w:rFonts w:eastAsia="Arial Unicode MS" w:cs="Arial"/>
                <w:szCs w:val="22"/>
              </w:rPr>
              <w:t>.</w:t>
            </w:r>
            <w:r w:rsidR="006D760D" w:rsidRPr="005B5418">
              <w:rPr>
                <w:rFonts w:eastAsia="Arial Unicode MS" w:cs="Arial"/>
                <w:szCs w:val="22"/>
              </w:rPr>
              <w:t>)</w:t>
            </w:r>
          </w:p>
        </w:tc>
        <w:tc>
          <w:tcPr>
            <w:tcW w:w="968" w:type="dxa"/>
          </w:tcPr>
          <w:p w14:paraId="4E38B574" w14:textId="77777777" w:rsidR="00FB39AB" w:rsidRPr="005B5418" w:rsidRDefault="00FB39AB" w:rsidP="003B61E9">
            <w:pPr>
              <w:pStyle w:val="Table-Cell-Left"/>
              <w:spacing w:before="120" w:after="120" w:line="240" w:lineRule="auto"/>
              <w:rPr>
                <w:rFonts w:eastAsia="Arial Unicode MS" w:cs="Arial"/>
                <w:sz w:val="22"/>
                <w:szCs w:val="22"/>
              </w:rPr>
            </w:pPr>
          </w:p>
        </w:tc>
        <w:tc>
          <w:tcPr>
            <w:tcW w:w="3196" w:type="dxa"/>
          </w:tcPr>
          <w:p w14:paraId="7095FB54" w14:textId="77777777" w:rsidR="00FB39AB" w:rsidRPr="005B5418" w:rsidRDefault="00FB39AB" w:rsidP="003B61E9">
            <w:pPr>
              <w:pStyle w:val="Table-Cell-Left"/>
              <w:spacing w:before="120" w:after="120" w:line="240" w:lineRule="auto"/>
              <w:rPr>
                <w:rFonts w:eastAsia="Arial Unicode MS" w:cs="Arial"/>
                <w:sz w:val="22"/>
                <w:szCs w:val="22"/>
              </w:rPr>
            </w:pPr>
          </w:p>
        </w:tc>
      </w:tr>
      <w:tr w:rsidR="00A64B45" w:rsidRPr="005B5418" w14:paraId="3511600B" w14:textId="77777777" w:rsidTr="005C61FF">
        <w:trPr>
          <w:cantSplit/>
        </w:trPr>
        <w:tc>
          <w:tcPr>
            <w:tcW w:w="9689" w:type="dxa"/>
            <w:gridSpan w:val="3"/>
          </w:tcPr>
          <w:p w14:paraId="2395635B" w14:textId="77777777" w:rsidR="00A64B45" w:rsidRPr="005B5418" w:rsidRDefault="00A64B45" w:rsidP="008848DA">
            <w:pPr>
              <w:pStyle w:val="Table-Cell-Left"/>
              <w:spacing w:before="60" w:after="60" w:line="240" w:lineRule="auto"/>
              <w:rPr>
                <w:rFonts w:eastAsia="Arial Unicode MS" w:cs="Arial"/>
                <w:b/>
                <w:sz w:val="22"/>
                <w:szCs w:val="22"/>
              </w:rPr>
            </w:pPr>
            <w:r w:rsidRPr="005B5418">
              <w:rPr>
                <w:rFonts w:eastAsia="Arial Unicode MS" w:cs="Arial"/>
                <w:b/>
                <w:sz w:val="22"/>
                <w:szCs w:val="22"/>
              </w:rPr>
              <w:t>Accounting</w:t>
            </w:r>
          </w:p>
        </w:tc>
      </w:tr>
      <w:tr w:rsidR="00BD6949" w:rsidRPr="005B5418" w14:paraId="1C7686B1" w14:textId="77777777" w:rsidTr="005C61FF">
        <w:trPr>
          <w:cantSplit/>
        </w:trPr>
        <w:tc>
          <w:tcPr>
            <w:tcW w:w="5525" w:type="dxa"/>
          </w:tcPr>
          <w:p w14:paraId="769E527F" w14:textId="4C98CEC0" w:rsidR="00BD6949" w:rsidRPr="005B5418" w:rsidRDefault="00BD6949" w:rsidP="00343610">
            <w:pPr>
              <w:pStyle w:val="FAM-Table-outline"/>
              <w:numPr>
                <w:ilvl w:val="0"/>
                <w:numId w:val="5"/>
              </w:numPr>
              <w:spacing w:line="240" w:lineRule="auto"/>
              <w:rPr>
                <w:rFonts w:eastAsia="Arial Unicode MS" w:cs="Arial"/>
                <w:szCs w:val="22"/>
              </w:rPr>
            </w:pPr>
            <w:r w:rsidRPr="005B5418">
              <w:rPr>
                <w:rFonts w:eastAsia="Arial Unicode MS" w:cs="Arial"/>
                <w:szCs w:val="22"/>
              </w:rPr>
              <w:t xml:space="preserve">Are foreign currency account balances with Treasury reported on the </w:t>
            </w:r>
            <w:r w:rsidR="001B5C17" w:rsidRPr="005B5418">
              <w:rPr>
                <w:rFonts w:eastAsia="Arial Unicode MS" w:cs="Arial"/>
                <w:szCs w:val="22"/>
              </w:rPr>
              <w:t>balance sheet</w:t>
            </w:r>
            <w:r w:rsidRPr="005B5418">
              <w:rPr>
                <w:rFonts w:eastAsia="Arial Unicode MS" w:cs="Arial"/>
                <w:szCs w:val="22"/>
              </w:rPr>
              <w:t xml:space="preserve"> translated into U.S. dollars at exchange rates determined by the Treasury and effective at the financial reporting date? (SFFAS 1, par</w:t>
            </w:r>
            <w:r w:rsidR="005E605C" w:rsidRPr="005B5418">
              <w:rPr>
                <w:rFonts w:eastAsia="Arial Unicode MS" w:cs="Arial"/>
                <w:szCs w:val="22"/>
              </w:rPr>
              <w:t>a</w:t>
            </w:r>
            <w:r w:rsidRPr="005B5418">
              <w:rPr>
                <w:rFonts w:eastAsia="Arial Unicode MS" w:cs="Arial"/>
                <w:szCs w:val="22"/>
              </w:rPr>
              <w:t>. 32)</w:t>
            </w:r>
          </w:p>
        </w:tc>
        <w:tc>
          <w:tcPr>
            <w:tcW w:w="968" w:type="dxa"/>
          </w:tcPr>
          <w:p w14:paraId="32CFBD6F" w14:textId="77777777" w:rsidR="00BD6949" w:rsidRPr="005B5418" w:rsidRDefault="00BD6949" w:rsidP="003B61E9">
            <w:pPr>
              <w:pStyle w:val="Table-Cell-Left"/>
              <w:spacing w:before="120" w:after="120" w:line="240" w:lineRule="auto"/>
              <w:rPr>
                <w:rFonts w:eastAsia="Arial Unicode MS" w:cs="Arial"/>
                <w:sz w:val="22"/>
                <w:szCs w:val="22"/>
              </w:rPr>
            </w:pPr>
          </w:p>
        </w:tc>
        <w:tc>
          <w:tcPr>
            <w:tcW w:w="3196" w:type="dxa"/>
          </w:tcPr>
          <w:p w14:paraId="66A3295B" w14:textId="77777777" w:rsidR="00BD6949" w:rsidRPr="005B5418" w:rsidRDefault="00BD6949" w:rsidP="003B61E9">
            <w:pPr>
              <w:pStyle w:val="Table-Cell-Left"/>
              <w:spacing w:before="120" w:after="120" w:line="240" w:lineRule="auto"/>
              <w:rPr>
                <w:rFonts w:eastAsia="Arial Unicode MS" w:cs="Arial"/>
                <w:sz w:val="22"/>
                <w:szCs w:val="22"/>
              </w:rPr>
            </w:pPr>
          </w:p>
        </w:tc>
      </w:tr>
      <w:tr w:rsidR="00F45069" w:rsidRPr="005B5418" w14:paraId="77EFB876" w14:textId="77777777" w:rsidTr="005C61FF">
        <w:trPr>
          <w:cantSplit/>
        </w:trPr>
        <w:tc>
          <w:tcPr>
            <w:tcW w:w="5525" w:type="dxa"/>
            <w:tcBorders>
              <w:bottom w:val="nil"/>
            </w:tcBorders>
          </w:tcPr>
          <w:p w14:paraId="0A19E6BB" w14:textId="77777777" w:rsidR="00F45069" w:rsidRPr="005B5418" w:rsidRDefault="00F45069" w:rsidP="00343610">
            <w:pPr>
              <w:pStyle w:val="FAM-Table-outline"/>
              <w:numPr>
                <w:ilvl w:val="0"/>
                <w:numId w:val="5"/>
              </w:numPr>
              <w:spacing w:line="240" w:lineRule="auto"/>
              <w:rPr>
                <w:rFonts w:eastAsia="Arial Unicode MS" w:cs="Arial"/>
                <w:szCs w:val="22"/>
              </w:rPr>
            </w:pPr>
            <w:bookmarkStart w:id="106" w:name="_IV.1.1A_Accounting"/>
            <w:bookmarkEnd w:id="106"/>
            <w:r w:rsidRPr="005B5418">
              <w:rPr>
                <w:rFonts w:eastAsia="Arial Unicode MS" w:cs="Arial"/>
                <w:szCs w:val="22"/>
              </w:rPr>
              <w:t xml:space="preserve">Does fund balance with Treasury include </w:t>
            </w:r>
          </w:p>
          <w:p w14:paraId="1EB550C7" w14:textId="392DF4D6"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clearing account balances</w:t>
            </w:r>
            <w:r w:rsidR="00AD6379" w:rsidRPr="005B5418">
              <w:rPr>
                <w:rFonts w:eastAsia="Arial Unicode MS" w:cs="Arial"/>
                <w:szCs w:val="22"/>
              </w:rPr>
              <w:t>;</w:t>
            </w:r>
          </w:p>
        </w:tc>
        <w:tc>
          <w:tcPr>
            <w:tcW w:w="968" w:type="dxa"/>
            <w:vMerge w:val="restart"/>
          </w:tcPr>
          <w:p w14:paraId="2CE8A8A7"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96" w:type="dxa"/>
            <w:vMerge w:val="restart"/>
          </w:tcPr>
          <w:p w14:paraId="749AD7A5" w14:textId="77777777" w:rsidR="00F45069" w:rsidRPr="005B5418" w:rsidRDefault="00F45069" w:rsidP="003B61E9">
            <w:pPr>
              <w:pStyle w:val="Table-Cell-Left"/>
              <w:spacing w:before="120" w:after="120" w:line="240" w:lineRule="auto"/>
              <w:rPr>
                <w:rFonts w:eastAsia="Arial Unicode MS" w:cs="Arial"/>
                <w:sz w:val="22"/>
                <w:szCs w:val="22"/>
              </w:rPr>
            </w:pPr>
          </w:p>
          <w:p w14:paraId="734FD1FE" w14:textId="77777777" w:rsidR="00F45069" w:rsidRPr="005B5418" w:rsidRDefault="00F45069" w:rsidP="003B61E9">
            <w:pPr>
              <w:pStyle w:val="Table-Cell-Left"/>
              <w:spacing w:before="120" w:after="120" w:line="240" w:lineRule="auto"/>
              <w:rPr>
                <w:rFonts w:eastAsia="Arial Unicode MS" w:cs="Arial"/>
                <w:sz w:val="22"/>
                <w:szCs w:val="22"/>
              </w:rPr>
            </w:pPr>
          </w:p>
          <w:p w14:paraId="5838039E"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21A57CCD" w14:textId="77777777" w:rsidTr="005C61FF">
        <w:trPr>
          <w:cantSplit/>
          <w:trHeight w:val="1223"/>
        </w:trPr>
        <w:tc>
          <w:tcPr>
            <w:tcW w:w="5525" w:type="dxa"/>
            <w:tcBorders>
              <w:top w:val="nil"/>
              <w:bottom w:val="nil"/>
            </w:tcBorders>
            <w:vAlign w:val="center"/>
          </w:tcPr>
          <w:p w14:paraId="42846E91" w14:textId="3E312ED8"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balances for direct loan and loan guarantee activities held in the credit reform program, financing, and liquidating accounts</w:t>
            </w:r>
            <w:r w:rsidR="00AD6379" w:rsidRPr="005B5418">
              <w:rPr>
                <w:rFonts w:eastAsia="Arial Unicode MS" w:cs="Arial"/>
                <w:szCs w:val="22"/>
              </w:rPr>
              <w:t>;</w:t>
            </w:r>
            <w:r w:rsidRPr="005B5418">
              <w:rPr>
                <w:rFonts w:eastAsia="Arial Unicode MS" w:cs="Arial"/>
                <w:szCs w:val="22"/>
              </w:rPr>
              <w:t xml:space="preserve"> </w:t>
            </w:r>
          </w:p>
        </w:tc>
        <w:tc>
          <w:tcPr>
            <w:tcW w:w="968" w:type="dxa"/>
            <w:vMerge/>
          </w:tcPr>
          <w:p w14:paraId="6D92997F"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96" w:type="dxa"/>
            <w:vMerge/>
          </w:tcPr>
          <w:p w14:paraId="2C17A1C3"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4BB99CC4" w14:textId="77777777" w:rsidTr="005C61FF">
        <w:trPr>
          <w:cantSplit/>
        </w:trPr>
        <w:tc>
          <w:tcPr>
            <w:tcW w:w="5525" w:type="dxa"/>
            <w:tcBorders>
              <w:top w:val="nil"/>
              <w:bottom w:val="nil"/>
            </w:tcBorders>
            <w:vAlign w:val="center"/>
          </w:tcPr>
          <w:p w14:paraId="64B17879" w14:textId="56355948"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funds actually borrowed from Treasury under statutory authority</w:t>
            </w:r>
            <w:r w:rsidR="00AD6379" w:rsidRPr="005B5418">
              <w:rPr>
                <w:rFonts w:eastAsia="Arial Unicode MS" w:cs="Arial"/>
                <w:szCs w:val="22"/>
              </w:rPr>
              <w:t>;</w:t>
            </w:r>
            <w:r w:rsidRPr="005B5418">
              <w:rPr>
                <w:rFonts w:eastAsia="Arial Unicode MS" w:cs="Arial"/>
                <w:szCs w:val="22"/>
              </w:rPr>
              <w:t xml:space="preserve"> and </w:t>
            </w:r>
          </w:p>
        </w:tc>
        <w:tc>
          <w:tcPr>
            <w:tcW w:w="968" w:type="dxa"/>
            <w:vMerge/>
          </w:tcPr>
          <w:p w14:paraId="0767960C"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96" w:type="dxa"/>
            <w:vMerge/>
          </w:tcPr>
          <w:p w14:paraId="2BF406E7"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5270BBCD" w14:textId="77777777" w:rsidTr="005C61FF">
        <w:trPr>
          <w:cantSplit/>
        </w:trPr>
        <w:tc>
          <w:tcPr>
            <w:tcW w:w="5525" w:type="dxa"/>
            <w:tcBorders>
              <w:top w:val="nil"/>
            </w:tcBorders>
            <w:vAlign w:val="center"/>
          </w:tcPr>
          <w:p w14:paraId="2ABFE4AB" w14:textId="1F213F58"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the dollar equivalent of foreign currency account balances? </w:t>
            </w:r>
            <w:r w:rsidRPr="005B5418">
              <w:rPr>
                <w:rFonts w:eastAsia="Arial Unicode MS" w:cs="Arial"/>
                <w:szCs w:val="22"/>
              </w:rPr>
              <w:br/>
              <w:t>(SFFAS 1, par</w:t>
            </w:r>
            <w:r w:rsidR="00AD6379" w:rsidRPr="005B5418">
              <w:rPr>
                <w:rFonts w:eastAsia="Arial Unicode MS" w:cs="Arial"/>
                <w:szCs w:val="22"/>
              </w:rPr>
              <w:t>as</w:t>
            </w:r>
            <w:r w:rsidRPr="005B5418">
              <w:rPr>
                <w:rFonts w:eastAsia="Arial Unicode MS" w:cs="Arial"/>
                <w:szCs w:val="22"/>
              </w:rPr>
              <w:t>. 32 and 35)</w:t>
            </w:r>
          </w:p>
        </w:tc>
        <w:tc>
          <w:tcPr>
            <w:tcW w:w="968" w:type="dxa"/>
            <w:vMerge/>
          </w:tcPr>
          <w:p w14:paraId="1EB44951"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96" w:type="dxa"/>
            <w:vMerge/>
          </w:tcPr>
          <w:p w14:paraId="056D7010"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648DFBB1" w14:textId="77777777" w:rsidTr="005C61FF">
        <w:trPr>
          <w:cantSplit/>
          <w:trHeight w:val="818"/>
        </w:trPr>
        <w:tc>
          <w:tcPr>
            <w:tcW w:w="5525" w:type="dxa"/>
          </w:tcPr>
          <w:p w14:paraId="49E184D5" w14:textId="7262860F" w:rsidR="00F45069" w:rsidRPr="005B5418" w:rsidRDefault="00F45069" w:rsidP="008848DA">
            <w:pPr>
              <w:pStyle w:val="FAM-Table-outline"/>
              <w:spacing w:line="240" w:lineRule="auto"/>
              <w:rPr>
                <w:rFonts w:eastAsia="Arial Unicode MS"/>
              </w:rPr>
            </w:pPr>
            <w:r w:rsidRPr="005B5418">
              <w:rPr>
                <w:rFonts w:eastAsia="Arial Unicode MS"/>
              </w:rPr>
              <w:lastRenderedPageBreak/>
              <w:t xml:space="preserve">Does </w:t>
            </w:r>
            <w:r w:rsidR="003E1723" w:rsidRPr="005B5418">
              <w:rPr>
                <w:rFonts w:eastAsia="Arial Unicode MS"/>
              </w:rPr>
              <w:t>FBWT</w:t>
            </w:r>
            <w:r w:rsidRPr="005B5418">
              <w:rPr>
                <w:rFonts w:eastAsia="Arial Unicode MS"/>
              </w:rPr>
              <w:t xml:space="preserve"> exclude contract authority</w:t>
            </w:r>
            <w:r w:rsidR="003E1723" w:rsidRPr="005B5418">
              <w:rPr>
                <w:rFonts w:eastAsia="Arial Unicode MS" w:cs="Arial"/>
                <w:szCs w:val="22"/>
              </w:rPr>
              <w:t xml:space="preserve"> or unused authority to borrow?</w:t>
            </w:r>
            <w:r w:rsidRPr="005B5418">
              <w:rPr>
                <w:rStyle w:val="FootnoteReference"/>
                <w:rFonts w:eastAsia="Arial Unicode MS" w:cs="Arial"/>
                <w:szCs w:val="22"/>
              </w:rPr>
              <w:footnoteReference w:id="75"/>
            </w:r>
            <w:r w:rsidRPr="005B5418">
              <w:rPr>
                <w:rFonts w:eastAsia="Arial Unicode MS"/>
              </w:rPr>
              <w:t xml:space="preserve"> (SFFAS 1, par</w:t>
            </w:r>
            <w:r w:rsidR="003E1723" w:rsidRPr="005B5418">
              <w:rPr>
                <w:rFonts w:eastAsia="Arial Unicode MS"/>
              </w:rPr>
              <w:t>a</w:t>
            </w:r>
            <w:r w:rsidRPr="005B5418">
              <w:rPr>
                <w:rFonts w:eastAsia="Arial Unicode MS"/>
              </w:rPr>
              <w:t>. 34)</w:t>
            </w:r>
          </w:p>
        </w:tc>
        <w:tc>
          <w:tcPr>
            <w:tcW w:w="968" w:type="dxa"/>
          </w:tcPr>
          <w:p w14:paraId="6BB1C5A7"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96" w:type="dxa"/>
          </w:tcPr>
          <w:p w14:paraId="1DF8958D"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75F27B1C" w14:textId="77777777" w:rsidTr="005C61FF">
        <w:trPr>
          <w:cantSplit/>
          <w:trHeight w:val="4328"/>
        </w:trPr>
        <w:tc>
          <w:tcPr>
            <w:tcW w:w="5525" w:type="dxa"/>
          </w:tcPr>
          <w:p w14:paraId="35FD9B5B" w14:textId="77777777" w:rsidR="00F45069" w:rsidRPr="005B5418" w:rsidRDefault="00F45069" w:rsidP="007B5405">
            <w:pPr>
              <w:pStyle w:val="FAM-Table-outline"/>
              <w:spacing w:line="240" w:lineRule="auto"/>
              <w:rPr>
                <w:rFonts w:eastAsia="Arial Unicode MS" w:cs="Arial"/>
                <w:szCs w:val="22"/>
              </w:rPr>
            </w:pPr>
            <w:r w:rsidRPr="005B5418">
              <w:rPr>
                <w:rFonts w:eastAsia="Arial Unicode MS" w:cs="Arial"/>
                <w:szCs w:val="22"/>
              </w:rPr>
              <w:t xml:space="preserve">Does the entity record an increase in its fund balance with Treasury when it </w:t>
            </w:r>
          </w:p>
          <w:p w14:paraId="5D3DB4AB" w14:textId="04AB5F8E"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receives appropriations, reappropriations, continuing resolutions, appropriation restorations, and allocations</w:t>
            </w:r>
            <w:r w:rsidR="002E105D" w:rsidRPr="005B5418">
              <w:rPr>
                <w:rFonts w:eastAsia="Arial Unicode MS" w:cs="Arial"/>
                <w:szCs w:val="22"/>
              </w:rPr>
              <w:t>;</w:t>
            </w:r>
          </w:p>
          <w:p w14:paraId="2348F052" w14:textId="799D5F3D"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redeems investments in U.S. </w:t>
            </w:r>
            <w:r w:rsidR="005F4D38" w:rsidRPr="005B5418">
              <w:rPr>
                <w:rFonts w:eastAsia="Arial Unicode MS" w:cs="Arial"/>
                <w:szCs w:val="22"/>
              </w:rPr>
              <w:t xml:space="preserve">Treasury </w:t>
            </w:r>
            <w:r w:rsidRPr="005B5418">
              <w:rPr>
                <w:rFonts w:eastAsia="Arial Unicode MS" w:cs="Arial"/>
                <w:szCs w:val="22"/>
              </w:rPr>
              <w:t>securities</w:t>
            </w:r>
            <w:r w:rsidR="002E105D" w:rsidRPr="005B5418">
              <w:rPr>
                <w:rFonts w:eastAsia="Arial Unicode MS" w:cs="Arial"/>
                <w:szCs w:val="22"/>
              </w:rPr>
              <w:t>;</w:t>
            </w:r>
          </w:p>
          <w:p w14:paraId="4038385B" w14:textId="43BF3E82"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receives transfers and reimbursements from other agencies</w:t>
            </w:r>
            <w:r w:rsidR="002E105D" w:rsidRPr="005B5418">
              <w:rPr>
                <w:rFonts w:eastAsia="Arial Unicode MS" w:cs="Arial"/>
                <w:szCs w:val="22"/>
              </w:rPr>
              <w:t>;</w:t>
            </w:r>
          </w:p>
          <w:p w14:paraId="47D6C83C" w14:textId="3CEE95E8"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borrows from Treasury, </w:t>
            </w:r>
            <w:r w:rsidR="005F4D38" w:rsidRPr="005B5418">
              <w:rPr>
                <w:rFonts w:eastAsia="Arial Unicode MS" w:cs="Arial"/>
                <w:szCs w:val="22"/>
              </w:rPr>
              <w:t xml:space="preserve">the </w:t>
            </w:r>
            <w:r w:rsidRPr="005B5418">
              <w:rPr>
                <w:rFonts w:eastAsia="Arial Unicode MS" w:cs="Arial"/>
                <w:szCs w:val="22"/>
              </w:rPr>
              <w:t>Federal Financing Bank, or other entities</w:t>
            </w:r>
            <w:r w:rsidR="002E105D" w:rsidRPr="005B5418">
              <w:rPr>
                <w:rFonts w:eastAsia="Arial Unicode MS" w:cs="Arial"/>
                <w:szCs w:val="22"/>
              </w:rPr>
              <w:t>;</w:t>
            </w:r>
            <w:r w:rsidRPr="005B5418">
              <w:rPr>
                <w:rFonts w:eastAsia="Arial Unicode MS" w:cs="Arial"/>
                <w:szCs w:val="22"/>
              </w:rPr>
              <w:t xml:space="preserve"> and</w:t>
            </w:r>
          </w:p>
          <w:p w14:paraId="15CC8316" w14:textId="547D3AD6"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collects and credits amounts to its appropriations or fund accounts that the entity is authorized to spend or use to offset its expenditures? (SFFAS 1, par</w:t>
            </w:r>
            <w:r w:rsidR="00575663" w:rsidRPr="005B5418">
              <w:rPr>
                <w:rFonts w:eastAsia="Arial Unicode MS" w:cs="Arial"/>
                <w:szCs w:val="22"/>
              </w:rPr>
              <w:t>a</w:t>
            </w:r>
            <w:r w:rsidRPr="005B5418">
              <w:rPr>
                <w:rFonts w:eastAsia="Arial Unicode MS" w:cs="Arial"/>
                <w:szCs w:val="22"/>
              </w:rPr>
              <w:t>. 33)</w:t>
            </w:r>
          </w:p>
        </w:tc>
        <w:tc>
          <w:tcPr>
            <w:tcW w:w="968" w:type="dxa"/>
          </w:tcPr>
          <w:p w14:paraId="61CD9BF0"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96" w:type="dxa"/>
          </w:tcPr>
          <w:p w14:paraId="27E421D4"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3BB7D7EF" w14:textId="77777777" w:rsidTr="005C61FF">
        <w:trPr>
          <w:cantSplit/>
        </w:trPr>
        <w:tc>
          <w:tcPr>
            <w:tcW w:w="5525" w:type="dxa"/>
          </w:tcPr>
          <w:p w14:paraId="7269CABE" w14:textId="45DEDD7B" w:rsidR="00F45069" w:rsidRPr="005B5418" w:rsidRDefault="00F45069" w:rsidP="007B5405">
            <w:pPr>
              <w:pStyle w:val="FAM-Table-outline"/>
              <w:spacing w:line="240" w:lineRule="auto"/>
              <w:rPr>
                <w:rFonts w:eastAsia="Arial Unicode MS" w:cs="Arial"/>
                <w:szCs w:val="22"/>
              </w:rPr>
            </w:pPr>
            <w:r w:rsidRPr="005B5418">
              <w:rPr>
                <w:rFonts w:eastAsia="Arial Unicode MS" w:cs="Arial"/>
                <w:szCs w:val="22"/>
              </w:rPr>
              <w:t xml:space="preserve">Does the entity record a decrease in its </w:t>
            </w:r>
            <w:r w:rsidR="004C5535" w:rsidRPr="005B5418">
              <w:rPr>
                <w:rFonts w:eastAsia="Arial Unicode MS" w:cs="Arial"/>
                <w:szCs w:val="22"/>
              </w:rPr>
              <w:t>FBWT</w:t>
            </w:r>
            <w:r w:rsidRPr="005B5418">
              <w:rPr>
                <w:rFonts w:eastAsia="Arial Unicode MS" w:cs="Arial"/>
                <w:szCs w:val="22"/>
              </w:rPr>
              <w:t xml:space="preserve"> when it </w:t>
            </w:r>
          </w:p>
          <w:p w14:paraId="5F93D8AD" w14:textId="6A444BC6"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disburses to pay liabilities or to purchase assets, goods, and services</w:t>
            </w:r>
            <w:r w:rsidR="004C5535" w:rsidRPr="005B5418">
              <w:rPr>
                <w:rFonts w:eastAsia="Arial Unicode MS" w:cs="Arial"/>
                <w:szCs w:val="22"/>
              </w:rPr>
              <w:t>;</w:t>
            </w:r>
          </w:p>
          <w:p w14:paraId="45EC5637" w14:textId="041C83A6"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invests in U.S. </w:t>
            </w:r>
            <w:r w:rsidR="005F4D38" w:rsidRPr="005B5418">
              <w:rPr>
                <w:rFonts w:eastAsia="Arial Unicode MS" w:cs="Arial"/>
                <w:szCs w:val="22"/>
              </w:rPr>
              <w:t xml:space="preserve">Treasury </w:t>
            </w:r>
            <w:r w:rsidRPr="005B5418">
              <w:rPr>
                <w:rFonts w:eastAsia="Arial Unicode MS" w:cs="Arial"/>
                <w:szCs w:val="22"/>
              </w:rPr>
              <w:t>securities</w:t>
            </w:r>
            <w:r w:rsidR="004C5535" w:rsidRPr="005B5418">
              <w:rPr>
                <w:rFonts w:eastAsia="Arial Unicode MS" w:cs="Arial"/>
                <w:szCs w:val="22"/>
              </w:rPr>
              <w:t>;</w:t>
            </w:r>
          </w:p>
          <w:p w14:paraId="16B44F01" w14:textId="271ED65B"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cancels expired appropriations</w:t>
            </w:r>
            <w:r w:rsidR="004C5535" w:rsidRPr="005B5418">
              <w:rPr>
                <w:rFonts w:eastAsia="Arial Unicode MS" w:cs="Arial"/>
                <w:szCs w:val="22"/>
              </w:rPr>
              <w:t>;</w:t>
            </w:r>
          </w:p>
          <w:p w14:paraId="1E4796BB" w14:textId="64B3E81E"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makes transfers and reimbursements to other entities or to Treasury</w:t>
            </w:r>
            <w:r w:rsidR="004C5535" w:rsidRPr="005B5418">
              <w:rPr>
                <w:rFonts w:eastAsia="Arial Unicode MS" w:cs="Arial"/>
                <w:szCs w:val="22"/>
              </w:rPr>
              <w:t>;</w:t>
            </w:r>
            <w:r w:rsidRPr="005B5418">
              <w:rPr>
                <w:rFonts w:eastAsia="Arial Unicode MS" w:cs="Arial"/>
                <w:szCs w:val="22"/>
              </w:rPr>
              <w:t xml:space="preserve"> and </w:t>
            </w:r>
          </w:p>
          <w:p w14:paraId="3B6E54B5" w14:textId="7799F345" w:rsidR="00F45069" w:rsidRPr="005B5418" w:rsidRDefault="00F4506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cancels appropriations as a result of sequestration or rescission? (SFFAS 1, par</w:t>
            </w:r>
            <w:r w:rsidR="00575663" w:rsidRPr="005B5418">
              <w:rPr>
                <w:rFonts w:eastAsia="Arial Unicode MS" w:cs="Arial"/>
                <w:szCs w:val="22"/>
              </w:rPr>
              <w:t>a</w:t>
            </w:r>
            <w:r w:rsidRPr="005B5418">
              <w:rPr>
                <w:rFonts w:eastAsia="Arial Unicode MS" w:cs="Arial"/>
                <w:szCs w:val="22"/>
              </w:rPr>
              <w:t>. 36)</w:t>
            </w:r>
          </w:p>
        </w:tc>
        <w:tc>
          <w:tcPr>
            <w:tcW w:w="968" w:type="dxa"/>
          </w:tcPr>
          <w:p w14:paraId="12B47641"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96" w:type="dxa"/>
          </w:tcPr>
          <w:p w14:paraId="30294E91"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67853CF3" w14:textId="77777777" w:rsidTr="005C61FF">
        <w:trPr>
          <w:cantSplit/>
        </w:trPr>
        <w:tc>
          <w:tcPr>
            <w:tcW w:w="5525" w:type="dxa"/>
          </w:tcPr>
          <w:p w14:paraId="16E3BBB3" w14:textId="0DEA1D95" w:rsidR="00F45069" w:rsidRPr="005B5418" w:rsidRDefault="00F45069" w:rsidP="007B5405">
            <w:pPr>
              <w:pStyle w:val="FAM-Table-outline"/>
              <w:spacing w:line="240" w:lineRule="auto"/>
              <w:rPr>
                <w:rFonts w:eastAsia="Arial Unicode MS" w:cs="Arial"/>
                <w:szCs w:val="22"/>
              </w:rPr>
            </w:pPr>
            <w:r w:rsidRPr="005B5418">
              <w:rPr>
                <w:rFonts w:eastAsia="Arial Unicode MS" w:cs="Arial"/>
                <w:szCs w:val="22"/>
              </w:rPr>
              <w:t xml:space="preserve">Are unexpended appropriations recognized as capital and included under </w:t>
            </w:r>
            <w:r w:rsidR="004C5535" w:rsidRPr="005B5418">
              <w:rPr>
                <w:rFonts w:eastAsia="Arial Unicode MS" w:cs="Arial"/>
                <w:szCs w:val="22"/>
              </w:rPr>
              <w:t>FBWT</w:t>
            </w:r>
            <w:r w:rsidRPr="005B5418">
              <w:rPr>
                <w:rFonts w:eastAsia="Arial Unicode MS" w:cs="Arial"/>
                <w:szCs w:val="22"/>
              </w:rPr>
              <w:t xml:space="preserve"> when they are made available for apportionment? (SFFAS 7, par</w:t>
            </w:r>
            <w:r w:rsidR="00575663" w:rsidRPr="005B5418">
              <w:rPr>
                <w:rFonts w:eastAsia="Arial Unicode MS" w:cs="Arial"/>
                <w:szCs w:val="22"/>
              </w:rPr>
              <w:t>a</w:t>
            </w:r>
            <w:r w:rsidRPr="005B5418">
              <w:rPr>
                <w:rFonts w:eastAsia="Arial Unicode MS" w:cs="Arial"/>
                <w:szCs w:val="22"/>
              </w:rPr>
              <w:t>. 71)</w:t>
            </w:r>
          </w:p>
        </w:tc>
        <w:tc>
          <w:tcPr>
            <w:tcW w:w="968" w:type="dxa"/>
          </w:tcPr>
          <w:p w14:paraId="39A48DA1"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96" w:type="dxa"/>
          </w:tcPr>
          <w:p w14:paraId="78DA3DE4" w14:textId="77777777" w:rsidR="00F45069" w:rsidRPr="005B5418" w:rsidRDefault="00F45069" w:rsidP="003B61E9">
            <w:pPr>
              <w:pStyle w:val="Table-Cell-Left"/>
              <w:spacing w:before="120" w:after="120" w:line="240" w:lineRule="auto"/>
              <w:rPr>
                <w:rFonts w:eastAsia="Arial Unicode MS" w:cs="Arial"/>
                <w:sz w:val="22"/>
                <w:szCs w:val="22"/>
              </w:rPr>
            </w:pPr>
          </w:p>
        </w:tc>
      </w:tr>
      <w:tr w:rsidR="00A63586" w:rsidRPr="005B5418" w14:paraId="17CC1386" w14:textId="77777777" w:rsidTr="005C61FF">
        <w:trPr>
          <w:cantSplit/>
        </w:trPr>
        <w:tc>
          <w:tcPr>
            <w:tcW w:w="5525" w:type="dxa"/>
          </w:tcPr>
          <w:p w14:paraId="7D80307B" w14:textId="6A40AFC2" w:rsidR="00A63586" w:rsidRPr="005B5418" w:rsidRDefault="001F314D" w:rsidP="007B5405">
            <w:pPr>
              <w:pStyle w:val="FAM-Table-outline"/>
              <w:spacing w:line="240" w:lineRule="auto"/>
              <w:rPr>
                <w:rFonts w:eastAsia="Arial Unicode MS" w:cs="Arial"/>
                <w:szCs w:val="22"/>
              </w:rPr>
            </w:pPr>
            <w:r w:rsidRPr="005B5418">
              <w:rPr>
                <w:rFonts w:eastAsia="Arial Unicode MS" w:cs="Arial"/>
                <w:szCs w:val="22"/>
              </w:rPr>
              <w:lastRenderedPageBreak/>
              <w:t>D</w:t>
            </w:r>
            <w:r w:rsidR="00593EAE" w:rsidRPr="005B5418">
              <w:rPr>
                <w:rFonts w:eastAsia="Arial Unicode MS" w:cs="Arial"/>
                <w:szCs w:val="22"/>
              </w:rPr>
              <w:t>o</w:t>
            </w:r>
            <w:r w:rsidRPr="005B5418">
              <w:rPr>
                <w:rFonts w:eastAsia="Arial Unicode MS" w:cs="Arial"/>
                <w:szCs w:val="22"/>
              </w:rPr>
              <w:t xml:space="preserve">es the entity report </w:t>
            </w:r>
            <w:r w:rsidR="00A63586" w:rsidRPr="005B5418">
              <w:rPr>
                <w:rFonts w:eastAsia="Arial Unicode MS" w:cs="Arial"/>
                <w:szCs w:val="22"/>
              </w:rPr>
              <w:t xml:space="preserve">non-federal non-entity amounts received for unfilled orders (including amounts a customer advances for orders that may be placed in the future or deposits made as part of a bid or settlement process) and deposited into the General Fund of the U.S. Government as an intragovernmental asset </w:t>
            </w:r>
            <w:r w:rsidR="008A3EEA" w:rsidRPr="005B5418">
              <w:rPr>
                <w:rFonts w:eastAsia="Arial Unicode MS" w:cs="Arial"/>
                <w:szCs w:val="22"/>
              </w:rPr>
              <w:t>(FBWT)</w:t>
            </w:r>
            <w:r w:rsidR="00A63586" w:rsidRPr="005B5418">
              <w:rPr>
                <w:rFonts w:eastAsia="Arial Unicode MS" w:cs="Arial"/>
                <w:szCs w:val="22"/>
              </w:rPr>
              <w:t>? (FASAB Interpretation No. 10, par</w:t>
            </w:r>
            <w:r w:rsidRPr="005B5418">
              <w:rPr>
                <w:rFonts w:eastAsia="Arial Unicode MS" w:cs="Arial"/>
                <w:szCs w:val="22"/>
              </w:rPr>
              <w:t>a</w:t>
            </w:r>
            <w:r w:rsidR="00A63586" w:rsidRPr="005B5418">
              <w:rPr>
                <w:rFonts w:eastAsia="Arial Unicode MS" w:cs="Arial"/>
                <w:szCs w:val="22"/>
              </w:rPr>
              <w:t>. 7)</w:t>
            </w:r>
          </w:p>
        </w:tc>
        <w:tc>
          <w:tcPr>
            <w:tcW w:w="968" w:type="dxa"/>
          </w:tcPr>
          <w:p w14:paraId="39D0E8B4" w14:textId="77777777" w:rsidR="00A63586" w:rsidRPr="005B5418" w:rsidRDefault="00A63586" w:rsidP="003B61E9">
            <w:pPr>
              <w:pStyle w:val="Table-Cell-Left"/>
              <w:spacing w:before="120" w:after="120" w:line="240" w:lineRule="auto"/>
              <w:rPr>
                <w:rFonts w:eastAsia="Arial Unicode MS" w:cs="Arial"/>
                <w:sz w:val="22"/>
                <w:szCs w:val="22"/>
              </w:rPr>
            </w:pPr>
          </w:p>
        </w:tc>
        <w:tc>
          <w:tcPr>
            <w:tcW w:w="3196" w:type="dxa"/>
          </w:tcPr>
          <w:p w14:paraId="1E7C0B59" w14:textId="77777777" w:rsidR="00A63586" w:rsidRPr="005B5418" w:rsidRDefault="00A63586" w:rsidP="003B61E9">
            <w:pPr>
              <w:pStyle w:val="Table-Cell-Left"/>
              <w:spacing w:before="120" w:after="120" w:line="240" w:lineRule="auto"/>
              <w:rPr>
                <w:rFonts w:eastAsia="Arial Unicode MS" w:cs="Arial"/>
                <w:sz w:val="22"/>
                <w:szCs w:val="22"/>
              </w:rPr>
            </w:pPr>
          </w:p>
        </w:tc>
      </w:tr>
      <w:tr w:rsidR="0097650A" w:rsidRPr="005B5418" w14:paraId="5E4E70C4" w14:textId="77777777" w:rsidTr="005C61FF">
        <w:trPr>
          <w:cantSplit/>
          <w:trHeight w:val="503"/>
        </w:trPr>
        <w:tc>
          <w:tcPr>
            <w:tcW w:w="9689" w:type="dxa"/>
            <w:gridSpan w:val="3"/>
            <w:vAlign w:val="center"/>
          </w:tcPr>
          <w:p w14:paraId="0B15CC62" w14:textId="77777777" w:rsidR="0097650A" w:rsidRPr="005B5418" w:rsidRDefault="0097650A" w:rsidP="008848DA">
            <w:pPr>
              <w:pStyle w:val="Heading4"/>
              <w:spacing w:before="60" w:after="60" w:line="240" w:lineRule="auto"/>
              <w:rPr>
                <w:sz w:val="22"/>
                <w:szCs w:val="22"/>
                <w:u w:val="none"/>
              </w:rPr>
            </w:pPr>
            <w:bookmarkStart w:id="107" w:name="_IV.1.1B_Disclosure"/>
            <w:bookmarkEnd w:id="107"/>
            <w:r w:rsidRPr="005B5418">
              <w:rPr>
                <w:rFonts w:eastAsia="Arial Unicode MS"/>
                <w:b/>
                <w:sz w:val="22"/>
                <w:szCs w:val="22"/>
                <w:u w:val="none"/>
              </w:rPr>
              <w:t>Disclosure</w:t>
            </w:r>
          </w:p>
        </w:tc>
      </w:tr>
      <w:tr w:rsidR="00F45069" w:rsidRPr="005B5418" w14:paraId="0E0A818E" w14:textId="77777777" w:rsidTr="005C61FF">
        <w:trPr>
          <w:cantSplit/>
          <w:trHeight w:val="1160"/>
        </w:trPr>
        <w:tc>
          <w:tcPr>
            <w:tcW w:w="5525" w:type="dxa"/>
          </w:tcPr>
          <w:p w14:paraId="0248ECA5" w14:textId="1565FF20" w:rsidR="00F45069" w:rsidRPr="005B5418" w:rsidRDefault="00F45069" w:rsidP="005425ED">
            <w:pPr>
              <w:pStyle w:val="FAM-Table-outline"/>
              <w:numPr>
                <w:ilvl w:val="0"/>
                <w:numId w:val="65"/>
              </w:numPr>
              <w:spacing w:line="240" w:lineRule="auto"/>
              <w:rPr>
                <w:rFonts w:cs="Arial"/>
              </w:rPr>
            </w:pPr>
            <w:bookmarkStart w:id="108" w:name="_Toc72727003"/>
            <w:bookmarkStart w:id="109" w:name="_Toc72727512"/>
            <w:bookmarkStart w:id="110" w:name="_Toc72732511"/>
            <w:bookmarkStart w:id="111" w:name="_Toc73947573"/>
            <w:r w:rsidRPr="005B5418">
              <w:rPr>
                <w:rFonts w:eastAsia="Arial Unicode MS" w:cs="Arial"/>
                <w:szCs w:val="22"/>
              </w:rPr>
              <w:t>Are amounts of FBWT meeting the definition of fiduciary FBWT disclosed in the notes? (A-136, section II.3.</w:t>
            </w:r>
            <w:r w:rsidR="006B4E1A" w:rsidRPr="005B5418">
              <w:rPr>
                <w:rFonts w:eastAsia="Arial Unicode MS" w:cs="Arial"/>
                <w:szCs w:val="22"/>
              </w:rPr>
              <w:t>2</w:t>
            </w:r>
            <w:r w:rsidRPr="005B5418">
              <w:rPr>
                <w:rFonts w:eastAsia="Arial Unicode MS" w:cs="Arial"/>
                <w:szCs w:val="22"/>
              </w:rPr>
              <w:t>.3)</w:t>
            </w:r>
          </w:p>
        </w:tc>
        <w:tc>
          <w:tcPr>
            <w:tcW w:w="968" w:type="dxa"/>
          </w:tcPr>
          <w:p w14:paraId="42AB1676" w14:textId="77777777" w:rsidR="00F45069" w:rsidRPr="005B5418" w:rsidRDefault="00F45069" w:rsidP="003B61E9">
            <w:pPr>
              <w:pStyle w:val="Table-Cell-CenterBoldBefore6ptAfter6pt"/>
              <w:rPr>
                <w:rFonts w:cs="Arial"/>
              </w:rPr>
            </w:pPr>
          </w:p>
        </w:tc>
        <w:tc>
          <w:tcPr>
            <w:tcW w:w="3196" w:type="dxa"/>
          </w:tcPr>
          <w:p w14:paraId="38898044" w14:textId="77777777" w:rsidR="00F45069" w:rsidRPr="005B5418" w:rsidRDefault="00F45069" w:rsidP="003B61E9">
            <w:pPr>
              <w:spacing w:line="240" w:lineRule="auto"/>
              <w:rPr>
                <w:rFonts w:cs="Arial"/>
              </w:rPr>
            </w:pPr>
          </w:p>
        </w:tc>
      </w:tr>
      <w:tr w:rsidR="00F45069" w:rsidRPr="005B5418" w14:paraId="582862E6" w14:textId="77777777" w:rsidTr="005C61FF">
        <w:trPr>
          <w:cantSplit/>
          <w:trHeight w:val="1835"/>
        </w:trPr>
        <w:tc>
          <w:tcPr>
            <w:tcW w:w="5525" w:type="dxa"/>
            <w:tcBorders>
              <w:top w:val="single" w:sz="4" w:space="0" w:color="auto"/>
              <w:left w:val="single" w:sz="4" w:space="0" w:color="auto"/>
              <w:bottom w:val="single" w:sz="4" w:space="0" w:color="auto"/>
              <w:right w:val="single" w:sz="4" w:space="0" w:color="auto"/>
            </w:tcBorders>
          </w:tcPr>
          <w:p w14:paraId="4418D7B0" w14:textId="7F2AB1AB" w:rsidR="00F45069" w:rsidRPr="005B5418" w:rsidRDefault="00F45069">
            <w:pPr>
              <w:pStyle w:val="FAM-Table-outline"/>
              <w:spacing w:line="240" w:lineRule="auto"/>
            </w:pPr>
            <w:r w:rsidRPr="005B5418">
              <w:rPr>
                <w:rFonts w:eastAsia="Arial Unicode MS" w:cs="Arial"/>
                <w:szCs w:val="22"/>
              </w:rPr>
              <w:t>Does the entity distinguish the unobligated balance</w:t>
            </w:r>
            <w:r w:rsidR="005F4D38" w:rsidRPr="005B5418">
              <w:rPr>
                <w:rFonts w:eastAsia="Arial Unicode MS" w:cs="Arial"/>
                <w:szCs w:val="22"/>
              </w:rPr>
              <w:t>,</w:t>
            </w:r>
            <w:r w:rsidRPr="005B5418">
              <w:rPr>
                <w:rStyle w:val="FootnoteReference"/>
                <w:rFonts w:eastAsia="Arial Unicode MS"/>
              </w:rPr>
              <w:footnoteReference w:id="76"/>
            </w:r>
            <w:r w:rsidRPr="005B5418">
              <w:rPr>
                <w:rFonts w:eastAsia="Arial Unicode MS" w:cs="Arial"/>
                <w:szCs w:val="22"/>
              </w:rPr>
              <w:t xml:space="preserve"> the obligated balance not yet disbursed</w:t>
            </w:r>
            <w:r w:rsidR="005F4D38" w:rsidRPr="005B5418">
              <w:rPr>
                <w:rFonts w:eastAsia="Arial Unicode MS" w:cs="Arial"/>
                <w:szCs w:val="22"/>
              </w:rPr>
              <w:t>,</w:t>
            </w:r>
            <w:r w:rsidRPr="005B5418">
              <w:rPr>
                <w:rStyle w:val="FootnoteReference"/>
                <w:rFonts w:eastAsia="Arial Unicode MS"/>
              </w:rPr>
              <w:footnoteReference w:id="77"/>
            </w:r>
            <w:r w:rsidRPr="005B5418">
              <w:rPr>
                <w:rFonts w:eastAsia="Arial Unicode MS" w:cs="Arial"/>
                <w:szCs w:val="22"/>
              </w:rPr>
              <w:t xml:space="preserve"> and non-budgetary FBWT</w:t>
            </w:r>
            <w:r w:rsidRPr="005B5418">
              <w:rPr>
                <w:rStyle w:val="FootnoteReference"/>
                <w:rFonts w:eastAsia="Arial Unicode MS"/>
              </w:rPr>
              <w:footnoteReference w:id="78"/>
            </w:r>
            <w:r w:rsidRPr="005B5418">
              <w:rPr>
                <w:rStyle w:val="FootnoteReference"/>
                <w:rFonts w:eastAsia="Arial Unicode MS"/>
              </w:rPr>
              <w:t xml:space="preserve"> </w:t>
            </w:r>
            <w:r w:rsidRPr="005B5418">
              <w:rPr>
                <w:rFonts w:eastAsia="Arial Unicode MS" w:cs="Arial"/>
                <w:szCs w:val="22"/>
              </w:rPr>
              <w:t>categories of funds within FBWT in a note to the financial statements? (SFFAS 1, par</w:t>
            </w:r>
            <w:r w:rsidR="008353A3" w:rsidRPr="005B5418">
              <w:rPr>
                <w:rFonts w:eastAsia="Arial Unicode MS" w:cs="Arial"/>
                <w:szCs w:val="22"/>
              </w:rPr>
              <w:t>a</w:t>
            </w:r>
            <w:r w:rsidRPr="005B5418">
              <w:rPr>
                <w:rFonts w:eastAsia="Arial Unicode MS" w:cs="Arial"/>
                <w:szCs w:val="22"/>
              </w:rPr>
              <w:t>. 37; A-136, section II.3.</w:t>
            </w:r>
            <w:r w:rsidR="006B4E1A" w:rsidRPr="005B5418">
              <w:rPr>
                <w:rFonts w:eastAsia="Arial Unicode MS" w:cs="Arial"/>
                <w:szCs w:val="22"/>
              </w:rPr>
              <w:t>8</w:t>
            </w:r>
            <w:r w:rsidRPr="005B5418">
              <w:rPr>
                <w:rFonts w:eastAsia="Arial Unicode MS" w:cs="Arial"/>
                <w:szCs w:val="22"/>
              </w:rPr>
              <w:t>.3)</w:t>
            </w:r>
          </w:p>
        </w:tc>
        <w:tc>
          <w:tcPr>
            <w:tcW w:w="968" w:type="dxa"/>
            <w:tcBorders>
              <w:top w:val="single" w:sz="4" w:space="0" w:color="auto"/>
              <w:left w:val="single" w:sz="4" w:space="0" w:color="auto"/>
              <w:bottom w:val="single" w:sz="4" w:space="0" w:color="auto"/>
              <w:right w:val="single" w:sz="4" w:space="0" w:color="auto"/>
            </w:tcBorders>
          </w:tcPr>
          <w:p w14:paraId="08175022" w14:textId="77777777" w:rsidR="00F45069" w:rsidRPr="005B5418" w:rsidRDefault="00F45069" w:rsidP="003B61E9">
            <w:pPr>
              <w:pStyle w:val="Table-Cell-CenterBoldBefore6ptAfter6pt"/>
              <w:rPr>
                <w:rFonts w:cs="Arial"/>
                <w:lang w:val="pt-BR"/>
              </w:rPr>
            </w:pPr>
          </w:p>
        </w:tc>
        <w:tc>
          <w:tcPr>
            <w:tcW w:w="3196" w:type="dxa"/>
            <w:tcBorders>
              <w:top w:val="single" w:sz="4" w:space="0" w:color="auto"/>
              <w:left w:val="single" w:sz="4" w:space="0" w:color="auto"/>
              <w:bottom w:val="single" w:sz="4" w:space="0" w:color="auto"/>
              <w:right w:val="single" w:sz="4" w:space="0" w:color="auto"/>
            </w:tcBorders>
          </w:tcPr>
          <w:p w14:paraId="0169EFFD" w14:textId="77777777" w:rsidR="00F45069" w:rsidRPr="005B5418" w:rsidRDefault="00F45069" w:rsidP="003B61E9">
            <w:pPr>
              <w:spacing w:line="240" w:lineRule="auto"/>
              <w:rPr>
                <w:rFonts w:cs="Arial"/>
                <w:lang w:val="pt-BR"/>
              </w:rPr>
            </w:pPr>
          </w:p>
        </w:tc>
      </w:tr>
      <w:tr w:rsidR="00F45069" w:rsidRPr="005B5418" w14:paraId="236DBF60" w14:textId="77777777" w:rsidTr="008848DA">
        <w:trPr>
          <w:cantSplit/>
          <w:trHeight w:val="1142"/>
        </w:trPr>
        <w:tc>
          <w:tcPr>
            <w:tcW w:w="5525" w:type="dxa"/>
          </w:tcPr>
          <w:p w14:paraId="2066EEEB" w14:textId="6395864D" w:rsidR="00F45069" w:rsidRPr="005B5418" w:rsidRDefault="00F45069">
            <w:pPr>
              <w:pStyle w:val="FAM-Table-outline"/>
              <w:spacing w:line="240" w:lineRule="auto"/>
            </w:pPr>
            <w:r w:rsidRPr="005B5418">
              <w:rPr>
                <w:rFonts w:eastAsia="Arial Unicode MS" w:cs="Arial"/>
                <w:szCs w:val="22"/>
              </w:rPr>
              <w:t xml:space="preserve">Does the disclosure </w:t>
            </w:r>
            <w:r w:rsidR="008B5758" w:rsidRPr="005B5418">
              <w:rPr>
                <w:rFonts w:eastAsia="Arial Unicode MS" w:cs="Arial"/>
                <w:szCs w:val="22"/>
              </w:rPr>
              <w:t xml:space="preserve">state that unobligated balances may include amounts that are not available for current use and restricted to future use? </w:t>
            </w:r>
            <w:r w:rsidRPr="005B5418">
              <w:rPr>
                <w:rFonts w:eastAsia="Arial Unicode MS" w:cs="Arial"/>
                <w:szCs w:val="22"/>
              </w:rPr>
              <w:t>(A-136, section II.3.</w:t>
            </w:r>
            <w:r w:rsidR="006B4E1A" w:rsidRPr="005B5418">
              <w:rPr>
                <w:rFonts w:eastAsia="Arial Unicode MS" w:cs="Arial"/>
                <w:szCs w:val="22"/>
              </w:rPr>
              <w:t>8</w:t>
            </w:r>
            <w:r w:rsidRPr="005B5418">
              <w:rPr>
                <w:rFonts w:eastAsia="Arial Unicode MS" w:cs="Arial"/>
                <w:szCs w:val="22"/>
              </w:rPr>
              <w:t>.3)</w:t>
            </w:r>
            <w:r w:rsidRPr="005B5418">
              <w:t xml:space="preserve"> </w:t>
            </w:r>
          </w:p>
        </w:tc>
        <w:tc>
          <w:tcPr>
            <w:tcW w:w="968" w:type="dxa"/>
          </w:tcPr>
          <w:p w14:paraId="27E878C0" w14:textId="77777777" w:rsidR="00F45069" w:rsidRPr="005B5418" w:rsidRDefault="00F45069" w:rsidP="003B61E9">
            <w:pPr>
              <w:pStyle w:val="Table-Cell-CenterBoldBefore6ptAfter6pt"/>
              <w:rPr>
                <w:rFonts w:cs="Arial"/>
                <w:lang w:val="pt-BR"/>
              </w:rPr>
            </w:pPr>
          </w:p>
        </w:tc>
        <w:tc>
          <w:tcPr>
            <w:tcW w:w="3196" w:type="dxa"/>
          </w:tcPr>
          <w:p w14:paraId="1C6D2D40" w14:textId="77777777" w:rsidR="00F45069" w:rsidRPr="005B5418" w:rsidRDefault="00F45069" w:rsidP="003B61E9">
            <w:pPr>
              <w:spacing w:line="240" w:lineRule="auto"/>
              <w:rPr>
                <w:rFonts w:cs="Arial"/>
                <w:lang w:val="pt-BR"/>
              </w:rPr>
            </w:pPr>
          </w:p>
        </w:tc>
      </w:tr>
      <w:tr w:rsidR="00F45069" w:rsidRPr="005B5418" w14:paraId="7BCD3EB5" w14:textId="77777777" w:rsidTr="005C61FF">
        <w:trPr>
          <w:cantSplit/>
          <w:trHeight w:val="1277"/>
        </w:trPr>
        <w:tc>
          <w:tcPr>
            <w:tcW w:w="5525" w:type="dxa"/>
          </w:tcPr>
          <w:p w14:paraId="44539885" w14:textId="7A4E2FC8" w:rsidR="00F45069" w:rsidRPr="005B5418" w:rsidRDefault="00F45069" w:rsidP="006B2D81">
            <w:pPr>
              <w:pStyle w:val="FAM-Table-outline"/>
              <w:spacing w:line="240" w:lineRule="auto"/>
              <w:rPr>
                <w:lang w:val="pt-BR"/>
              </w:rPr>
            </w:pPr>
            <w:r w:rsidRPr="005B5418">
              <w:rPr>
                <w:rFonts w:eastAsia="Arial Unicode MS" w:cs="Arial"/>
                <w:szCs w:val="22"/>
              </w:rPr>
              <w:t xml:space="preserve">Are restrictions on unobligated balances related to future use disclosed </w:t>
            </w:r>
            <w:r w:rsidR="008C33FB" w:rsidRPr="005B5418">
              <w:rPr>
                <w:rFonts w:eastAsia="Arial Unicode MS" w:cs="Arial"/>
                <w:szCs w:val="22"/>
              </w:rPr>
              <w:t>pursuant to SFFAS 1, paragraph 38</w:t>
            </w:r>
            <w:r w:rsidRPr="005B5418">
              <w:rPr>
                <w:rFonts w:eastAsia="Arial Unicode MS" w:cs="Arial"/>
                <w:szCs w:val="22"/>
              </w:rPr>
              <w:t xml:space="preserve">? </w:t>
            </w:r>
            <w:r w:rsidRPr="005425ED">
              <w:rPr>
                <w:rFonts w:eastAsia="Arial Unicode MS"/>
              </w:rPr>
              <w:t>(SFFAS 1, par</w:t>
            </w:r>
            <w:r w:rsidR="00920683" w:rsidRPr="005425ED">
              <w:rPr>
                <w:rFonts w:eastAsia="Arial Unicode MS"/>
              </w:rPr>
              <w:t>a</w:t>
            </w:r>
            <w:r w:rsidRPr="005425ED">
              <w:rPr>
                <w:rFonts w:eastAsia="Arial Unicode MS"/>
              </w:rPr>
              <w:t>. 38)</w:t>
            </w:r>
          </w:p>
        </w:tc>
        <w:tc>
          <w:tcPr>
            <w:tcW w:w="968" w:type="dxa"/>
          </w:tcPr>
          <w:p w14:paraId="560F0D91" w14:textId="77777777" w:rsidR="00F45069" w:rsidRPr="005B5418" w:rsidRDefault="00F45069" w:rsidP="003B61E9">
            <w:pPr>
              <w:pStyle w:val="Table-Cell-CenterBoldBefore6ptAfter6pt"/>
              <w:rPr>
                <w:rFonts w:cs="Arial"/>
                <w:lang w:val="pt-BR"/>
              </w:rPr>
            </w:pPr>
          </w:p>
        </w:tc>
        <w:tc>
          <w:tcPr>
            <w:tcW w:w="3196" w:type="dxa"/>
          </w:tcPr>
          <w:p w14:paraId="1A88590E" w14:textId="77777777" w:rsidR="00F45069" w:rsidRPr="005B5418" w:rsidRDefault="00F45069" w:rsidP="003B61E9">
            <w:pPr>
              <w:spacing w:line="240" w:lineRule="auto"/>
              <w:rPr>
                <w:rFonts w:cs="Arial"/>
                <w:lang w:val="pt-BR"/>
              </w:rPr>
            </w:pPr>
          </w:p>
        </w:tc>
      </w:tr>
      <w:tr w:rsidR="00F45069" w:rsidRPr="005B5418" w14:paraId="2B1C02A2" w14:textId="77777777" w:rsidTr="005C61FF">
        <w:trPr>
          <w:cantSplit/>
          <w:trHeight w:val="2160"/>
        </w:trPr>
        <w:tc>
          <w:tcPr>
            <w:tcW w:w="5525" w:type="dxa"/>
          </w:tcPr>
          <w:p w14:paraId="0BEB90AE" w14:textId="09DC0A56" w:rsidR="00F45069" w:rsidRPr="005425ED" w:rsidRDefault="00F45069" w:rsidP="005425ED">
            <w:pPr>
              <w:pStyle w:val="FAM-Table-outline"/>
              <w:spacing w:line="240" w:lineRule="auto"/>
              <w:rPr>
                <w:rFonts w:eastAsia="Arial Unicode MS"/>
              </w:rPr>
            </w:pPr>
            <w:r w:rsidRPr="005B5418">
              <w:rPr>
                <w:rFonts w:eastAsia="Arial Unicode MS" w:cs="Arial"/>
                <w:szCs w:val="22"/>
              </w:rPr>
              <w:lastRenderedPageBreak/>
              <w:t xml:space="preserve">Does the entity disclose </w:t>
            </w:r>
          </w:p>
          <w:p w14:paraId="671A1E7A" w14:textId="0000CEA4" w:rsidR="00F45069" w:rsidRPr="005B5418" w:rsidRDefault="00F45069" w:rsidP="005425ED">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differences and the causes (if known) of such differences between FBWT in its general ledger accounts and the balance in its Treasury’s accounts</w:t>
            </w:r>
            <w:r w:rsidR="00CD78E1" w:rsidRPr="005B5418">
              <w:rPr>
                <w:rFonts w:eastAsia="Arial Unicode MS" w:cs="Arial"/>
                <w:szCs w:val="22"/>
              </w:rPr>
              <w:t>,</w:t>
            </w:r>
            <w:r w:rsidRPr="005B5418">
              <w:rPr>
                <w:rFonts w:eastAsia="Arial Unicode MS" w:cs="Arial"/>
                <w:szCs w:val="22"/>
              </w:rPr>
              <w:t xml:space="preserve"> and</w:t>
            </w:r>
          </w:p>
          <w:p w14:paraId="70102228" w14:textId="0F40387D" w:rsidR="00F45069" w:rsidRPr="005B5418" w:rsidRDefault="00F45069" w:rsidP="005425ED">
            <w:pPr>
              <w:pStyle w:val="FAM-Table-outline2"/>
              <w:tabs>
                <w:tab w:val="num" w:pos="576"/>
              </w:tabs>
              <w:spacing w:line="240" w:lineRule="auto"/>
              <w:ind w:left="1155" w:hanging="458"/>
            </w:pPr>
            <w:r w:rsidRPr="005B5418">
              <w:rPr>
                <w:rFonts w:eastAsia="Arial Unicode MS" w:cs="Arial"/>
                <w:szCs w:val="22"/>
              </w:rPr>
              <w:t xml:space="preserve">other information necessary for understanding the nature of fund balances? </w:t>
            </w:r>
            <w:r w:rsidRPr="005425ED">
              <w:rPr>
                <w:rFonts w:eastAsia="Arial Unicode MS"/>
              </w:rPr>
              <w:t>(SFFAS 1, par</w:t>
            </w:r>
            <w:r w:rsidR="000A03A8" w:rsidRPr="005425ED">
              <w:rPr>
                <w:rFonts w:eastAsia="Arial Unicode MS"/>
              </w:rPr>
              <w:t>a</w:t>
            </w:r>
            <w:r w:rsidRPr="005425ED">
              <w:rPr>
                <w:rFonts w:eastAsia="Arial Unicode MS"/>
              </w:rPr>
              <w:t xml:space="preserve">. 39; </w:t>
            </w:r>
            <w:r w:rsidRPr="005B5418">
              <w:rPr>
                <w:rFonts w:eastAsia="Arial Unicode MS" w:cs="Arial"/>
                <w:szCs w:val="22"/>
              </w:rPr>
              <w:t>A-136, section II.3.</w:t>
            </w:r>
            <w:r w:rsidR="006B4E1A" w:rsidRPr="005B5418">
              <w:rPr>
                <w:rFonts w:eastAsia="Arial Unicode MS" w:cs="Arial"/>
                <w:szCs w:val="22"/>
              </w:rPr>
              <w:t>8</w:t>
            </w:r>
            <w:r w:rsidRPr="005B5418">
              <w:rPr>
                <w:rFonts w:eastAsia="Arial Unicode MS" w:cs="Arial"/>
                <w:szCs w:val="22"/>
              </w:rPr>
              <w:t>.3)</w:t>
            </w:r>
          </w:p>
        </w:tc>
        <w:tc>
          <w:tcPr>
            <w:tcW w:w="968" w:type="dxa"/>
          </w:tcPr>
          <w:p w14:paraId="35FB51B1" w14:textId="77777777" w:rsidR="00F45069" w:rsidRPr="005B5418" w:rsidRDefault="00F45069" w:rsidP="003B61E9">
            <w:pPr>
              <w:pStyle w:val="Table-Cell-CenterBoldBefore6ptAfter6pt"/>
              <w:rPr>
                <w:rFonts w:cs="Arial"/>
              </w:rPr>
            </w:pPr>
          </w:p>
        </w:tc>
        <w:tc>
          <w:tcPr>
            <w:tcW w:w="3196" w:type="dxa"/>
          </w:tcPr>
          <w:p w14:paraId="0579C234" w14:textId="77777777" w:rsidR="00F45069" w:rsidRPr="005B5418" w:rsidRDefault="00F45069" w:rsidP="003B61E9">
            <w:pPr>
              <w:spacing w:line="240" w:lineRule="auto"/>
              <w:rPr>
                <w:rFonts w:cs="Arial"/>
              </w:rPr>
            </w:pPr>
          </w:p>
        </w:tc>
      </w:tr>
      <w:tr w:rsidR="00F45069" w:rsidRPr="005B5418" w14:paraId="29F0E6CF" w14:textId="77777777" w:rsidTr="005C61FF">
        <w:trPr>
          <w:cantSplit/>
          <w:trHeight w:val="1394"/>
        </w:trPr>
        <w:tc>
          <w:tcPr>
            <w:tcW w:w="5525" w:type="dxa"/>
          </w:tcPr>
          <w:p w14:paraId="6C9DCE1A" w14:textId="5B4DD375" w:rsidR="00F45069" w:rsidRPr="005B5418" w:rsidRDefault="00F45069" w:rsidP="005425ED">
            <w:pPr>
              <w:pStyle w:val="FAM-Table-outline"/>
              <w:spacing w:line="240" w:lineRule="auto"/>
              <w:rPr>
                <w:rFonts w:cs="Arial"/>
              </w:rPr>
            </w:pPr>
            <w:r w:rsidRPr="005B5418">
              <w:rPr>
                <w:rFonts w:eastAsia="Arial Unicode MS" w:cs="Arial"/>
                <w:szCs w:val="22"/>
              </w:rPr>
              <w:t>Does the entity disclose information on unused funds in expired appropriations that are returned to Treasury at the end of a fiscal year? (SFFAS 1, par</w:t>
            </w:r>
            <w:r w:rsidR="000A03A8" w:rsidRPr="005B5418">
              <w:rPr>
                <w:rFonts w:eastAsia="Arial Unicode MS" w:cs="Arial"/>
                <w:szCs w:val="22"/>
              </w:rPr>
              <w:t>a</w:t>
            </w:r>
            <w:r w:rsidRPr="005B5418">
              <w:rPr>
                <w:rFonts w:eastAsia="Arial Unicode MS" w:cs="Arial"/>
                <w:szCs w:val="22"/>
              </w:rPr>
              <w:t>. 39)</w:t>
            </w:r>
          </w:p>
        </w:tc>
        <w:tc>
          <w:tcPr>
            <w:tcW w:w="968" w:type="dxa"/>
          </w:tcPr>
          <w:p w14:paraId="7CF89FB2" w14:textId="77777777" w:rsidR="00F45069" w:rsidRPr="005B5418" w:rsidRDefault="00F45069" w:rsidP="003B61E9">
            <w:pPr>
              <w:pStyle w:val="Table-Cell-CenterBoldBefore6ptAfter6pt"/>
              <w:rPr>
                <w:rFonts w:cs="Arial"/>
              </w:rPr>
            </w:pPr>
          </w:p>
        </w:tc>
        <w:tc>
          <w:tcPr>
            <w:tcW w:w="3196" w:type="dxa"/>
          </w:tcPr>
          <w:p w14:paraId="6913715D" w14:textId="77777777" w:rsidR="00F45069" w:rsidRPr="005B5418" w:rsidRDefault="00F45069" w:rsidP="003B61E9">
            <w:pPr>
              <w:spacing w:line="240" w:lineRule="auto"/>
              <w:rPr>
                <w:rFonts w:cs="Arial"/>
              </w:rPr>
            </w:pPr>
          </w:p>
        </w:tc>
      </w:tr>
    </w:tbl>
    <w:p w14:paraId="19D36DDD" w14:textId="77777777" w:rsidR="0084195D" w:rsidRPr="005B5418" w:rsidRDefault="00F45069"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84195D" w:rsidRPr="005B5418" w14:paraId="25F89AFF" w14:textId="77777777" w:rsidTr="00F1712A">
        <w:trPr>
          <w:tblHeader/>
        </w:trPr>
        <w:tc>
          <w:tcPr>
            <w:tcW w:w="5400" w:type="dxa"/>
            <w:tcBorders>
              <w:top w:val="single" w:sz="4" w:space="0" w:color="auto"/>
              <w:left w:val="single" w:sz="4" w:space="0" w:color="auto"/>
              <w:bottom w:val="single" w:sz="4" w:space="0" w:color="auto"/>
              <w:right w:val="single" w:sz="4" w:space="0" w:color="auto"/>
            </w:tcBorders>
          </w:tcPr>
          <w:p w14:paraId="5F2A88E1" w14:textId="77777777" w:rsidR="0084195D" w:rsidRPr="005B5418" w:rsidRDefault="0084195D" w:rsidP="008848DA">
            <w:pPr>
              <w:pStyle w:val="Heading4"/>
              <w:spacing w:before="60" w:after="60" w:line="240" w:lineRule="auto"/>
              <w:jc w:val="left"/>
              <w:rPr>
                <w:b/>
                <w:u w:val="none"/>
              </w:rPr>
            </w:pPr>
            <w:bookmarkStart w:id="112" w:name="_II.3.8.4_Cash_and"/>
            <w:bookmarkStart w:id="113" w:name="_Ref8063122"/>
            <w:bookmarkEnd w:id="112"/>
            <w:r w:rsidRPr="005B5418">
              <w:rPr>
                <w:b/>
                <w:u w:val="none"/>
              </w:rPr>
              <w:lastRenderedPageBreak/>
              <w:t>II.3.8.4 Cash and Other Monetary Assets</w:t>
            </w:r>
            <w:bookmarkEnd w:id="113"/>
          </w:p>
        </w:tc>
        <w:tc>
          <w:tcPr>
            <w:tcW w:w="965" w:type="dxa"/>
            <w:tcBorders>
              <w:top w:val="single" w:sz="4" w:space="0" w:color="auto"/>
              <w:left w:val="single" w:sz="4" w:space="0" w:color="auto"/>
              <w:bottom w:val="single" w:sz="4" w:space="0" w:color="auto"/>
              <w:right w:val="single" w:sz="4" w:space="0" w:color="auto"/>
            </w:tcBorders>
          </w:tcPr>
          <w:p w14:paraId="7DD21885" w14:textId="77777777" w:rsidR="0084195D" w:rsidRPr="005B5418" w:rsidRDefault="0084195D" w:rsidP="00F1712A">
            <w:pPr>
              <w:pStyle w:val="TableCellCenter"/>
              <w:jc w:val="left"/>
            </w:pPr>
            <w:r w:rsidRPr="005B5418">
              <w:t>Yes, No, or N/A</w:t>
            </w:r>
          </w:p>
        </w:tc>
        <w:tc>
          <w:tcPr>
            <w:tcW w:w="3211" w:type="dxa"/>
            <w:tcBorders>
              <w:top w:val="single" w:sz="4" w:space="0" w:color="auto"/>
              <w:left w:val="single" w:sz="4" w:space="0" w:color="auto"/>
              <w:bottom w:val="single" w:sz="4" w:space="0" w:color="auto"/>
              <w:right w:val="single" w:sz="4" w:space="0" w:color="auto"/>
            </w:tcBorders>
          </w:tcPr>
          <w:p w14:paraId="00039F08" w14:textId="769C17FB" w:rsidR="0084195D" w:rsidRPr="005B5418" w:rsidRDefault="0084195D" w:rsidP="006C22C2">
            <w:pPr>
              <w:pStyle w:val="TableCellCenter"/>
              <w:jc w:val="left"/>
            </w:pPr>
            <w:r w:rsidRPr="005B5418">
              <w:t xml:space="preserve">Explanation </w:t>
            </w:r>
            <w:r w:rsidR="006C22C2" w:rsidRPr="005B5418">
              <w:t xml:space="preserve">and </w:t>
            </w:r>
            <w:r w:rsidRPr="005B5418">
              <w:t>Reference</w:t>
            </w:r>
          </w:p>
        </w:tc>
      </w:tr>
      <w:tr w:rsidR="0084195D" w:rsidRPr="005B5418" w14:paraId="14F94BB0" w14:textId="77777777" w:rsidTr="00427DD5">
        <w:trPr>
          <w:cantSplit/>
        </w:trPr>
        <w:tc>
          <w:tcPr>
            <w:tcW w:w="9576" w:type="dxa"/>
            <w:gridSpan w:val="3"/>
          </w:tcPr>
          <w:p w14:paraId="4D5EFF1B" w14:textId="3FEAEFEB" w:rsidR="00427DD5" w:rsidRPr="005B5418" w:rsidRDefault="00427DD5" w:rsidP="008848DA">
            <w:pPr>
              <w:pStyle w:val="Table-Note"/>
              <w:keepLines/>
              <w:spacing w:before="60" w:after="60" w:line="240" w:lineRule="auto"/>
              <w:ind w:left="0"/>
              <w:jc w:val="left"/>
              <w:rPr>
                <w:rFonts w:eastAsia="Arial Unicode MS" w:cs="Arial"/>
                <w:i w:val="0"/>
                <w:sz w:val="22"/>
                <w:szCs w:val="22"/>
              </w:rPr>
            </w:pPr>
            <w:r w:rsidRPr="005B5418">
              <w:rPr>
                <w:rFonts w:eastAsia="Arial Unicode MS" w:cs="Arial"/>
                <w:i w:val="0"/>
                <w:sz w:val="22"/>
                <w:szCs w:val="22"/>
              </w:rPr>
              <w:t xml:space="preserve">Cash (including imprest funds) consists of coins, paper currency, readily negotiable instruments (such as checks, money orders, and bank drafts), demand deposits, investments held outside of Treasury, and foreign currencies stated in U.S. dollars at the exchange rate on the financial statement date. </w:t>
            </w:r>
            <w:r w:rsidR="009420AA" w:rsidRPr="005B5418">
              <w:rPr>
                <w:rFonts w:cs="Arial"/>
                <w:i w:val="0"/>
                <w:sz w:val="22"/>
                <w:szCs w:val="22"/>
              </w:rPr>
              <w:t>Other monetary assets consist of items such as gold, special drawing rights, and U.S. reserves in the International Monetary Fund (IMF)</w:t>
            </w:r>
            <w:r w:rsidR="00AD76DE" w:rsidRPr="005B5418">
              <w:rPr>
                <w:rFonts w:cs="Arial"/>
                <w:i w:val="0"/>
                <w:sz w:val="22"/>
                <w:szCs w:val="22"/>
              </w:rPr>
              <w:t xml:space="preserve">. </w:t>
            </w:r>
            <w:r w:rsidR="009420AA" w:rsidRPr="005B5418">
              <w:rPr>
                <w:rFonts w:cs="Arial"/>
                <w:i w:val="0"/>
                <w:sz w:val="22"/>
                <w:szCs w:val="22"/>
              </w:rPr>
              <w:t>(SFFAS 1, par</w:t>
            </w:r>
            <w:r w:rsidR="00FB3F04" w:rsidRPr="005B5418">
              <w:rPr>
                <w:rFonts w:cs="Arial"/>
                <w:i w:val="0"/>
                <w:sz w:val="22"/>
                <w:szCs w:val="22"/>
              </w:rPr>
              <w:t>a</w:t>
            </w:r>
            <w:r w:rsidR="009420AA" w:rsidRPr="005B5418">
              <w:rPr>
                <w:rFonts w:cs="Arial"/>
                <w:i w:val="0"/>
                <w:sz w:val="22"/>
                <w:szCs w:val="22"/>
              </w:rPr>
              <w:t xml:space="preserve">. 27; A-136, sections II.3.2.3 </w:t>
            </w:r>
            <w:r w:rsidR="00FB3F04" w:rsidRPr="005B5418">
              <w:rPr>
                <w:rFonts w:cs="Arial"/>
                <w:i w:val="0"/>
                <w:sz w:val="22"/>
                <w:szCs w:val="22"/>
              </w:rPr>
              <w:t xml:space="preserve">and </w:t>
            </w:r>
            <w:r w:rsidR="009420AA" w:rsidRPr="005B5418">
              <w:rPr>
                <w:rFonts w:cs="Arial"/>
                <w:i w:val="0"/>
                <w:sz w:val="22"/>
                <w:szCs w:val="22"/>
              </w:rPr>
              <w:t>II.3.8.4)</w:t>
            </w:r>
          </w:p>
          <w:p w14:paraId="506D87A3" w14:textId="4C7BD58E" w:rsidR="0084195D" w:rsidRPr="005B5418" w:rsidRDefault="00427DD5" w:rsidP="008848DA">
            <w:pPr>
              <w:pStyle w:val="Table-Note"/>
              <w:keepLines/>
              <w:spacing w:before="60" w:after="60" w:line="240" w:lineRule="auto"/>
              <w:ind w:left="0"/>
              <w:jc w:val="left"/>
              <w:rPr>
                <w:rFonts w:eastAsia="Arial Unicode MS" w:cs="Arial"/>
                <w:i w:val="0"/>
                <w:sz w:val="22"/>
                <w:szCs w:val="22"/>
              </w:rPr>
            </w:pPr>
            <w:r w:rsidRPr="005B5418">
              <w:rPr>
                <w:rFonts w:eastAsia="Arial Unicode MS" w:cs="Arial"/>
                <w:i w:val="0"/>
                <w:sz w:val="22"/>
                <w:szCs w:val="22"/>
              </w:rPr>
              <w:t>Entity cash is the amount of cash that the reporting entity holds and is authorized to spend. Non-entity cash is cash that a federal entity collects and holds on behalf of the U.S. government or other entities. In some instances</w:t>
            </w:r>
            <w:r w:rsidR="007506F4" w:rsidRPr="005B5418">
              <w:rPr>
                <w:rFonts w:eastAsia="Arial Unicode MS" w:cs="Arial"/>
                <w:i w:val="0"/>
                <w:sz w:val="22"/>
                <w:szCs w:val="22"/>
              </w:rPr>
              <w:t>,</w:t>
            </w:r>
            <w:r w:rsidRPr="005B5418">
              <w:rPr>
                <w:rFonts w:eastAsia="Arial Unicode MS" w:cs="Arial"/>
                <w:i w:val="0"/>
                <w:sz w:val="22"/>
                <w:szCs w:val="22"/>
              </w:rPr>
              <w:t xml:space="preserve"> the entity deposits cash in its accounts in a custodial capacity for the U.S. Treasury or other federal component entities or in a fiduciary capacity for non-federal parties. Non-entity cash held that meets the definition of a fiduciary asset should not be recognized</w:t>
            </w:r>
            <w:r w:rsidR="00D525BA" w:rsidRPr="005B5418">
              <w:rPr>
                <w:rFonts w:eastAsia="Arial Unicode MS" w:cs="Arial"/>
                <w:i w:val="0"/>
                <w:sz w:val="22"/>
                <w:szCs w:val="22"/>
              </w:rPr>
              <w:t xml:space="preserve"> on</w:t>
            </w:r>
            <w:r w:rsidRPr="005B5418">
              <w:rPr>
                <w:rFonts w:eastAsia="Arial Unicode MS" w:cs="Arial"/>
                <w:i w:val="0"/>
                <w:sz w:val="22"/>
                <w:szCs w:val="22"/>
              </w:rPr>
              <w:t xml:space="preserve"> the </w:t>
            </w:r>
            <w:r w:rsidR="001B5C17" w:rsidRPr="005B5418">
              <w:rPr>
                <w:rFonts w:eastAsia="Arial Unicode MS" w:cs="Arial"/>
                <w:i w:val="0"/>
                <w:sz w:val="22"/>
                <w:szCs w:val="22"/>
              </w:rPr>
              <w:t>balance sheet</w:t>
            </w:r>
            <w:r w:rsidRPr="005B5418">
              <w:rPr>
                <w:rFonts w:eastAsia="Arial Unicode MS" w:cs="Arial"/>
                <w:i w:val="0"/>
                <w:sz w:val="22"/>
                <w:szCs w:val="22"/>
              </w:rPr>
              <w:t xml:space="preserve"> but should be separately disclosed in accordance with SFFAS 1. (SFFAS 1, par</w:t>
            </w:r>
            <w:r w:rsidR="00FB3F04" w:rsidRPr="005B5418">
              <w:rPr>
                <w:rFonts w:eastAsia="Arial Unicode MS" w:cs="Arial"/>
                <w:i w:val="0"/>
                <w:sz w:val="22"/>
                <w:szCs w:val="22"/>
              </w:rPr>
              <w:t>as</w:t>
            </w:r>
            <w:r w:rsidRPr="005B5418">
              <w:rPr>
                <w:rFonts w:eastAsia="Arial Unicode MS" w:cs="Arial"/>
                <w:i w:val="0"/>
                <w:sz w:val="22"/>
                <w:szCs w:val="22"/>
              </w:rPr>
              <w:t>. 28</w:t>
            </w:r>
            <w:r w:rsidR="00FB3F04" w:rsidRPr="005B5418">
              <w:rPr>
                <w:rFonts w:eastAsia="Arial Unicode MS" w:cs="Arial"/>
                <w:i w:val="0"/>
                <w:sz w:val="22"/>
                <w:szCs w:val="22"/>
              </w:rPr>
              <w:t>–</w:t>
            </w:r>
            <w:r w:rsidRPr="005B5418">
              <w:rPr>
                <w:rFonts w:eastAsia="Arial Unicode MS" w:cs="Arial"/>
                <w:i w:val="0"/>
                <w:sz w:val="22"/>
                <w:szCs w:val="22"/>
              </w:rPr>
              <w:t>29)</w:t>
            </w:r>
          </w:p>
        </w:tc>
      </w:tr>
      <w:tr w:rsidR="00D510A2" w:rsidRPr="005B5418" w14:paraId="753C6BC3" w14:textId="77777777" w:rsidTr="00F1712A">
        <w:trPr>
          <w:cantSplit/>
          <w:trHeight w:val="1133"/>
        </w:trPr>
        <w:tc>
          <w:tcPr>
            <w:tcW w:w="5400" w:type="dxa"/>
          </w:tcPr>
          <w:p w14:paraId="3AD95FC0" w14:textId="27B367A9" w:rsidR="00D510A2" w:rsidRPr="005B5418" w:rsidRDefault="00D510A2" w:rsidP="00825C76">
            <w:pPr>
              <w:pStyle w:val="FAM-Table-outline"/>
              <w:numPr>
                <w:ilvl w:val="0"/>
                <w:numId w:val="59"/>
              </w:numPr>
              <w:spacing w:line="240" w:lineRule="auto"/>
              <w:rPr>
                <w:rFonts w:eastAsia="Arial Unicode MS" w:cs="Arial"/>
                <w:szCs w:val="22"/>
              </w:rPr>
            </w:pPr>
            <w:r w:rsidRPr="005B5418">
              <w:rPr>
                <w:rFonts w:eastAsia="Arial Unicode MS" w:cs="Arial"/>
                <w:szCs w:val="22"/>
              </w:rPr>
              <w:t xml:space="preserve">Is this </w:t>
            </w:r>
            <w:r w:rsidR="00433501" w:rsidRPr="005B5418">
              <w:rPr>
                <w:rFonts w:eastAsia="Arial Unicode MS" w:cs="Arial"/>
                <w:szCs w:val="22"/>
              </w:rPr>
              <w:t>topic</w:t>
            </w:r>
            <w:r w:rsidRPr="005B5418">
              <w:rPr>
                <w:rFonts w:eastAsia="Arial Unicode MS" w:cs="Arial"/>
                <w:szCs w:val="22"/>
              </w:rPr>
              <w:t xml:space="preserve"> applicable to the entity’s financial statements? (Answer Y if applicable, N/A if not applicable, or N/S if not significant. If N/A or N/S, skip to the next </w:t>
            </w:r>
            <w:r w:rsidR="00975704" w:rsidRPr="005B5418">
              <w:rPr>
                <w:rFonts w:eastAsia="Arial Unicode MS" w:cs="Arial"/>
                <w:szCs w:val="22"/>
              </w:rPr>
              <w:t>topic</w:t>
            </w:r>
            <w:r w:rsidR="0006629D" w:rsidRPr="005B5418">
              <w:rPr>
                <w:rFonts w:eastAsia="Arial Unicode MS" w:cs="Arial"/>
                <w:szCs w:val="22"/>
              </w:rPr>
              <w:t>.</w:t>
            </w:r>
            <w:r w:rsidRPr="005B5418">
              <w:rPr>
                <w:rFonts w:eastAsia="Arial Unicode MS" w:cs="Arial"/>
                <w:szCs w:val="22"/>
              </w:rPr>
              <w:t>)</w:t>
            </w:r>
          </w:p>
        </w:tc>
        <w:tc>
          <w:tcPr>
            <w:tcW w:w="965" w:type="dxa"/>
          </w:tcPr>
          <w:p w14:paraId="403B2729" w14:textId="77777777" w:rsidR="00D510A2" w:rsidRPr="005B5418" w:rsidRDefault="00D510A2" w:rsidP="003B61E9">
            <w:pPr>
              <w:pStyle w:val="Table-Cell-CenterBoldBefore6ptAfter6pt"/>
              <w:rPr>
                <w:rFonts w:cs="Arial"/>
              </w:rPr>
            </w:pPr>
          </w:p>
        </w:tc>
        <w:tc>
          <w:tcPr>
            <w:tcW w:w="3211" w:type="dxa"/>
          </w:tcPr>
          <w:p w14:paraId="385A24A4" w14:textId="77777777" w:rsidR="00D510A2" w:rsidRPr="005B5418" w:rsidRDefault="00D510A2" w:rsidP="003B61E9">
            <w:pPr>
              <w:spacing w:line="240" w:lineRule="auto"/>
              <w:rPr>
                <w:rFonts w:cs="Arial"/>
              </w:rPr>
            </w:pPr>
          </w:p>
        </w:tc>
      </w:tr>
      <w:tr w:rsidR="00DC7D67" w:rsidRPr="005B5418" w14:paraId="36399E8F" w14:textId="77777777" w:rsidTr="0038293D">
        <w:trPr>
          <w:cantSplit/>
          <w:trHeight w:val="422"/>
        </w:trPr>
        <w:tc>
          <w:tcPr>
            <w:tcW w:w="9576" w:type="dxa"/>
            <w:gridSpan w:val="3"/>
          </w:tcPr>
          <w:p w14:paraId="29FEFCEB" w14:textId="77777777" w:rsidR="00DC7D67" w:rsidRPr="005B5418" w:rsidRDefault="00DC7D67" w:rsidP="008848DA">
            <w:pPr>
              <w:spacing w:before="60" w:after="60" w:line="240" w:lineRule="auto"/>
              <w:rPr>
                <w:rFonts w:ascii="Arial" w:hAnsi="Arial" w:cs="Arial"/>
                <w:b/>
              </w:rPr>
            </w:pPr>
            <w:r w:rsidRPr="005B5418">
              <w:rPr>
                <w:rFonts w:ascii="Arial" w:hAnsi="Arial" w:cs="Arial"/>
                <w:b/>
              </w:rPr>
              <w:t>Accounting</w:t>
            </w:r>
          </w:p>
        </w:tc>
      </w:tr>
      <w:tr w:rsidR="00427DD5" w:rsidRPr="005B5418" w14:paraId="0D3A5BC0" w14:textId="77777777" w:rsidTr="00113F40">
        <w:trPr>
          <w:cantSplit/>
          <w:trHeight w:val="1457"/>
        </w:trPr>
        <w:tc>
          <w:tcPr>
            <w:tcW w:w="5400" w:type="dxa"/>
          </w:tcPr>
          <w:p w14:paraId="5B84AFF6" w14:textId="77777777" w:rsidR="00427DD5" w:rsidRPr="005B5418" w:rsidRDefault="00427DD5" w:rsidP="00825C76">
            <w:pPr>
              <w:pStyle w:val="FAM-Table-outline"/>
              <w:numPr>
                <w:ilvl w:val="0"/>
                <w:numId w:val="59"/>
              </w:numPr>
              <w:spacing w:line="240" w:lineRule="auto"/>
              <w:rPr>
                <w:rFonts w:eastAsia="Arial Unicode MS" w:cs="Arial"/>
                <w:szCs w:val="22"/>
              </w:rPr>
            </w:pPr>
            <w:r w:rsidRPr="005B5418">
              <w:rPr>
                <w:rFonts w:eastAsia="Arial Unicode MS" w:cs="Arial"/>
                <w:szCs w:val="22"/>
              </w:rPr>
              <w:t>Does the entity record all cash and other monetary assets to include</w:t>
            </w:r>
          </w:p>
          <w:p w14:paraId="0C5F4C4F" w14:textId="34A01826" w:rsidR="00427DD5" w:rsidRPr="005B5418" w:rsidRDefault="009817B2"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cash</w:t>
            </w:r>
            <w:r w:rsidR="00F37EA8" w:rsidRPr="005B5418">
              <w:rPr>
                <w:rFonts w:eastAsia="Arial Unicode MS" w:cs="Arial"/>
                <w:szCs w:val="22"/>
              </w:rPr>
              <w:t>,</w:t>
            </w:r>
            <w:r w:rsidR="00427DD5" w:rsidRPr="005B5418">
              <w:rPr>
                <w:rFonts w:eastAsia="Arial Unicode MS" w:cs="Arial"/>
                <w:szCs w:val="22"/>
              </w:rPr>
              <w:t xml:space="preserve"> such as coins, paper currency, negotiable instruments, and demand deposits</w:t>
            </w:r>
            <w:r w:rsidR="00F37EA8" w:rsidRPr="005B5418">
              <w:rPr>
                <w:rFonts w:eastAsia="Arial Unicode MS" w:cs="Arial"/>
                <w:szCs w:val="22"/>
              </w:rPr>
              <w:t>;</w:t>
            </w:r>
            <w:r w:rsidR="00427DD5" w:rsidRPr="005B5418">
              <w:rPr>
                <w:rFonts w:eastAsia="Arial Unicode MS" w:cs="Arial"/>
                <w:szCs w:val="22"/>
              </w:rPr>
              <w:t xml:space="preserve"> </w:t>
            </w:r>
          </w:p>
          <w:p w14:paraId="3EFF214E" w14:textId="1AB3C23B" w:rsidR="00427DD5" w:rsidRPr="005B5418" w:rsidRDefault="00427DD5"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foreign currency</w:t>
            </w:r>
            <w:r w:rsidR="00F37EA8" w:rsidRPr="005B5418">
              <w:rPr>
                <w:rFonts w:eastAsia="Arial Unicode MS" w:cs="Arial"/>
                <w:szCs w:val="22"/>
              </w:rPr>
              <w:t>;</w:t>
            </w:r>
            <w:r w:rsidRPr="005B5418">
              <w:rPr>
                <w:rFonts w:eastAsia="Arial Unicode MS" w:cs="Arial"/>
                <w:szCs w:val="22"/>
              </w:rPr>
              <w:t xml:space="preserve"> </w:t>
            </w:r>
          </w:p>
          <w:p w14:paraId="5CAD866D" w14:textId="40D3AAEE" w:rsidR="00C0408B" w:rsidRPr="005B5418" w:rsidRDefault="00427DD5"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other monetary assets</w:t>
            </w:r>
            <w:r w:rsidR="00F37EA8" w:rsidRPr="005B5418">
              <w:rPr>
                <w:rFonts w:eastAsia="Arial Unicode MS" w:cs="Arial"/>
                <w:szCs w:val="22"/>
              </w:rPr>
              <w:t>,</w:t>
            </w:r>
            <w:r w:rsidRPr="005B5418">
              <w:rPr>
                <w:rFonts w:eastAsia="Arial Unicode MS" w:cs="Arial"/>
                <w:szCs w:val="22"/>
              </w:rPr>
              <w:t xml:space="preserve"> such as gold, special drawing rights, </w:t>
            </w:r>
            <w:r w:rsidR="00B53D1B" w:rsidRPr="005B5418">
              <w:rPr>
                <w:rFonts w:eastAsia="Arial Unicode MS" w:cs="Arial"/>
                <w:szCs w:val="22"/>
              </w:rPr>
              <w:t xml:space="preserve">and </w:t>
            </w:r>
            <w:r w:rsidRPr="005B5418">
              <w:rPr>
                <w:rFonts w:eastAsia="Arial Unicode MS" w:cs="Arial"/>
                <w:szCs w:val="22"/>
              </w:rPr>
              <w:t>reserves in the IMF</w:t>
            </w:r>
            <w:r w:rsidR="00F37EA8" w:rsidRPr="005B5418">
              <w:rPr>
                <w:rFonts w:eastAsia="Arial Unicode MS" w:cs="Arial"/>
                <w:szCs w:val="22"/>
              </w:rPr>
              <w:t>; and</w:t>
            </w:r>
            <w:r w:rsidRPr="005B5418">
              <w:rPr>
                <w:rFonts w:eastAsia="Arial Unicode MS" w:cs="Arial"/>
                <w:szCs w:val="22"/>
              </w:rPr>
              <w:t xml:space="preserve"> </w:t>
            </w:r>
          </w:p>
          <w:p w14:paraId="080ADC51" w14:textId="275D7DD0" w:rsidR="00427DD5" w:rsidRPr="005B5418" w:rsidRDefault="00427DD5" w:rsidP="0047584E">
            <w:pPr>
              <w:pStyle w:val="FAM-Table-outline2"/>
              <w:tabs>
                <w:tab w:val="num" w:pos="576"/>
              </w:tabs>
              <w:spacing w:line="240" w:lineRule="auto"/>
              <w:ind w:left="1155" w:hanging="458"/>
              <w:rPr>
                <w:rFonts w:eastAsia="Arial Unicode MS"/>
              </w:rPr>
            </w:pPr>
            <w:r w:rsidRPr="005B5418">
              <w:rPr>
                <w:rFonts w:eastAsia="Arial Unicode MS" w:cs="Arial"/>
                <w:szCs w:val="22"/>
              </w:rPr>
              <w:t>deposits not confirmed</w:t>
            </w:r>
            <w:r w:rsidR="006A03A3" w:rsidRPr="005B5418">
              <w:rPr>
                <w:rFonts w:eastAsia="Arial Unicode MS" w:cs="Arial"/>
                <w:szCs w:val="22"/>
              </w:rPr>
              <w:t xml:space="preserve"> and confirmed deposits that have not yet been recorded in the Central Accounting Reporting System</w:t>
            </w:r>
            <w:r w:rsidRPr="005B5418">
              <w:rPr>
                <w:rFonts w:eastAsia="Arial Unicode MS" w:cs="Arial"/>
                <w:szCs w:val="22"/>
              </w:rPr>
              <w:t>?</w:t>
            </w:r>
            <w:r w:rsidRPr="005B5418">
              <w:rPr>
                <w:rFonts w:eastAsia="Arial Unicode MS"/>
              </w:rPr>
              <w:t xml:space="preserve"> (A-136, section</w:t>
            </w:r>
            <w:r w:rsidR="00F14585" w:rsidRPr="005B5418">
              <w:rPr>
                <w:rFonts w:eastAsia="Arial Unicode MS"/>
              </w:rPr>
              <w:t xml:space="preserve">s II.3.2.3 </w:t>
            </w:r>
            <w:r w:rsidR="00866173" w:rsidRPr="005B5418">
              <w:rPr>
                <w:rFonts w:eastAsia="Arial Unicode MS"/>
              </w:rPr>
              <w:t>and</w:t>
            </w:r>
            <w:r w:rsidRPr="005B5418">
              <w:rPr>
                <w:rFonts w:eastAsia="Arial Unicode MS"/>
              </w:rPr>
              <w:t xml:space="preserve"> II.3.8.4) </w:t>
            </w:r>
          </w:p>
        </w:tc>
        <w:tc>
          <w:tcPr>
            <w:tcW w:w="965" w:type="dxa"/>
          </w:tcPr>
          <w:p w14:paraId="23B2C54D" w14:textId="77777777" w:rsidR="00427DD5" w:rsidRPr="005B5418" w:rsidRDefault="00427DD5" w:rsidP="003B61E9">
            <w:pPr>
              <w:pStyle w:val="Table-Cell-CenterBoldBefore6ptAfter6pt"/>
              <w:rPr>
                <w:rFonts w:cs="Arial"/>
              </w:rPr>
            </w:pPr>
          </w:p>
        </w:tc>
        <w:tc>
          <w:tcPr>
            <w:tcW w:w="3211" w:type="dxa"/>
          </w:tcPr>
          <w:p w14:paraId="1C47E574" w14:textId="77777777" w:rsidR="00427DD5" w:rsidRPr="005B5418" w:rsidRDefault="00427DD5" w:rsidP="003B61E9">
            <w:pPr>
              <w:spacing w:line="240" w:lineRule="auto"/>
              <w:rPr>
                <w:rFonts w:cs="Arial"/>
              </w:rPr>
            </w:pPr>
          </w:p>
        </w:tc>
      </w:tr>
      <w:tr w:rsidR="00DC7D67" w:rsidRPr="005B5418" w14:paraId="7E2B4A18" w14:textId="77777777" w:rsidTr="003C542E">
        <w:trPr>
          <w:cantSplit/>
          <w:trHeight w:val="422"/>
        </w:trPr>
        <w:tc>
          <w:tcPr>
            <w:tcW w:w="9576" w:type="dxa"/>
            <w:gridSpan w:val="3"/>
          </w:tcPr>
          <w:p w14:paraId="12DE889A" w14:textId="77777777" w:rsidR="00DC7D67" w:rsidRPr="005B5418" w:rsidRDefault="00DC7D67" w:rsidP="008848DA">
            <w:pPr>
              <w:spacing w:before="60" w:after="60" w:line="240" w:lineRule="auto"/>
              <w:rPr>
                <w:rFonts w:ascii="Arial" w:hAnsi="Arial" w:cs="Arial"/>
                <w:b/>
              </w:rPr>
            </w:pPr>
            <w:r w:rsidRPr="005B5418">
              <w:rPr>
                <w:rFonts w:ascii="Arial" w:hAnsi="Arial" w:cs="Arial"/>
                <w:b/>
              </w:rPr>
              <w:t>Disclosure</w:t>
            </w:r>
          </w:p>
        </w:tc>
      </w:tr>
      <w:tr w:rsidR="0084195D" w:rsidRPr="005B5418" w14:paraId="5962CD03" w14:textId="77777777" w:rsidTr="00F1712A">
        <w:trPr>
          <w:cantSplit/>
          <w:trHeight w:val="1097"/>
        </w:trPr>
        <w:tc>
          <w:tcPr>
            <w:tcW w:w="5400" w:type="dxa"/>
          </w:tcPr>
          <w:p w14:paraId="5DC665DD" w14:textId="2FB24DA4" w:rsidR="0084195D" w:rsidRPr="005B5418" w:rsidRDefault="0084195D" w:rsidP="005425ED">
            <w:pPr>
              <w:pStyle w:val="FAM-Table-outline"/>
              <w:numPr>
                <w:ilvl w:val="0"/>
                <w:numId w:val="59"/>
              </w:numPr>
              <w:spacing w:line="240" w:lineRule="auto"/>
            </w:pPr>
            <w:r w:rsidRPr="005B5418">
              <w:rPr>
                <w:rFonts w:eastAsia="Arial Unicode MS" w:cs="Arial"/>
                <w:szCs w:val="22"/>
              </w:rPr>
              <w:t>Are the components of cash and other monetary assets</w:t>
            </w:r>
            <w:r w:rsidR="00FF64E7" w:rsidRPr="005B5418">
              <w:rPr>
                <w:rStyle w:val="FootnoteReference"/>
                <w:rFonts w:eastAsia="Arial Unicode MS" w:cs="Arial"/>
                <w:szCs w:val="22"/>
              </w:rPr>
              <w:footnoteReference w:id="79"/>
            </w:r>
            <w:r w:rsidRPr="005B5418">
              <w:rPr>
                <w:rFonts w:eastAsia="Arial Unicode MS" w:cs="Arial"/>
                <w:szCs w:val="22"/>
              </w:rPr>
              <w:t xml:space="preserve"> disclosed and described in a note to the financial statements? (A-136, sections II.3.2.3 </w:t>
            </w:r>
            <w:r w:rsidR="00AA3C67" w:rsidRPr="005B5418">
              <w:rPr>
                <w:rFonts w:eastAsia="Arial Unicode MS" w:cs="Arial"/>
                <w:szCs w:val="22"/>
              </w:rPr>
              <w:t>and</w:t>
            </w:r>
            <w:r w:rsidRPr="005B5418">
              <w:rPr>
                <w:rFonts w:eastAsia="Arial Unicode MS" w:cs="Arial"/>
                <w:szCs w:val="22"/>
              </w:rPr>
              <w:t xml:space="preserve"> II.3.8.4)</w:t>
            </w:r>
          </w:p>
        </w:tc>
        <w:tc>
          <w:tcPr>
            <w:tcW w:w="965" w:type="dxa"/>
          </w:tcPr>
          <w:p w14:paraId="1F3EC5E6" w14:textId="77777777" w:rsidR="0084195D" w:rsidRPr="005B5418" w:rsidRDefault="0084195D" w:rsidP="003B61E9">
            <w:pPr>
              <w:pStyle w:val="Table-Cell-CenterBoldBefore6ptAfter6pt"/>
              <w:rPr>
                <w:rFonts w:cs="Arial"/>
              </w:rPr>
            </w:pPr>
          </w:p>
        </w:tc>
        <w:tc>
          <w:tcPr>
            <w:tcW w:w="3211" w:type="dxa"/>
          </w:tcPr>
          <w:p w14:paraId="463AD0A3" w14:textId="77777777" w:rsidR="0084195D" w:rsidRPr="005B5418" w:rsidRDefault="0084195D" w:rsidP="003B61E9">
            <w:pPr>
              <w:spacing w:line="240" w:lineRule="auto"/>
              <w:rPr>
                <w:rFonts w:cs="Arial"/>
              </w:rPr>
            </w:pPr>
          </w:p>
        </w:tc>
      </w:tr>
      <w:tr w:rsidR="0084195D" w:rsidRPr="005B5418" w14:paraId="072E8792" w14:textId="77777777" w:rsidTr="00F1712A">
        <w:trPr>
          <w:cantSplit/>
          <w:trHeight w:val="1214"/>
        </w:trPr>
        <w:tc>
          <w:tcPr>
            <w:tcW w:w="5400" w:type="dxa"/>
          </w:tcPr>
          <w:p w14:paraId="7BB663B3" w14:textId="1BD04D7B" w:rsidR="0084195D" w:rsidRPr="005B5418" w:rsidRDefault="0084195D" w:rsidP="00825C76">
            <w:pPr>
              <w:pStyle w:val="FAM-Table-outline"/>
              <w:numPr>
                <w:ilvl w:val="0"/>
                <w:numId w:val="59"/>
              </w:numPr>
              <w:spacing w:line="240" w:lineRule="auto"/>
              <w:rPr>
                <w:rFonts w:eastAsia="Arial Unicode MS" w:cs="Arial"/>
                <w:szCs w:val="22"/>
              </w:rPr>
            </w:pPr>
            <w:r w:rsidRPr="005B5418">
              <w:rPr>
                <w:rFonts w:eastAsia="Arial Unicode MS" w:cs="Arial"/>
                <w:szCs w:val="22"/>
              </w:rPr>
              <w:lastRenderedPageBreak/>
              <w:t>Is non</w:t>
            </w:r>
            <w:r w:rsidR="00B53D1B" w:rsidRPr="005B5418">
              <w:rPr>
                <w:rFonts w:eastAsia="Arial Unicode MS" w:cs="Arial"/>
                <w:szCs w:val="22"/>
              </w:rPr>
              <w:t>-</w:t>
            </w:r>
            <w:r w:rsidRPr="005B5418">
              <w:rPr>
                <w:rFonts w:eastAsia="Arial Unicode MS" w:cs="Arial"/>
                <w:szCs w:val="22"/>
              </w:rPr>
              <w:t>entity cash disclosed in the notes to the financial statements, separately from entity cash? (SFFAS 1, par</w:t>
            </w:r>
            <w:r w:rsidR="00A523DC" w:rsidRPr="005B5418">
              <w:rPr>
                <w:rFonts w:eastAsia="Arial Unicode MS" w:cs="Arial"/>
                <w:szCs w:val="22"/>
              </w:rPr>
              <w:t>a</w:t>
            </w:r>
            <w:r w:rsidRPr="005B5418">
              <w:rPr>
                <w:rFonts w:eastAsia="Arial Unicode MS" w:cs="Arial"/>
                <w:szCs w:val="22"/>
              </w:rPr>
              <w:t>. 29; A-136, section II.3.2.3)</w:t>
            </w:r>
          </w:p>
        </w:tc>
        <w:tc>
          <w:tcPr>
            <w:tcW w:w="965" w:type="dxa"/>
          </w:tcPr>
          <w:p w14:paraId="1F1BC7D6" w14:textId="77777777" w:rsidR="0084195D" w:rsidRPr="005B5418" w:rsidRDefault="0084195D" w:rsidP="003B61E9">
            <w:pPr>
              <w:pStyle w:val="Table-Cell-CenterBoldBefore6ptAfter6pt"/>
              <w:rPr>
                <w:rFonts w:cs="Arial"/>
              </w:rPr>
            </w:pPr>
          </w:p>
        </w:tc>
        <w:tc>
          <w:tcPr>
            <w:tcW w:w="3211" w:type="dxa"/>
          </w:tcPr>
          <w:p w14:paraId="07CE0F53" w14:textId="77777777" w:rsidR="0084195D" w:rsidRPr="005B5418" w:rsidRDefault="0084195D" w:rsidP="003B61E9">
            <w:pPr>
              <w:spacing w:line="240" w:lineRule="auto"/>
              <w:rPr>
                <w:rFonts w:cs="Arial"/>
              </w:rPr>
            </w:pPr>
          </w:p>
        </w:tc>
      </w:tr>
      <w:tr w:rsidR="0084195D" w:rsidRPr="005B5418" w14:paraId="444EF5F9" w14:textId="77777777" w:rsidTr="00F1712A">
        <w:trPr>
          <w:cantSplit/>
          <w:trHeight w:val="863"/>
        </w:trPr>
        <w:tc>
          <w:tcPr>
            <w:tcW w:w="5400" w:type="dxa"/>
          </w:tcPr>
          <w:p w14:paraId="1F13AA28" w14:textId="7084CC5F" w:rsidR="0084195D" w:rsidRPr="005B5418" w:rsidRDefault="0084195D" w:rsidP="00825C76">
            <w:pPr>
              <w:pStyle w:val="FAM-Table-outline"/>
              <w:numPr>
                <w:ilvl w:val="0"/>
                <w:numId w:val="59"/>
              </w:numPr>
              <w:spacing w:line="240" w:lineRule="auto"/>
              <w:rPr>
                <w:rFonts w:eastAsia="Arial Unicode MS" w:cs="Arial"/>
                <w:szCs w:val="22"/>
              </w:rPr>
            </w:pPr>
            <w:r w:rsidRPr="005B5418">
              <w:rPr>
                <w:rFonts w:eastAsia="Arial Unicode MS" w:cs="Arial"/>
                <w:szCs w:val="22"/>
              </w:rPr>
              <w:t>If cash is restricted,</w:t>
            </w:r>
            <w:r w:rsidRPr="005B5418">
              <w:rPr>
                <w:rFonts w:eastAsia="Arial Unicode MS"/>
                <w:vertAlign w:val="superscript"/>
              </w:rPr>
              <w:footnoteReference w:id="80"/>
            </w:r>
            <w:r w:rsidRPr="005B5418">
              <w:rPr>
                <w:rFonts w:eastAsia="Arial Unicode MS" w:cs="Arial"/>
                <w:szCs w:val="22"/>
              </w:rPr>
              <w:t xml:space="preserve"> is the nature and reason disclosed as additional information? (SFFAS 1, par</w:t>
            </w:r>
            <w:r w:rsidR="00A523DC" w:rsidRPr="005B5418">
              <w:rPr>
                <w:rFonts w:eastAsia="Arial Unicode MS" w:cs="Arial"/>
                <w:szCs w:val="22"/>
              </w:rPr>
              <w:t>a</w:t>
            </w:r>
            <w:r w:rsidRPr="005B5418">
              <w:rPr>
                <w:rFonts w:eastAsia="Arial Unicode MS" w:cs="Arial"/>
                <w:szCs w:val="22"/>
              </w:rPr>
              <w:t>. 30; A-136, section II.3.8.4)</w:t>
            </w:r>
          </w:p>
        </w:tc>
        <w:tc>
          <w:tcPr>
            <w:tcW w:w="965" w:type="dxa"/>
          </w:tcPr>
          <w:p w14:paraId="50738A43" w14:textId="77777777" w:rsidR="0084195D" w:rsidRPr="005B5418" w:rsidRDefault="0084195D" w:rsidP="003B61E9">
            <w:pPr>
              <w:pStyle w:val="Table-Cell-CenterBoldBefore6ptAfter6pt"/>
              <w:rPr>
                <w:rFonts w:cs="Arial"/>
                <w:lang w:val="pt-BR"/>
              </w:rPr>
            </w:pPr>
          </w:p>
        </w:tc>
        <w:tc>
          <w:tcPr>
            <w:tcW w:w="3211" w:type="dxa"/>
          </w:tcPr>
          <w:p w14:paraId="7B8BFBFC" w14:textId="77777777" w:rsidR="0084195D" w:rsidRPr="005B5418" w:rsidRDefault="0084195D" w:rsidP="003B61E9">
            <w:pPr>
              <w:spacing w:line="240" w:lineRule="auto"/>
              <w:rPr>
                <w:rFonts w:cs="Arial"/>
                <w:lang w:val="pt-BR"/>
              </w:rPr>
            </w:pPr>
          </w:p>
        </w:tc>
      </w:tr>
      <w:tr w:rsidR="0084195D" w:rsidRPr="005B5418" w14:paraId="04108AB9" w14:textId="77777777" w:rsidTr="00113F40">
        <w:trPr>
          <w:cantSplit/>
          <w:trHeight w:val="2160"/>
        </w:trPr>
        <w:tc>
          <w:tcPr>
            <w:tcW w:w="5400" w:type="dxa"/>
          </w:tcPr>
          <w:p w14:paraId="243F1C03" w14:textId="4BE92CA5" w:rsidR="0084195D" w:rsidRPr="005B5418" w:rsidRDefault="0084195D" w:rsidP="00825C76">
            <w:pPr>
              <w:pStyle w:val="FAM-Table-outline"/>
              <w:numPr>
                <w:ilvl w:val="0"/>
                <w:numId w:val="59"/>
              </w:numPr>
              <w:spacing w:line="240" w:lineRule="auto"/>
              <w:rPr>
                <w:rFonts w:eastAsia="Arial Unicode MS" w:cs="Arial"/>
                <w:szCs w:val="22"/>
              </w:rPr>
            </w:pPr>
            <w:r w:rsidRPr="005B5418">
              <w:rPr>
                <w:rFonts w:eastAsia="Arial Unicode MS" w:cs="Arial"/>
                <w:szCs w:val="22"/>
              </w:rPr>
              <w:t>Does the entity disclose restrictions on the use or conversion of cash denominated in foreign currencies and the significant effects, if any, of changes in the exchange rate on the entity’s financial position that occur after the end of the reporting period but before the issuance of financial statements? (A-136, section II.3.8.4)</w:t>
            </w:r>
          </w:p>
        </w:tc>
        <w:tc>
          <w:tcPr>
            <w:tcW w:w="965" w:type="dxa"/>
          </w:tcPr>
          <w:p w14:paraId="24226EAA" w14:textId="77777777" w:rsidR="0084195D" w:rsidRPr="005B5418" w:rsidRDefault="0084195D" w:rsidP="003B61E9">
            <w:pPr>
              <w:pStyle w:val="Table-Cell-CenterBoldBefore6ptAfter6pt"/>
              <w:rPr>
                <w:rFonts w:cs="Arial"/>
              </w:rPr>
            </w:pPr>
          </w:p>
        </w:tc>
        <w:tc>
          <w:tcPr>
            <w:tcW w:w="3211" w:type="dxa"/>
          </w:tcPr>
          <w:p w14:paraId="57FC45D9" w14:textId="77777777" w:rsidR="0084195D" w:rsidRPr="005B5418" w:rsidRDefault="0084195D" w:rsidP="003B61E9">
            <w:pPr>
              <w:spacing w:line="240" w:lineRule="auto"/>
              <w:rPr>
                <w:rFonts w:cs="Arial"/>
              </w:rPr>
            </w:pPr>
          </w:p>
        </w:tc>
      </w:tr>
      <w:tr w:rsidR="0084195D" w:rsidRPr="005B5418" w14:paraId="52FD6254" w14:textId="77777777" w:rsidTr="00113F40">
        <w:trPr>
          <w:cantSplit/>
          <w:trHeight w:val="1358"/>
        </w:trPr>
        <w:tc>
          <w:tcPr>
            <w:tcW w:w="5400" w:type="dxa"/>
          </w:tcPr>
          <w:p w14:paraId="09A69C79" w14:textId="700D7D63" w:rsidR="0084195D" w:rsidRPr="005B5418" w:rsidRDefault="0084195D" w:rsidP="00825C76">
            <w:pPr>
              <w:pStyle w:val="FAM-Table-outline"/>
              <w:numPr>
                <w:ilvl w:val="0"/>
                <w:numId w:val="59"/>
              </w:numPr>
              <w:spacing w:line="240" w:lineRule="auto"/>
              <w:rPr>
                <w:rFonts w:eastAsia="Arial Unicode MS" w:cs="Arial"/>
                <w:szCs w:val="22"/>
              </w:rPr>
            </w:pPr>
            <w:r w:rsidRPr="005B5418">
              <w:rPr>
                <w:rFonts w:eastAsia="Arial Unicode MS" w:cs="Arial"/>
                <w:szCs w:val="22"/>
              </w:rPr>
              <w:t>Is other information on cash and other monetary assets disclosed, as appropriate, such as the valuation rate of gold? (A-136, section II.3.8.4)</w:t>
            </w:r>
          </w:p>
        </w:tc>
        <w:tc>
          <w:tcPr>
            <w:tcW w:w="965" w:type="dxa"/>
          </w:tcPr>
          <w:p w14:paraId="57CD8973" w14:textId="77777777" w:rsidR="0084195D" w:rsidRPr="005B5418" w:rsidRDefault="0084195D" w:rsidP="003B61E9">
            <w:pPr>
              <w:pStyle w:val="Table-Cell-CenterBoldBefore6ptAfter6pt"/>
              <w:rPr>
                <w:rFonts w:cs="Arial"/>
              </w:rPr>
            </w:pPr>
          </w:p>
        </w:tc>
        <w:tc>
          <w:tcPr>
            <w:tcW w:w="3211" w:type="dxa"/>
          </w:tcPr>
          <w:p w14:paraId="031EE32A" w14:textId="77777777" w:rsidR="0084195D" w:rsidRPr="005B5418" w:rsidRDefault="0084195D" w:rsidP="003B61E9">
            <w:pPr>
              <w:spacing w:line="240" w:lineRule="auto"/>
              <w:rPr>
                <w:rFonts w:cs="Arial"/>
              </w:rPr>
            </w:pPr>
          </w:p>
        </w:tc>
      </w:tr>
    </w:tbl>
    <w:p w14:paraId="5DB20077" w14:textId="77777777" w:rsidR="0084195D" w:rsidRPr="005B5418" w:rsidRDefault="0084195D" w:rsidP="003B61E9">
      <w:pPr>
        <w:spacing w:line="240" w:lineRule="auto"/>
        <w:rPr>
          <w:rFonts w:cs="Arial"/>
        </w:rPr>
      </w:pPr>
      <w:r w:rsidRPr="005B5418">
        <w:rPr>
          <w:rFonts w:cs="Arial"/>
        </w:rPr>
        <w:br w:type="page"/>
      </w:r>
    </w:p>
    <w:p w14:paraId="10C8BECF" w14:textId="77777777" w:rsidR="00F45069" w:rsidRPr="005B5418" w:rsidRDefault="00F45069" w:rsidP="003B61E9">
      <w:pPr>
        <w:spacing w:line="240" w:lineRule="auto"/>
        <w:rPr>
          <w:rFonts w:cs="Arial"/>
        </w:rPr>
        <w:sectPr w:rsidR="00F45069" w:rsidRPr="005B5418">
          <w:pgSz w:w="12240" w:h="15840"/>
          <w:pgMar w:top="1440" w:right="1440" w:bottom="1440" w:left="1440" w:header="720" w:footer="720" w:gutter="0"/>
          <w:cols w:space="720"/>
          <w:docGrid w:linePitch="360"/>
        </w:sect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4"/>
        <w:gridCol w:w="41"/>
        <w:gridCol w:w="934"/>
        <w:gridCol w:w="34"/>
        <w:gridCol w:w="3070"/>
      </w:tblGrid>
      <w:tr w:rsidR="00F45069" w:rsidRPr="005B5418" w14:paraId="1DCC3445" w14:textId="77777777" w:rsidTr="0059376E">
        <w:trPr>
          <w:cantSplit/>
          <w:tblHeader/>
        </w:trPr>
        <w:tc>
          <w:tcPr>
            <w:tcW w:w="5484" w:type="dxa"/>
          </w:tcPr>
          <w:p w14:paraId="004CBC0F" w14:textId="77777777" w:rsidR="00F45069" w:rsidRPr="005B5418" w:rsidRDefault="00646551" w:rsidP="008848DA">
            <w:pPr>
              <w:pStyle w:val="Heading4"/>
              <w:keepLines w:val="0"/>
              <w:spacing w:before="60" w:after="60" w:line="240" w:lineRule="auto"/>
              <w:jc w:val="left"/>
              <w:rPr>
                <w:rFonts w:eastAsia="Arial Unicode MS"/>
                <w:szCs w:val="24"/>
              </w:rPr>
            </w:pPr>
            <w:bookmarkStart w:id="114" w:name="_Investments_(7_-"/>
            <w:bookmarkStart w:id="115" w:name="_IV.1.2_Investments"/>
            <w:bookmarkStart w:id="116" w:name="_II.3.8.5_Investments"/>
            <w:bookmarkStart w:id="117" w:name="_Ref8724486"/>
            <w:bookmarkStart w:id="118" w:name="_Toc72727004"/>
            <w:bookmarkStart w:id="119" w:name="_Toc72727513"/>
            <w:bookmarkStart w:id="120" w:name="_Ref384711143"/>
            <w:bookmarkEnd w:id="108"/>
            <w:bookmarkEnd w:id="109"/>
            <w:bookmarkEnd w:id="110"/>
            <w:bookmarkEnd w:id="111"/>
            <w:bookmarkEnd w:id="114"/>
            <w:bookmarkEnd w:id="115"/>
            <w:bookmarkEnd w:id="116"/>
            <w:r w:rsidRPr="005B5418">
              <w:rPr>
                <w:rFonts w:eastAsia="Arial Unicode MS"/>
                <w:b/>
                <w:szCs w:val="24"/>
                <w:u w:val="none"/>
              </w:rPr>
              <w:lastRenderedPageBreak/>
              <w:t>I</w:t>
            </w:r>
            <w:r w:rsidR="00C874DD" w:rsidRPr="005B5418">
              <w:rPr>
                <w:rFonts w:eastAsia="Arial Unicode MS"/>
                <w:b/>
                <w:szCs w:val="24"/>
                <w:u w:val="none"/>
              </w:rPr>
              <w:t>I.3.8</w:t>
            </w:r>
            <w:r w:rsidR="00ED13CC" w:rsidRPr="005B5418">
              <w:rPr>
                <w:rFonts w:eastAsia="Arial Unicode MS"/>
                <w:b/>
                <w:szCs w:val="24"/>
                <w:u w:val="none"/>
              </w:rPr>
              <w:t>.</w:t>
            </w:r>
            <w:r w:rsidR="00277D2B" w:rsidRPr="005B5418">
              <w:rPr>
                <w:rFonts w:eastAsia="Arial Unicode MS"/>
                <w:b/>
                <w:szCs w:val="24"/>
                <w:u w:val="none"/>
              </w:rPr>
              <w:t>5</w:t>
            </w:r>
            <w:r w:rsidR="0097650A" w:rsidRPr="005B5418">
              <w:rPr>
                <w:rFonts w:eastAsia="Arial Unicode MS"/>
                <w:b/>
                <w:szCs w:val="24"/>
                <w:u w:val="none"/>
              </w:rPr>
              <w:t xml:space="preserve"> </w:t>
            </w:r>
            <w:r w:rsidR="00F45069" w:rsidRPr="005B5418">
              <w:rPr>
                <w:rFonts w:eastAsia="Arial Unicode MS"/>
                <w:b/>
                <w:szCs w:val="24"/>
                <w:u w:val="none"/>
              </w:rPr>
              <w:t>Investments</w:t>
            </w:r>
            <w:bookmarkEnd w:id="117"/>
            <w:r w:rsidR="00F45069" w:rsidRPr="005B5418">
              <w:rPr>
                <w:rFonts w:eastAsia="Arial Unicode MS"/>
                <w:b/>
                <w:szCs w:val="24"/>
                <w:u w:val="none"/>
              </w:rPr>
              <w:t xml:space="preserve"> </w:t>
            </w:r>
            <w:bookmarkEnd w:id="118"/>
            <w:bookmarkEnd w:id="119"/>
            <w:bookmarkEnd w:id="120"/>
          </w:p>
        </w:tc>
        <w:tc>
          <w:tcPr>
            <w:tcW w:w="975" w:type="dxa"/>
            <w:gridSpan w:val="2"/>
          </w:tcPr>
          <w:p w14:paraId="1AD7290C" w14:textId="77777777" w:rsidR="00F45069" w:rsidRPr="005B5418" w:rsidRDefault="00F45069" w:rsidP="00F1712A">
            <w:pPr>
              <w:pStyle w:val="Table-Head-Center"/>
              <w:spacing w:line="240" w:lineRule="auto"/>
              <w:jc w:val="left"/>
              <w:rPr>
                <w:rFonts w:eastAsia="Arial Unicode MS" w:cs="Arial"/>
                <w:sz w:val="22"/>
                <w:szCs w:val="22"/>
              </w:rPr>
            </w:pPr>
            <w:r w:rsidRPr="005B5418">
              <w:rPr>
                <w:rFonts w:eastAsia="Arial Unicode MS" w:cs="Arial"/>
                <w:sz w:val="22"/>
                <w:szCs w:val="22"/>
              </w:rPr>
              <w:t>Yes, No, or N/A</w:t>
            </w:r>
          </w:p>
        </w:tc>
        <w:tc>
          <w:tcPr>
            <w:tcW w:w="3104" w:type="dxa"/>
            <w:gridSpan w:val="2"/>
          </w:tcPr>
          <w:p w14:paraId="4B4E8189" w14:textId="3425AB5A" w:rsidR="00F45069" w:rsidRPr="005B5418" w:rsidRDefault="00F45069" w:rsidP="00CA131B">
            <w:pPr>
              <w:pStyle w:val="Table-Head-Center"/>
              <w:spacing w:line="240" w:lineRule="auto"/>
              <w:jc w:val="left"/>
              <w:rPr>
                <w:rFonts w:eastAsia="Arial Unicode MS" w:cs="Arial"/>
                <w:sz w:val="22"/>
                <w:szCs w:val="22"/>
              </w:rPr>
            </w:pPr>
            <w:r w:rsidRPr="005B5418">
              <w:rPr>
                <w:rFonts w:eastAsia="Arial Unicode MS" w:cs="Arial"/>
                <w:sz w:val="22"/>
                <w:szCs w:val="22"/>
              </w:rPr>
              <w:t xml:space="preserve">Explanation </w:t>
            </w:r>
            <w:r w:rsidR="00CA131B" w:rsidRPr="005B5418">
              <w:rPr>
                <w:rFonts w:eastAsia="Arial Unicode MS" w:cs="Arial"/>
                <w:sz w:val="22"/>
                <w:szCs w:val="22"/>
              </w:rPr>
              <w:t xml:space="preserve">and </w:t>
            </w:r>
            <w:r w:rsidRPr="005B5418">
              <w:rPr>
                <w:rFonts w:eastAsia="Arial Unicode MS" w:cs="Arial"/>
                <w:sz w:val="22"/>
                <w:szCs w:val="22"/>
              </w:rPr>
              <w:t>Reference</w:t>
            </w:r>
          </w:p>
        </w:tc>
      </w:tr>
      <w:tr w:rsidR="000A2516" w:rsidRPr="005B5418" w14:paraId="1F8518AB" w14:textId="77777777" w:rsidTr="0059376E">
        <w:trPr>
          <w:cantSplit/>
        </w:trPr>
        <w:tc>
          <w:tcPr>
            <w:tcW w:w="9563" w:type="dxa"/>
            <w:gridSpan w:val="5"/>
          </w:tcPr>
          <w:p w14:paraId="3DFE0A31" w14:textId="1917992D" w:rsidR="000A2516" w:rsidRPr="005B5418" w:rsidRDefault="000A2516" w:rsidP="008848DA">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Investments in federal securities include (1) nonmarketable par value Treasury securities, (2) market-based Treasury securities, (3) marketable Treasury securities, and (4) securities issued by other federal entities. (SFFAS 1, par</w:t>
            </w:r>
            <w:r w:rsidR="00214FF6" w:rsidRPr="005B5418">
              <w:rPr>
                <w:rFonts w:eastAsia="Arial Unicode MS" w:cs="Arial"/>
                <w:i w:val="0"/>
                <w:sz w:val="22"/>
                <w:szCs w:val="22"/>
              </w:rPr>
              <w:t>a</w:t>
            </w:r>
            <w:r w:rsidRPr="005B5418">
              <w:rPr>
                <w:rFonts w:eastAsia="Arial Unicode MS" w:cs="Arial"/>
                <w:i w:val="0"/>
                <w:sz w:val="22"/>
                <w:szCs w:val="22"/>
              </w:rPr>
              <w:t>. 62; A-136, section II.3.</w:t>
            </w:r>
            <w:r w:rsidR="00F5123E" w:rsidRPr="005B5418">
              <w:rPr>
                <w:rFonts w:eastAsia="Arial Unicode MS" w:cs="Arial"/>
                <w:i w:val="0"/>
                <w:sz w:val="22"/>
                <w:szCs w:val="22"/>
              </w:rPr>
              <w:t>2</w:t>
            </w:r>
            <w:r w:rsidRPr="005B5418">
              <w:rPr>
                <w:rFonts w:eastAsia="Arial Unicode MS" w:cs="Arial"/>
                <w:i w:val="0"/>
                <w:sz w:val="22"/>
                <w:szCs w:val="22"/>
              </w:rPr>
              <w:t xml:space="preserve">.3) </w:t>
            </w:r>
          </w:p>
          <w:p w14:paraId="55D9CC72" w14:textId="0642732E" w:rsidR="000A2516" w:rsidRPr="005B5418" w:rsidRDefault="000A2516" w:rsidP="008848DA">
            <w:pPr>
              <w:pStyle w:val="Heading4"/>
              <w:spacing w:before="60" w:after="60" w:line="240" w:lineRule="auto"/>
              <w:jc w:val="left"/>
              <w:rPr>
                <w:rFonts w:eastAsia="Arial Unicode MS"/>
                <w:sz w:val="22"/>
                <w:szCs w:val="22"/>
                <w:u w:val="none"/>
              </w:rPr>
            </w:pPr>
            <w:r w:rsidRPr="005B5418">
              <w:rPr>
                <w:rFonts w:eastAsia="Arial Unicode MS"/>
                <w:sz w:val="22"/>
                <w:szCs w:val="22"/>
                <w:u w:val="none"/>
              </w:rPr>
              <w:t>Investments in non-federal securities are issued by non-</w:t>
            </w:r>
            <w:r w:rsidR="009A436A" w:rsidRPr="005B5418">
              <w:rPr>
                <w:rFonts w:eastAsia="Arial Unicode MS"/>
                <w:sz w:val="22"/>
                <w:szCs w:val="22"/>
                <w:u w:val="none"/>
              </w:rPr>
              <w:t>f</w:t>
            </w:r>
            <w:r w:rsidRPr="005B5418">
              <w:rPr>
                <w:rFonts w:eastAsia="Arial Unicode MS"/>
                <w:sz w:val="22"/>
                <w:szCs w:val="22"/>
                <w:u w:val="none"/>
              </w:rPr>
              <w:t>ederal entit</w:t>
            </w:r>
            <w:r w:rsidR="00214FF6" w:rsidRPr="005B5418">
              <w:rPr>
                <w:rFonts w:eastAsia="Arial Unicode MS"/>
                <w:sz w:val="22"/>
                <w:szCs w:val="22"/>
                <w:u w:val="none"/>
              </w:rPr>
              <w:t>ies</w:t>
            </w:r>
            <w:r w:rsidRPr="005B5418">
              <w:rPr>
                <w:rFonts w:eastAsia="Arial Unicode MS"/>
                <w:sz w:val="22"/>
                <w:szCs w:val="22"/>
                <w:u w:val="none"/>
              </w:rPr>
              <w:t xml:space="preserve">, including </w:t>
            </w:r>
            <w:r w:rsidR="009A436A" w:rsidRPr="005B5418">
              <w:rPr>
                <w:rFonts w:eastAsia="Arial Unicode MS"/>
                <w:sz w:val="22"/>
                <w:szCs w:val="22"/>
                <w:u w:val="none"/>
              </w:rPr>
              <w:t>s</w:t>
            </w:r>
            <w:r w:rsidRPr="005B5418">
              <w:rPr>
                <w:rFonts w:eastAsia="Arial Unicode MS"/>
                <w:sz w:val="22"/>
                <w:szCs w:val="22"/>
                <w:u w:val="none"/>
              </w:rPr>
              <w:t>tate and local governments</w:t>
            </w:r>
            <w:r w:rsidR="00B46FFD" w:rsidRPr="005B5418">
              <w:rPr>
                <w:rFonts w:eastAsia="Arial Unicode MS"/>
                <w:sz w:val="22"/>
                <w:szCs w:val="22"/>
                <w:u w:val="none"/>
              </w:rPr>
              <w:t>,</w:t>
            </w:r>
            <w:r w:rsidRPr="005B5418">
              <w:rPr>
                <w:rFonts w:eastAsia="Arial Unicode MS"/>
                <w:sz w:val="22"/>
                <w:szCs w:val="22"/>
                <w:u w:val="none"/>
              </w:rPr>
              <w:t xml:space="preserve"> private corporations</w:t>
            </w:r>
            <w:r w:rsidR="00214FF6" w:rsidRPr="005B5418">
              <w:rPr>
                <w:rFonts w:eastAsia="Arial Unicode MS"/>
                <w:sz w:val="22"/>
                <w:szCs w:val="22"/>
                <w:u w:val="none"/>
              </w:rPr>
              <w:t>,</w:t>
            </w:r>
            <w:r w:rsidRPr="005B5418">
              <w:rPr>
                <w:rFonts w:eastAsia="Arial Unicode MS"/>
                <w:sz w:val="22"/>
                <w:szCs w:val="22"/>
                <w:u w:val="none"/>
              </w:rPr>
              <w:t xml:space="preserve"> </w:t>
            </w:r>
            <w:r w:rsidR="00B46FFD" w:rsidRPr="005B5418">
              <w:rPr>
                <w:rFonts w:eastAsia="Arial Unicode MS"/>
                <w:sz w:val="22"/>
                <w:szCs w:val="22"/>
                <w:u w:val="none"/>
              </w:rPr>
              <w:t xml:space="preserve">and government-sponsored enterprises, </w:t>
            </w:r>
            <w:r w:rsidRPr="005B5418">
              <w:rPr>
                <w:rFonts w:eastAsia="Arial Unicode MS"/>
                <w:sz w:val="22"/>
                <w:szCs w:val="22"/>
                <w:u w:val="none"/>
              </w:rPr>
              <w:t>regardless of whether the investments are federally guaranteed. Investments in non-</w:t>
            </w:r>
            <w:r w:rsidR="009A436A" w:rsidRPr="005B5418">
              <w:rPr>
                <w:rFonts w:eastAsia="Arial Unicode MS"/>
                <w:sz w:val="22"/>
                <w:szCs w:val="22"/>
                <w:u w:val="none"/>
              </w:rPr>
              <w:t>f</w:t>
            </w:r>
            <w:r w:rsidRPr="005B5418">
              <w:rPr>
                <w:rFonts w:eastAsia="Arial Unicode MS"/>
                <w:sz w:val="22"/>
                <w:szCs w:val="22"/>
                <w:u w:val="none"/>
              </w:rPr>
              <w:t xml:space="preserve">ederal securities include </w:t>
            </w:r>
            <w:r w:rsidR="00214FF6" w:rsidRPr="005B5418">
              <w:rPr>
                <w:rFonts w:eastAsia="Arial Unicode MS"/>
                <w:sz w:val="22"/>
                <w:szCs w:val="22"/>
                <w:u w:val="none"/>
              </w:rPr>
              <w:t xml:space="preserve">federal agencies’ </w:t>
            </w:r>
            <w:r w:rsidRPr="005B5418">
              <w:rPr>
                <w:rFonts w:eastAsia="Arial Unicode MS"/>
                <w:sz w:val="22"/>
                <w:szCs w:val="22"/>
                <w:u w:val="none"/>
              </w:rPr>
              <w:t xml:space="preserve">investments in money market </w:t>
            </w:r>
            <w:r w:rsidR="00214FF6" w:rsidRPr="005B5418">
              <w:rPr>
                <w:rFonts w:eastAsia="Arial Unicode MS"/>
                <w:sz w:val="22"/>
                <w:szCs w:val="22"/>
                <w:u w:val="none"/>
              </w:rPr>
              <w:t>and</w:t>
            </w:r>
            <w:r w:rsidRPr="005B5418">
              <w:rPr>
                <w:rFonts w:eastAsia="Arial Unicode MS"/>
                <w:sz w:val="22"/>
                <w:szCs w:val="22"/>
                <w:u w:val="none"/>
              </w:rPr>
              <w:t xml:space="preserve"> mutual funds, even if the money market or mutual </w:t>
            </w:r>
            <w:r w:rsidR="00214FF6" w:rsidRPr="005B5418">
              <w:rPr>
                <w:rFonts w:eastAsia="Arial Unicode MS"/>
                <w:sz w:val="22"/>
                <w:szCs w:val="22"/>
                <w:u w:val="none"/>
              </w:rPr>
              <w:t xml:space="preserve">fund’s </w:t>
            </w:r>
            <w:r w:rsidRPr="005B5418">
              <w:rPr>
                <w:rFonts w:eastAsia="Arial Unicode MS"/>
                <w:sz w:val="22"/>
                <w:szCs w:val="22"/>
                <w:u w:val="none"/>
              </w:rPr>
              <w:t xml:space="preserve">assets consist entirely of </w:t>
            </w:r>
            <w:r w:rsidR="009A436A" w:rsidRPr="005B5418">
              <w:rPr>
                <w:rFonts w:eastAsia="Arial Unicode MS"/>
                <w:sz w:val="22"/>
                <w:szCs w:val="22"/>
                <w:u w:val="none"/>
              </w:rPr>
              <w:t>f</w:t>
            </w:r>
            <w:r w:rsidRPr="005B5418">
              <w:rPr>
                <w:rFonts w:eastAsia="Arial Unicode MS"/>
                <w:sz w:val="22"/>
                <w:szCs w:val="22"/>
                <w:u w:val="none"/>
              </w:rPr>
              <w:t xml:space="preserve">ederal securities. </w:t>
            </w:r>
            <w:r w:rsidR="00214FF6" w:rsidRPr="005B5418">
              <w:rPr>
                <w:rFonts w:eastAsia="Arial Unicode MS"/>
                <w:sz w:val="22"/>
                <w:szCs w:val="22"/>
                <w:u w:val="none"/>
              </w:rPr>
              <w:t xml:space="preserve">Federal agencies’ investments </w:t>
            </w:r>
            <w:r w:rsidRPr="005B5418">
              <w:rPr>
                <w:rFonts w:eastAsia="Arial Unicode MS"/>
                <w:sz w:val="22"/>
                <w:szCs w:val="22"/>
                <w:u w:val="none"/>
              </w:rPr>
              <w:t xml:space="preserve">in </w:t>
            </w:r>
            <w:r w:rsidR="009A436A" w:rsidRPr="005B5418">
              <w:rPr>
                <w:rFonts w:eastAsia="Arial Unicode MS"/>
                <w:sz w:val="22"/>
                <w:szCs w:val="22"/>
                <w:u w:val="none"/>
              </w:rPr>
              <w:t>f</w:t>
            </w:r>
            <w:r w:rsidRPr="005B5418">
              <w:rPr>
                <w:rFonts w:eastAsia="Arial Unicode MS"/>
                <w:sz w:val="22"/>
                <w:szCs w:val="22"/>
                <w:u w:val="none"/>
              </w:rPr>
              <w:t xml:space="preserve">ederal securities through the secondary market are not considered </w:t>
            </w:r>
            <w:r w:rsidR="009A436A" w:rsidRPr="005B5418">
              <w:rPr>
                <w:rFonts w:eastAsia="Arial Unicode MS"/>
                <w:sz w:val="22"/>
                <w:szCs w:val="22"/>
                <w:u w:val="none"/>
              </w:rPr>
              <w:t>n</w:t>
            </w:r>
            <w:r w:rsidRPr="005B5418">
              <w:rPr>
                <w:rFonts w:eastAsia="Arial Unicode MS"/>
                <w:sz w:val="22"/>
                <w:szCs w:val="22"/>
                <w:u w:val="none"/>
              </w:rPr>
              <w:t>on-</w:t>
            </w:r>
            <w:r w:rsidR="009A436A" w:rsidRPr="005B5418">
              <w:rPr>
                <w:rFonts w:eastAsia="Arial Unicode MS"/>
                <w:sz w:val="22"/>
                <w:szCs w:val="22"/>
                <w:u w:val="none"/>
              </w:rPr>
              <w:t>f</w:t>
            </w:r>
            <w:r w:rsidRPr="005B5418">
              <w:rPr>
                <w:rFonts w:eastAsia="Arial Unicode MS"/>
                <w:sz w:val="22"/>
                <w:szCs w:val="22"/>
                <w:u w:val="none"/>
              </w:rPr>
              <w:t xml:space="preserve">ederal </w:t>
            </w:r>
            <w:r w:rsidR="009A436A" w:rsidRPr="005B5418">
              <w:rPr>
                <w:rFonts w:eastAsia="Arial Unicode MS"/>
                <w:sz w:val="22"/>
                <w:szCs w:val="22"/>
                <w:u w:val="none"/>
              </w:rPr>
              <w:t>s</w:t>
            </w:r>
            <w:r w:rsidRPr="005B5418">
              <w:rPr>
                <w:rFonts w:eastAsia="Arial Unicode MS"/>
                <w:sz w:val="22"/>
                <w:szCs w:val="22"/>
                <w:u w:val="none"/>
              </w:rPr>
              <w:t xml:space="preserve">ecurities. (A-136, section II.3.2.3) </w:t>
            </w:r>
          </w:p>
        </w:tc>
      </w:tr>
      <w:tr w:rsidR="000A2516" w:rsidRPr="005B5418" w14:paraId="26903CD1" w14:textId="77777777" w:rsidTr="0059376E">
        <w:trPr>
          <w:cantSplit/>
        </w:trPr>
        <w:tc>
          <w:tcPr>
            <w:tcW w:w="5525" w:type="dxa"/>
            <w:gridSpan w:val="2"/>
          </w:tcPr>
          <w:p w14:paraId="50101723" w14:textId="427D64C8" w:rsidR="000A2516" w:rsidRPr="005B5418" w:rsidRDefault="000A2516" w:rsidP="00E72C29">
            <w:pPr>
              <w:pStyle w:val="FAM-Table-outline"/>
              <w:numPr>
                <w:ilvl w:val="0"/>
                <w:numId w:val="75"/>
              </w:numPr>
              <w:spacing w:line="240" w:lineRule="auto"/>
              <w:rPr>
                <w:rFonts w:eastAsia="Arial Unicode MS" w:cs="Arial"/>
                <w:szCs w:val="22"/>
              </w:rPr>
            </w:pPr>
            <w:r w:rsidRPr="005B5418">
              <w:rPr>
                <w:rFonts w:eastAsia="Arial Unicode MS" w:cs="Arial"/>
                <w:szCs w:val="22"/>
              </w:rPr>
              <w:t xml:space="preserve">Is this </w:t>
            </w:r>
            <w:r w:rsidR="00DC7D67" w:rsidRPr="005B5418">
              <w:rPr>
                <w:rFonts w:eastAsia="Arial Unicode MS" w:cs="Arial"/>
                <w:szCs w:val="22"/>
              </w:rPr>
              <w:t>topic</w:t>
            </w:r>
            <w:r w:rsidRPr="005B5418">
              <w:rPr>
                <w:rFonts w:eastAsia="Arial Unicode MS" w:cs="Arial"/>
                <w:szCs w:val="22"/>
              </w:rPr>
              <w:t xml:space="preserve"> applicable to the entity’s financial statements? (Answer Y if applicable, N/A if not applicable, or N/S if not significant. If N/A or N/S, skip to the next </w:t>
            </w:r>
            <w:r w:rsidR="00C874DD" w:rsidRPr="005B5418">
              <w:rPr>
                <w:rFonts w:eastAsia="Arial Unicode MS" w:cs="Arial"/>
                <w:szCs w:val="22"/>
              </w:rPr>
              <w:t>topic</w:t>
            </w:r>
            <w:r w:rsidR="00FB0978" w:rsidRPr="005B5418">
              <w:rPr>
                <w:rFonts w:eastAsia="Arial Unicode MS" w:cs="Arial"/>
                <w:szCs w:val="22"/>
              </w:rPr>
              <w:t>.</w:t>
            </w:r>
            <w:r w:rsidRPr="005B5418">
              <w:rPr>
                <w:rFonts w:eastAsia="Arial Unicode MS" w:cs="Arial"/>
                <w:szCs w:val="22"/>
              </w:rPr>
              <w:t>)</w:t>
            </w:r>
          </w:p>
        </w:tc>
        <w:tc>
          <w:tcPr>
            <w:tcW w:w="968" w:type="dxa"/>
            <w:gridSpan w:val="2"/>
          </w:tcPr>
          <w:p w14:paraId="14546A57" w14:textId="77777777" w:rsidR="000A2516" w:rsidRPr="005B5418" w:rsidRDefault="000A2516" w:rsidP="003B61E9">
            <w:pPr>
              <w:pStyle w:val="Table-Cell-Left"/>
              <w:spacing w:before="120" w:after="120" w:line="240" w:lineRule="auto"/>
              <w:rPr>
                <w:rFonts w:eastAsia="Arial Unicode MS" w:cs="Arial"/>
                <w:sz w:val="22"/>
                <w:szCs w:val="22"/>
              </w:rPr>
            </w:pPr>
          </w:p>
        </w:tc>
        <w:tc>
          <w:tcPr>
            <w:tcW w:w="3070" w:type="dxa"/>
          </w:tcPr>
          <w:p w14:paraId="0580502B" w14:textId="77777777" w:rsidR="000A2516" w:rsidRPr="005B5418" w:rsidRDefault="000A2516" w:rsidP="003B61E9">
            <w:pPr>
              <w:pStyle w:val="Table-Cell-Left"/>
              <w:spacing w:before="120" w:after="120" w:line="240" w:lineRule="auto"/>
              <w:rPr>
                <w:rFonts w:eastAsia="Arial Unicode MS" w:cs="Arial"/>
                <w:sz w:val="22"/>
                <w:szCs w:val="22"/>
              </w:rPr>
            </w:pPr>
          </w:p>
        </w:tc>
      </w:tr>
      <w:tr w:rsidR="00CE21D0" w:rsidRPr="005B5418" w14:paraId="0D3D4D3F" w14:textId="77777777" w:rsidTr="0059376E">
        <w:trPr>
          <w:cantSplit/>
        </w:trPr>
        <w:tc>
          <w:tcPr>
            <w:tcW w:w="9563" w:type="dxa"/>
            <w:gridSpan w:val="5"/>
          </w:tcPr>
          <w:p w14:paraId="0679E470" w14:textId="77777777" w:rsidR="00CE21D0" w:rsidRPr="005B5418" w:rsidRDefault="00CE21D0" w:rsidP="008848DA">
            <w:pPr>
              <w:pStyle w:val="Heading4"/>
              <w:spacing w:before="60" w:after="60" w:line="240" w:lineRule="auto"/>
              <w:rPr>
                <w:rFonts w:eastAsia="Arial Unicode MS"/>
                <w:sz w:val="22"/>
                <w:szCs w:val="22"/>
                <w:u w:val="none"/>
              </w:rPr>
            </w:pPr>
            <w:bookmarkStart w:id="121" w:name="_IV.1.2A_Accounting"/>
            <w:bookmarkEnd w:id="121"/>
            <w:r w:rsidRPr="005B5418">
              <w:rPr>
                <w:rFonts w:eastAsia="Arial Unicode MS"/>
                <w:b/>
                <w:sz w:val="22"/>
                <w:szCs w:val="22"/>
                <w:u w:val="none"/>
              </w:rPr>
              <w:t>Accounting</w:t>
            </w:r>
          </w:p>
        </w:tc>
      </w:tr>
      <w:tr w:rsidR="00F45069" w:rsidRPr="005B5418" w14:paraId="2262D799" w14:textId="77777777" w:rsidTr="0059376E">
        <w:trPr>
          <w:cantSplit/>
        </w:trPr>
        <w:tc>
          <w:tcPr>
            <w:tcW w:w="5484" w:type="dxa"/>
          </w:tcPr>
          <w:p w14:paraId="03C911FA" w14:textId="2367DE4D" w:rsidR="00F45069" w:rsidRPr="005B5418" w:rsidRDefault="00F45069" w:rsidP="00E72C29">
            <w:pPr>
              <w:pStyle w:val="FAM-Table-outline"/>
              <w:numPr>
                <w:ilvl w:val="0"/>
                <w:numId w:val="75"/>
              </w:numPr>
              <w:spacing w:line="240" w:lineRule="auto"/>
              <w:rPr>
                <w:rFonts w:eastAsia="Arial Unicode MS" w:cs="Arial"/>
                <w:szCs w:val="22"/>
              </w:rPr>
            </w:pPr>
            <w:r w:rsidRPr="005B5418">
              <w:rPr>
                <w:rFonts w:eastAsia="Arial Unicode MS" w:cs="Arial"/>
                <w:szCs w:val="22"/>
              </w:rPr>
              <w:t>Are investments in federal securities initially recorded at their acquisition cost? (SFFAS 1, par</w:t>
            </w:r>
            <w:r w:rsidR="00FB1729" w:rsidRPr="005B5418">
              <w:rPr>
                <w:rFonts w:eastAsia="Arial Unicode MS" w:cs="Arial"/>
                <w:szCs w:val="22"/>
              </w:rPr>
              <w:t>as</w:t>
            </w:r>
            <w:r w:rsidRPr="005B5418">
              <w:rPr>
                <w:rFonts w:eastAsia="Arial Unicode MS" w:cs="Arial"/>
                <w:szCs w:val="22"/>
              </w:rPr>
              <w:t>. 68</w:t>
            </w:r>
            <w:r w:rsidR="00FB1729" w:rsidRPr="005B5418">
              <w:rPr>
                <w:rFonts w:eastAsia="Arial Unicode MS" w:cs="Arial"/>
                <w:szCs w:val="22"/>
              </w:rPr>
              <w:t>–</w:t>
            </w:r>
            <w:r w:rsidRPr="005B5418">
              <w:rPr>
                <w:rFonts w:eastAsia="Arial Unicode MS" w:cs="Arial"/>
                <w:szCs w:val="22"/>
              </w:rPr>
              <w:t>69)</w:t>
            </w:r>
          </w:p>
        </w:tc>
        <w:tc>
          <w:tcPr>
            <w:tcW w:w="975" w:type="dxa"/>
            <w:gridSpan w:val="2"/>
          </w:tcPr>
          <w:p w14:paraId="53C35E1D"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04" w:type="dxa"/>
            <w:gridSpan w:val="2"/>
          </w:tcPr>
          <w:p w14:paraId="08FE6484"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3BB09CB9" w14:textId="77777777" w:rsidTr="0059376E">
        <w:trPr>
          <w:cantSplit/>
        </w:trPr>
        <w:tc>
          <w:tcPr>
            <w:tcW w:w="5484" w:type="dxa"/>
          </w:tcPr>
          <w:p w14:paraId="44F5D289" w14:textId="1186C37D" w:rsidR="00F45069" w:rsidRPr="005B5418" w:rsidRDefault="00F45069" w:rsidP="007B5405">
            <w:pPr>
              <w:pStyle w:val="FAM-Table-outline"/>
              <w:spacing w:line="240" w:lineRule="auto"/>
              <w:rPr>
                <w:rFonts w:eastAsia="Arial Unicode MS" w:cs="Arial"/>
                <w:szCs w:val="22"/>
              </w:rPr>
            </w:pPr>
            <w:r w:rsidRPr="005B5418">
              <w:rPr>
                <w:rFonts w:eastAsia="Arial Unicode MS" w:cs="Arial"/>
                <w:szCs w:val="22"/>
              </w:rPr>
              <w:t>Are investments in federal securities acquired in exchange for nonmonetary assets recognized at the fair market value of either the securities acquired or the assets given up, whichever is more definitively determinable? (SFFAS 1, par</w:t>
            </w:r>
            <w:r w:rsidR="00FB1729" w:rsidRPr="005B5418">
              <w:rPr>
                <w:rFonts w:eastAsia="Arial Unicode MS" w:cs="Arial"/>
                <w:szCs w:val="22"/>
              </w:rPr>
              <w:t>a</w:t>
            </w:r>
            <w:r w:rsidRPr="005B5418">
              <w:rPr>
                <w:rFonts w:eastAsia="Arial Unicode MS" w:cs="Arial"/>
                <w:szCs w:val="22"/>
              </w:rPr>
              <w:t>. 68)</w:t>
            </w:r>
          </w:p>
        </w:tc>
        <w:tc>
          <w:tcPr>
            <w:tcW w:w="975" w:type="dxa"/>
            <w:gridSpan w:val="2"/>
          </w:tcPr>
          <w:p w14:paraId="259AB653"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04" w:type="dxa"/>
            <w:gridSpan w:val="2"/>
          </w:tcPr>
          <w:p w14:paraId="3B515EDA"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3BFFEC12" w14:textId="77777777" w:rsidTr="0059376E">
        <w:trPr>
          <w:cantSplit/>
        </w:trPr>
        <w:tc>
          <w:tcPr>
            <w:tcW w:w="5484" w:type="dxa"/>
          </w:tcPr>
          <w:p w14:paraId="017942A6" w14:textId="544FFA8C" w:rsidR="00F45069" w:rsidRPr="005B5418" w:rsidRDefault="00F45069" w:rsidP="007B5405">
            <w:pPr>
              <w:pStyle w:val="FAM-Table-outline"/>
              <w:spacing w:line="240" w:lineRule="auto"/>
              <w:rPr>
                <w:rFonts w:eastAsia="Arial Unicode MS" w:cs="Arial"/>
                <w:szCs w:val="22"/>
              </w:rPr>
            </w:pPr>
            <w:r w:rsidRPr="005B5418">
              <w:rPr>
                <w:rFonts w:eastAsia="Arial Unicode MS" w:cs="Arial"/>
                <w:szCs w:val="22"/>
              </w:rPr>
              <w:t>Subsequent to acquisition, is the carrying amount (i.e., acquisition cost) of investments in federal securities adjusted for amortized premium or discount? (SFFAS 1, par</w:t>
            </w:r>
            <w:r w:rsidR="00FB1729" w:rsidRPr="005B5418">
              <w:rPr>
                <w:rFonts w:eastAsia="Arial Unicode MS" w:cs="Arial"/>
                <w:szCs w:val="22"/>
              </w:rPr>
              <w:t>as</w:t>
            </w:r>
            <w:r w:rsidRPr="005B5418">
              <w:rPr>
                <w:rFonts w:eastAsia="Arial Unicode MS" w:cs="Arial"/>
                <w:szCs w:val="22"/>
              </w:rPr>
              <w:t>. 70</w:t>
            </w:r>
            <w:r w:rsidR="00FB1729" w:rsidRPr="005B5418">
              <w:rPr>
                <w:rFonts w:eastAsia="Arial Unicode MS" w:cs="Arial"/>
                <w:szCs w:val="22"/>
              </w:rPr>
              <w:t>–</w:t>
            </w:r>
            <w:r w:rsidRPr="005B5418">
              <w:rPr>
                <w:rFonts w:eastAsia="Arial Unicode MS" w:cs="Arial"/>
                <w:szCs w:val="22"/>
              </w:rPr>
              <w:t xml:space="preserve">71) </w:t>
            </w:r>
          </w:p>
        </w:tc>
        <w:tc>
          <w:tcPr>
            <w:tcW w:w="975" w:type="dxa"/>
            <w:gridSpan w:val="2"/>
          </w:tcPr>
          <w:p w14:paraId="23FE7AD3"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04" w:type="dxa"/>
            <w:gridSpan w:val="2"/>
          </w:tcPr>
          <w:p w14:paraId="74BAC40C"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235EC4F2" w14:textId="77777777" w:rsidTr="0059376E">
        <w:trPr>
          <w:cantSplit/>
        </w:trPr>
        <w:tc>
          <w:tcPr>
            <w:tcW w:w="5484" w:type="dxa"/>
          </w:tcPr>
          <w:p w14:paraId="64103964" w14:textId="50884E98" w:rsidR="00F45069" w:rsidRPr="005B5418" w:rsidRDefault="00F45069" w:rsidP="007B5405">
            <w:pPr>
              <w:pStyle w:val="FAM-Table-outline"/>
              <w:spacing w:line="240" w:lineRule="auto"/>
              <w:rPr>
                <w:rFonts w:eastAsia="Arial Unicode MS" w:cs="Arial"/>
                <w:szCs w:val="22"/>
              </w:rPr>
            </w:pPr>
            <w:r w:rsidRPr="005B5418">
              <w:rPr>
                <w:rFonts w:eastAsia="Arial Unicode MS" w:cs="Arial"/>
                <w:szCs w:val="22"/>
              </w:rPr>
              <w:br w:type="page"/>
              <w:t>Is the interest method (i.e., effective interest rate multiplied by the carrying amount) used in amortizing the premium or discount over the life of the Treasury security? (SFFAS 1, par</w:t>
            </w:r>
            <w:r w:rsidR="00FB1729" w:rsidRPr="005B5418">
              <w:rPr>
                <w:rFonts w:eastAsia="Arial Unicode MS" w:cs="Arial"/>
                <w:szCs w:val="22"/>
              </w:rPr>
              <w:t>a</w:t>
            </w:r>
            <w:r w:rsidRPr="005B5418">
              <w:rPr>
                <w:rFonts w:eastAsia="Arial Unicode MS" w:cs="Arial"/>
                <w:szCs w:val="22"/>
              </w:rPr>
              <w:t xml:space="preserve">. 71) </w:t>
            </w:r>
          </w:p>
        </w:tc>
        <w:tc>
          <w:tcPr>
            <w:tcW w:w="975" w:type="dxa"/>
            <w:gridSpan w:val="2"/>
          </w:tcPr>
          <w:p w14:paraId="5D769CC6"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04" w:type="dxa"/>
            <w:gridSpan w:val="2"/>
          </w:tcPr>
          <w:p w14:paraId="2A6943E7" w14:textId="77777777" w:rsidR="00F45069" w:rsidRPr="005B5418" w:rsidRDefault="00F45069" w:rsidP="003B61E9">
            <w:pPr>
              <w:pStyle w:val="Table-Cell-Left"/>
              <w:spacing w:before="120" w:after="120" w:line="240" w:lineRule="auto"/>
              <w:rPr>
                <w:rFonts w:eastAsia="Arial Unicode MS" w:cs="Arial"/>
                <w:sz w:val="22"/>
                <w:szCs w:val="22"/>
              </w:rPr>
            </w:pPr>
          </w:p>
        </w:tc>
      </w:tr>
      <w:tr w:rsidR="00F45069" w:rsidRPr="005B5418" w14:paraId="2ADCF3BE" w14:textId="77777777" w:rsidTr="0059376E">
        <w:trPr>
          <w:cantSplit/>
        </w:trPr>
        <w:tc>
          <w:tcPr>
            <w:tcW w:w="5484" w:type="dxa"/>
          </w:tcPr>
          <w:p w14:paraId="05B62B18" w14:textId="3DE0A9FD" w:rsidR="00F45069" w:rsidRPr="005B5418" w:rsidRDefault="00F45069">
            <w:pPr>
              <w:pStyle w:val="FAM-Table-outline"/>
              <w:spacing w:line="240" w:lineRule="auto"/>
              <w:rPr>
                <w:rFonts w:eastAsia="Arial Unicode MS"/>
              </w:rPr>
            </w:pPr>
            <w:r w:rsidRPr="005B5418">
              <w:rPr>
                <w:rFonts w:eastAsia="Arial Unicode MS"/>
              </w:rPr>
              <w:t xml:space="preserve">Does the entity have non-federal </w:t>
            </w:r>
            <w:r w:rsidR="001F32D0" w:rsidRPr="005B5418">
              <w:rPr>
                <w:rFonts w:eastAsia="Arial Unicode MS"/>
              </w:rPr>
              <w:t>investments</w:t>
            </w:r>
            <w:r w:rsidR="00FB1729" w:rsidRPr="005B5418">
              <w:rPr>
                <w:rFonts w:eastAsia="Arial Unicode MS"/>
              </w:rPr>
              <w:t>,</w:t>
            </w:r>
            <w:r w:rsidRPr="005B5418">
              <w:rPr>
                <w:rFonts w:eastAsia="Arial Unicode MS"/>
              </w:rPr>
              <w:t xml:space="preserve"> and if so, are they accounted for in the appropriate manner?</w:t>
            </w:r>
            <w:r w:rsidR="00337B41" w:rsidRPr="005B5418">
              <w:rPr>
                <w:rStyle w:val="FootnoteReference"/>
                <w:rFonts w:eastAsia="Arial Unicode MS" w:cs="Arial"/>
                <w:szCs w:val="22"/>
              </w:rPr>
              <w:footnoteReference w:id="81"/>
            </w:r>
            <w:r w:rsidRPr="005B5418">
              <w:rPr>
                <w:rFonts w:eastAsia="Arial Unicode MS"/>
              </w:rPr>
              <w:t xml:space="preserve"> (A-136, section II.3.</w:t>
            </w:r>
            <w:r w:rsidR="0024250E" w:rsidRPr="005B5418">
              <w:rPr>
                <w:rFonts w:eastAsia="Arial Unicode MS"/>
              </w:rPr>
              <w:t>2.3</w:t>
            </w:r>
            <w:r w:rsidR="006E35E5" w:rsidRPr="005B5418">
              <w:rPr>
                <w:rFonts w:eastAsia="Arial Unicode MS"/>
              </w:rPr>
              <w:t>)</w:t>
            </w:r>
            <w:r w:rsidRPr="005B5418">
              <w:rPr>
                <w:rFonts w:eastAsia="Arial Unicode MS"/>
              </w:rPr>
              <w:t xml:space="preserve"> </w:t>
            </w:r>
          </w:p>
        </w:tc>
        <w:tc>
          <w:tcPr>
            <w:tcW w:w="975" w:type="dxa"/>
            <w:gridSpan w:val="2"/>
          </w:tcPr>
          <w:p w14:paraId="389FED85" w14:textId="77777777" w:rsidR="00F45069" w:rsidRPr="005B5418" w:rsidRDefault="00F45069" w:rsidP="003B61E9">
            <w:pPr>
              <w:pStyle w:val="Table-Cell-Left"/>
              <w:spacing w:before="120" w:after="120" w:line="240" w:lineRule="auto"/>
              <w:rPr>
                <w:rFonts w:eastAsia="Arial Unicode MS" w:cs="Arial"/>
                <w:sz w:val="22"/>
                <w:szCs w:val="22"/>
              </w:rPr>
            </w:pPr>
          </w:p>
        </w:tc>
        <w:tc>
          <w:tcPr>
            <w:tcW w:w="3104" w:type="dxa"/>
            <w:gridSpan w:val="2"/>
          </w:tcPr>
          <w:p w14:paraId="6A67CAD3" w14:textId="77777777" w:rsidR="00F45069" w:rsidRPr="005B5418" w:rsidRDefault="00F45069" w:rsidP="003B61E9">
            <w:pPr>
              <w:pStyle w:val="Table-Cell-Left"/>
              <w:spacing w:before="120" w:after="120" w:line="240" w:lineRule="auto"/>
              <w:rPr>
                <w:rFonts w:eastAsia="Arial Unicode MS" w:cs="Arial"/>
                <w:sz w:val="22"/>
                <w:szCs w:val="22"/>
              </w:rPr>
            </w:pPr>
          </w:p>
        </w:tc>
      </w:tr>
      <w:tr w:rsidR="008E6B06" w:rsidRPr="005B5418" w14:paraId="2F3E84F5" w14:textId="77777777" w:rsidTr="0059376E">
        <w:trPr>
          <w:cantSplit/>
          <w:trHeight w:val="602"/>
        </w:trPr>
        <w:tc>
          <w:tcPr>
            <w:tcW w:w="9563" w:type="dxa"/>
            <w:gridSpan w:val="5"/>
            <w:vAlign w:val="center"/>
          </w:tcPr>
          <w:p w14:paraId="797F99DC" w14:textId="2955DCFF" w:rsidR="008E6B06" w:rsidRPr="005B5418" w:rsidRDefault="008E6B06" w:rsidP="008848DA">
            <w:pPr>
              <w:pStyle w:val="Heading4"/>
              <w:spacing w:before="60" w:after="60" w:line="240" w:lineRule="auto"/>
              <w:rPr>
                <w:sz w:val="22"/>
                <w:szCs w:val="22"/>
                <w:u w:val="none"/>
              </w:rPr>
            </w:pPr>
            <w:bookmarkStart w:id="122" w:name="_IV.1.2B_Disclosure"/>
            <w:bookmarkEnd w:id="122"/>
            <w:r w:rsidRPr="005B5418">
              <w:rPr>
                <w:rFonts w:eastAsia="Arial Unicode MS"/>
                <w:b/>
                <w:sz w:val="22"/>
                <w:szCs w:val="22"/>
                <w:u w:val="none"/>
              </w:rPr>
              <w:lastRenderedPageBreak/>
              <w:t>Disclosure</w:t>
            </w:r>
          </w:p>
        </w:tc>
      </w:tr>
      <w:tr w:rsidR="00D72C81" w:rsidRPr="005B5418" w14:paraId="48562903" w14:textId="77777777" w:rsidTr="00393146">
        <w:trPr>
          <w:cantSplit/>
          <w:trHeight w:val="418"/>
        </w:trPr>
        <w:tc>
          <w:tcPr>
            <w:tcW w:w="9563" w:type="dxa"/>
            <w:gridSpan w:val="5"/>
            <w:vAlign w:val="center"/>
          </w:tcPr>
          <w:p w14:paraId="55917584" w14:textId="4931CE3C" w:rsidR="00D72C81" w:rsidRPr="005B5418" w:rsidRDefault="00D72C81" w:rsidP="008848DA">
            <w:pPr>
              <w:pStyle w:val="Heading4"/>
              <w:spacing w:before="60" w:after="60" w:line="240" w:lineRule="auto"/>
              <w:rPr>
                <w:rFonts w:eastAsia="Arial Unicode MS"/>
                <w:i/>
                <w:sz w:val="22"/>
                <w:szCs w:val="22"/>
                <w:u w:val="none"/>
              </w:rPr>
            </w:pPr>
            <w:r w:rsidRPr="005B5418">
              <w:rPr>
                <w:rFonts w:eastAsia="Arial Unicode MS"/>
                <w:i/>
                <w:sz w:val="22"/>
                <w:szCs w:val="22"/>
                <w:u w:val="none"/>
              </w:rPr>
              <w:t>Federal Investments</w:t>
            </w:r>
          </w:p>
        </w:tc>
      </w:tr>
      <w:tr w:rsidR="008E6B06" w:rsidRPr="005B5418" w14:paraId="454A5302" w14:textId="77777777" w:rsidTr="0059376E">
        <w:trPr>
          <w:cantSplit/>
          <w:trHeight w:val="1403"/>
        </w:trPr>
        <w:tc>
          <w:tcPr>
            <w:tcW w:w="5484" w:type="dxa"/>
          </w:tcPr>
          <w:p w14:paraId="0C7F848C" w14:textId="58FCC7EF" w:rsidR="008E6B06" w:rsidRPr="005B5418" w:rsidRDefault="008E6B06" w:rsidP="008848DA">
            <w:pPr>
              <w:pStyle w:val="FAM-Table-outline"/>
              <w:spacing w:line="240" w:lineRule="auto"/>
              <w:rPr>
                <w:rFonts w:eastAsia="Arial Unicode MS"/>
              </w:rPr>
            </w:pPr>
            <w:r w:rsidRPr="005B5418">
              <w:rPr>
                <w:rFonts w:eastAsia="Arial Unicode MS"/>
              </w:rPr>
              <w:t>Are the components of investments (e.g., cost, amortization,</w:t>
            </w:r>
            <w:r w:rsidR="00D0062C" w:rsidRPr="005B5418">
              <w:rPr>
                <w:rFonts w:eastAsia="Arial Unicode MS"/>
              </w:rPr>
              <w:t xml:space="preserve"> and</w:t>
            </w:r>
            <w:r w:rsidRPr="005B5418">
              <w:rPr>
                <w:rFonts w:eastAsia="Arial Unicode MS"/>
              </w:rPr>
              <w:t xml:space="preserve"> </w:t>
            </w:r>
            <w:r w:rsidR="001E3DA1" w:rsidRPr="005B5418">
              <w:rPr>
                <w:rFonts w:eastAsia="Arial Unicode MS"/>
              </w:rPr>
              <w:t>interest receivable</w:t>
            </w:r>
            <w:r w:rsidRPr="005B5418">
              <w:rPr>
                <w:rFonts w:eastAsia="Arial Unicode MS"/>
              </w:rPr>
              <w:t>) disclosed in the notes to the financial statements? (A-136, section II.3.</w:t>
            </w:r>
            <w:r w:rsidR="00621074" w:rsidRPr="005B5418">
              <w:rPr>
                <w:rFonts w:eastAsia="Arial Unicode MS"/>
              </w:rPr>
              <w:t>8</w:t>
            </w:r>
            <w:r w:rsidRPr="005B5418">
              <w:rPr>
                <w:rFonts w:eastAsia="Arial Unicode MS"/>
              </w:rPr>
              <w:t>.5)</w:t>
            </w:r>
          </w:p>
        </w:tc>
        <w:tc>
          <w:tcPr>
            <w:tcW w:w="975" w:type="dxa"/>
            <w:gridSpan w:val="2"/>
          </w:tcPr>
          <w:p w14:paraId="130CA4A9" w14:textId="77777777" w:rsidR="008E6B06" w:rsidRPr="005B5418" w:rsidRDefault="008E6B06" w:rsidP="003B61E9">
            <w:pPr>
              <w:pStyle w:val="Table-Cell-CenterBoldBefore6ptAfter6pt"/>
              <w:rPr>
                <w:rFonts w:cs="Arial"/>
              </w:rPr>
            </w:pPr>
          </w:p>
        </w:tc>
        <w:tc>
          <w:tcPr>
            <w:tcW w:w="3104" w:type="dxa"/>
            <w:gridSpan w:val="2"/>
          </w:tcPr>
          <w:p w14:paraId="6715AAE7" w14:textId="77777777" w:rsidR="008E6B06" w:rsidRPr="005B5418" w:rsidRDefault="008E6B06" w:rsidP="003B61E9">
            <w:pPr>
              <w:spacing w:line="240" w:lineRule="auto"/>
              <w:rPr>
                <w:rFonts w:cs="Arial"/>
              </w:rPr>
            </w:pPr>
          </w:p>
        </w:tc>
      </w:tr>
      <w:tr w:rsidR="008E6B06" w:rsidRPr="005B5418" w14:paraId="1226076F" w14:textId="77777777" w:rsidTr="0059376E">
        <w:trPr>
          <w:cantSplit/>
          <w:trHeight w:val="1250"/>
        </w:trPr>
        <w:tc>
          <w:tcPr>
            <w:tcW w:w="5484" w:type="dxa"/>
          </w:tcPr>
          <w:p w14:paraId="4F5F4D91" w14:textId="71AB0AB5" w:rsidR="008E6B06" w:rsidRPr="005B5418" w:rsidRDefault="008E6B06" w:rsidP="008848DA">
            <w:pPr>
              <w:pStyle w:val="FAM-Table-outline"/>
              <w:spacing w:line="240" w:lineRule="auto"/>
              <w:rPr>
                <w:rFonts w:eastAsia="Arial Unicode MS"/>
              </w:rPr>
            </w:pPr>
            <w:r w:rsidRPr="005B5418">
              <w:rPr>
                <w:rFonts w:eastAsia="Arial Unicode MS"/>
              </w:rPr>
              <w:t>Is the market value of all marketable securities and all non-marketable market-based securities disclosed? (SFFAS 1, par</w:t>
            </w:r>
            <w:r w:rsidR="007D02DD" w:rsidRPr="005B5418">
              <w:rPr>
                <w:rFonts w:eastAsia="Arial Unicode MS"/>
              </w:rPr>
              <w:t>a</w:t>
            </w:r>
            <w:r w:rsidRPr="005B5418">
              <w:rPr>
                <w:rFonts w:eastAsia="Arial Unicode MS"/>
              </w:rPr>
              <w:t>. 72; A-136, section II.3.</w:t>
            </w:r>
            <w:r w:rsidR="00290FE3" w:rsidRPr="005B5418">
              <w:rPr>
                <w:rFonts w:eastAsia="Arial Unicode MS"/>
              </w:rPr>
              <w:t>8</w:t>
            </w:r>
            <w:r w:rsidRPr="005B5418">
              <w:rPr>
                <w:rFonts w:eastAsia="Arial Unicode MS"/>
              </w:rPr>
              <w:t>.5)</w:t>
            </w:r>
          </w:p>
        </w:tc>
        <w:tc>
          <w:tcPr>
            <w:tcW w:w="975" w:type="dxa"/>
            <w:gridSpan w:val="2"/>
          </w:tcPr>
          <w:p w14:paraId="162F855A" w14:textId="77777777" w:rsidR="008E6B06" w:rsidRPr="005B5418" w:rsidRDefault="008E6B06" w:rsidP="003B61E9">
            <w:pPr>
              <w:pStyle w:val="Table-Cell-CenterBoldBefore6ptAfter6pt"/>
              <w:rPr>
                <w:rFonts w:cs="Arial"/>
              </w:rPr>
            </w:pPr>
          </w:p>
        </w:tc>
        <w:tc>
          <w:tcPr>
            <w:tcW w:w="3104" w:type="dxa"/>
            <w:gridSpan w:val="2"/>
          </w:tcPr>
          <w:p w14:paraId="381B80B9" w14:textId="77777777" w:rsidR="008E6B06" w:rsidRPr="005B5418" w:rsidRDefault="008E6B06" w:rsidP="003B61E9">
            <w:pPr>
              <w:spacing w:line="240" w:lineRule="auto"/>
              <w:rPr>
                <w:rFonts w:cs="Arial"/>
              </w:rPr>
            </w:pPr>
          </w:p>
        </w:tc>
      </w:tr>
      <w:tr w:rsidR="008E6B06" w:rsidRPr="005B5418" w14:paraId="4731494D" w14:textId="77777777" w:rsidTr="0059376E">
        <w:trPr>
          <w:cantSplit/>
          <w:trHeight w:val="1520"/>
        </w:trPr>
        <w:tc>
          <w:tcPr>
            <w:tcW w:w="5484" w:type="dxa"/>
          </w:tcPr>
          <w:p w14:paraId="57F7F913" w14:textId="24F50EE3" w:rsidR="008E6B06" w:rsidRPr="005B5418" w:rsidRDefault="008E6B06" w:rsidP="0011108A">
            <w:pPr>
              <w:pStyle w:val="FAM-Table-outline"/>
              <w:spacing w:line="240" w:lineRule="auto"/>
              <w:rPr>
                <w:rFonts w:eastAsia="Arial Unicode MS"/>
              </w:rPr>
            </w:pPr>
            <w:r w:rsidRPr="005B5418">
              <w:rPr>
                <w:rFonts w:eastAsia="Arial Unicode MS"/>
              </w:rPr>
              <w:t>For purposes of determining a market value, are investments grouped</w:t>
            </w:r>
            <w:r w:rsidR="007D02DD" w:rsidRPr="005B5418">
              <w:t xml:space="preserve"> </w:t>
            </w:r>
            <w:r w:rsidR="007D02DD" w:rsidRPr="005B5418">
              <w:rPr>
                <w:rFonts w:eastAsia="Arial Unicode MS" w:cs="Arial"/>
                <w:szCs w:val="22"/>
              </w:rPr>
              <w:t>by type of security,</w:t>
            </w:r>
            <w:r w:rsidRPr="005B5418">
              <w:rPr>
                <w:rFonts w:eastAsia="Arial Unicode MS"/>
                <w:vertAlign w:val="superscript"/>
              </w:rPr>
              <w:footnoteReference w:id="82"/>
            </w:r>
            <w:r w:rsidRPr="005B5418">
              <w:rPr>
                <w:rFonts w:eastAsia="Arial Unicode MS"/>
              </w:rPr>
              <w:t xml:space="preserve"> such as marketable or market-based Treasury securities? (SFFAS 1, par</w:t>
            </w:r>
            <w:r w:rsidR="007D02DD" w:rsidRPr="005B5418">
              <w:rPr>
                <w:rFonts w:eastAsia="Arial Unicode MS"/>
              </w:rPr>
              <w:t>a</w:t>
            </w:r>
            <w:r w:rsidRPr="005B5418">
              <w:rPr>
                <w:rFonts w:eastAsia="Arial Unicode MS"/>
              </w:rPr>
              <w:t>. 72)</w:t>
            </w:r>
          </w:p>
        </w:tc>
        <w:tc>
          <w:tcPr>
            <w:tcW w:w="975" w:type="dxa"/>
            <w:gridSpan w:val="2"/>
          </w:tcPr>
          <w:p w14:paraId="5F1B403E" w14:textId="77777777" w:rsidR="008E6B06" w:rsidRPr="005B5418" w:rsidRDefault="008E6B06" w:rsidP="003B61E9">
            <w:pPr>
              <w:pStyle w:val="Table-Cell-CenterBoldBefore6ptAfter6pt"/>
              <w:rPr>
                <w:rFonts w:cs="Arial"/>
              </w:rPr>
            </w:pPr>
          </w:p>
        </w:tc>
        <w:tc>
          <w:tcPr>
            <w:tcW w:w="3104" w:type="dxa"/>
            <w:gridSpan w:val="2"/>
          </w:tcPr>
          <w:p w14:paraId="337C6B68" w14:textId="77777777" w:rsidR="008E6B06" w:rsidRPr="005B5418" w:rsidRDefault="008E6B06" w:rsidP="003B61E9">
            <w:pPr>
              <w:spacing w:line="240" w:lineRule="auto"/>
              <w:rPr>
                <w:rFonts w:cs="Arial"/>
              </w:rPr>
            </w:pPr>
          </w:p>
        </w:tc>
      </w:tr>
      <w:tr w:rsidR="008E6B06" w:rsidRPr="005B5418" w14:paraId="4AFBBC4F" w14:textId="77777777" w:rsidTr="0059376E">
        <w:trPr>
          <w:cantSplit/>
          <w:trHeight w:val="2160"/>
        </w:trPr>
        <w:tc>
          <w:tcPr>
            <w:tcW w:w="5484" w:type="dxa"/>
          </w:tcPr>
          <w:p w14:paraId="48D5E49E" w14:textId="1EF3F8EF" w:rsidR="008E6B06" w:rsidRPr="005B5418" w:rsidRDefault="008E6B06">
            <w:pPr>
              <w:pStyle w:val="FAM-Table-outline"/>
              <w:spacing w:line="240" w:lineRule="auto"/>
              <w:rPr>
                <w:rFonts w:eastAsia="Arial Unicode MS"/>
              </w:rPr>
            </w:pPr>
            <w:r w:rsidRPr="005B5418">
              <w:rPr>
                <w:rFonts w:eastAsia="Arial Unicode MS"/>
              </w:rPr>
              <w:t xml:space="preserve">If the entity has investments in Treasury </w:t>
            </w:r>
            <w:r w:rsidR="0073706B" w:rsidRPr="005B5418">
              <w:rPr>
                <w:rFonts w:eastAsia="Arial Unicode MS"/>
              </w:rPr>
              <w:t>s</w:t>
            </w:r>
            <w:r w:rsidRPr="005B5418">
              <w:rPr>
                <w:rFonts w:eastAsia="Arial Unicode MS"/>
              </w:rPr>
              <w:t xml:space="preserve">ecurities for Funds from Dedicated Collections, does the entity disclose these investments in a note to the financial statements in line with information required by SFFAS 27, </w:t>
            </w:r>
            <w:r w:rsidR="007D02DD" w:rsidRPr="005B5418">
              <w:rPr>
                <w:rFonts w:eastAsia="Arial Unicode MS"/>
              </w:rPr>
              <w:t>paragraphs</w:t>
            </w:r>
            <w:r w:rsidRPr="005B5418">
              <w:rPr>
                <w:rFonts w:eastAsia="Arial Unicode MS"/>
              </w:rPr>
              <w:t xml:space="preserve"> 27</w:t>
            </w:r>
            <w:r w:rsidR="007D02DD" w:rsidRPr="005B5418">
              <w:rPr>
                <w:rFonts w:eastAsia="Arial Unicode MS"/>
              </w:rPr>
              <w:t>–</w:t>
            </w:r>
            <w:r w:rsidRPr="005B5418">
              <w:rPr>
                <w:rFonts w:eastAsia="Arial Unicode MS"/>
              </w:rPr>
              <w:t>28</w:t>
            </w:r>
            <w:r w:rsidR="0073706B" w:rsidRPr="005B5418">
              <w:rPr>
                <w:rFonts w:eastAsia="Arial Unicode MS"/>
              </w:rPr>
              <w:t>?</w:t>
            </w:r>
            <w:r w:rsidRPr="005B5418">
              <w:rPr>
                <w:rFonts w:eastAsia="Arial Unicode MS"/>
                <w:vertAlign w:val="superscript"/>
              </w:rPr>
              <w:footnoteReference w:id="83"/>
            </w:r>
            <w:r w:rsidRPr="005B5418">
              <w:rPr>
                <w:rFonts w:eastAsia="Arial Unicode MS"/>
              </w:rPr>
              <w:t xml:space="preserve"> </w:t>
            </w:r>
          </w:p>
        </w:tc>
        <w:tc>
          <w:tcPr>
            <w:tcW w:w="975" w:type="dxa"/>
            <w:gridSpan w:val="2"/>
          </w:tcPr>
          <w:p w14:paraId="50B04C7A" w14:textId="77777777" w:rsidR="008E6B06" w:rsidRPr="005B5418" w:rsidRDefault="008E6B06" w:rsidP="003B61E9">
            <w:pPr>
              <w:pStyle w:val="Table-Cell-CenterBoldBefore6ptAfter6pt"/>
              <w:rPr>
                <w:rFonts w:cs="Arial"/>
              </w:rPr>
            </w:pPr>
          </w:p>
        </w:tc>
        <w:tc>
          <w:tcPr>
            <w:tcW w:w="3104" w:type="dxa"/>
            <w:gridSpan w:val="2"/>
          </w:tcPr>
          <w:p w14:paraId="1672BE50" w14:textId="77777777" w:rsidR="008E6B06" w:rsidRPr="005B5418" w:rsidRDefault="008E6B06" w:rsidP="003B61E9">
            <w:pPr>
              <w:spacing w:line="240" w:lineRule="auto"/>
              <w:rPr>
                <w:rFonts w:cs="Arial"/>
              </w:rPr>
            </w:pPr>
          </w:p>
        </w:tc>
      </w:tr>
      <w:tr w:rsidR="008E6B06" w:rsidRPr="005B5418" w14:paraId="22E6A2C7" w14:textId="77777777" w:rsidTr="0059376E">
        <w:trPr>
          <w:cantSplit/>
          <w:trHeight w:val="1448"/>
        </w:trPr>
        <w:tc>
          <w:tcPr>
            <w:tcW w:w="5484" w:type="dxa"/>
          </w:tcPr>
          <w:p w14:paraId="3673F3D9" w14:textId="5EF246E7" w:rsidR="008E6B06" w:rsidRPr="005B5418" w:rsidRDefault="008E6B06" w:rsidP="007B5405">
            <w:pPr>
              <w:pStyle w:val="FAM-Table-outline"/>
              <w:spacing w:line="240" w:lineRule="auto"/>
              <w:rPr>
                <w:rFonts w:eastAsia="Arial Unicode MS" w:cs="Arial"/>
                <w:szCs w:val="22"/>
              </w:rPr>
            </w:pPr>
            <w:r w:rsidRPr="005B5418">
              <w:rPr>
                <w:rFonts w:eastAsia="Arial Unicode MS" w:cs="Arial"/>
                <w:szCs w:val="22"/>
              </w:rPr>
              <w:t>If the reporting entity has non</w:t>
            </w:r>
            <w:r w:rsidR="00F2595B" w:rsidRPr="005B5418">
              <w:rPr>
                <w:rFonts w:eastAsia="Arial Unicode MS" w:cs="Arial"/>
                <w:szCs w:val="22"/>
              </w:rPr>
              <w:t>-</w:t>
            </w:r>
            <w:r w:rsidRPr="005B5418">
              <w:rPr>
                <w:rFonts w:eastAsia="Arial Unicode MS" w:cs="Arial"/>
                <w:szCs w:val="22"/>
              </w:rPr>
              <w:t xml:space="preserve">fiduciary deposit funds with investment authority </w:t>
            </w:r>
            <w:r w:rsidR="00D714AE" w:rsidRPr="005B5418">
              <w:rPr>
                <w:rFonts w:eastAsia="Arial Unicode MS" w:cs="Arial"/>
                <w:szCs w:val="22"/>
              </w:rPr>
              <w:t>that</w:t>
            </w:r>
            <w:r w:rsidRPr="005B5418">
              <w:rPr>
                <w:rFonts w:eastAsia="Arial Unicode MS" w:cs="Arial"/>
                <w:szCs w:val="22"/>
              </w:rPr>
              <w:t xml:space="preserve"> report intragovernmental FBWT, do they also report investments in Treasury securities as intragovernmental? </w:t>
            </w:r>
          </w:p>
        </w:tc>
        <w:tc>
          <w:tcPr>
            <w:tcW w:w="975" w:type="dxa"/>
            <w:gridSpan w:val="2"/>
          </w:tcPr>
          <w:p w14:paraId="195E9ACF" w14:textId="77777777" w:rsidR="008E6B06" w:rsidRPr="005B5418" w:rsidRDefault="008E6B06" w:rsidP="003B61E9">
            <w:pPr>
              <w:pStyle w:val="Table-Cell-CenterBoldBefore6ptAfter6pt"/>
              <w:rPr>
                <w:rFonts w:cs="Arial"/>
              </w:rPr>
            </w:pPr>
          </w:p>
        </w:tc>
        <w:tc>
          <w:tcPr>
            <w:tcW w:w="3104" w:type="dxa"/>
            <w:gridSpan w:val="2"/>
          </w:tcPr>
          <w:p w14:paraId="5D65BBE8" w14:textId="77777777" w:rsidR="008E6B06" w:rsidRPr="005B5418" w:rsidRDefault="008E6B06" w:rsidP="003B61E9">
            <w:pPr>
              <w:spacing w:line="240" w:lineRule="auto"/>
              <w:rPr>
                <w:rFonts w:cs="Arial"/>
              </w:rPr>
            </w:pPr>
          </w:p>
        </w:tc>
      </w:tr>
      <w:tr w:rsidR="008E6B06" w:rsidRPr="005B5418" w14:paraId="78481FA5" w14:textId="77777777" w:rsidTr="0059376E">
        <w:trPr>
          <w:cantSplit/>
          <w:trHeight w:val="998"/>
        </w:trPr>
        <w:tc>
          <w:tcPr>
            <w:tcW w:w="5484" w:type="dxa"/>
          </w:tcPr>
          <w:p w14:paraId="04FF6A90" w14:textId="6AE67549" w:rsidR="008E6B06" w:rsidRPr="005B5418" w:rsidRDefault="008E6B06" w:rsidP="007B5405">
            <w:pPr>
              <w:pStyle w:val="FAM-Table-outline"/>
              <w:spacing w:line="240" w:lineRule="auto"/>
              <w:rPr>
                <w:rFonts w:eastAsia="Arial Unicode MS" w:cs="Arial"/>
                <w:szCs w:val="22"/>
              </w:rPr>
            </w:pPr>
            <w:r w:rsidRPr="005B5418">
              <w:rPr>
                <w:rFonts w:eastAsia="Arial Unicode MS" w:cs="Arial"/>
                <w:szCs w:val="22"/>
              </w:rPr>
              <w:lastRenderedPageBreak/>
              <w:t>Are securities that have been reclassified as securities available for sale or early redemption disclosed? (SFFAS 1, par</w:t>
            </w:r>
            <w:r w:rsidR="00DD58C0" w:rsidRPr="005B5418">
              <w:rPr>
                <w:rFonts w:eastAsia="Arial Unicode MS" w:cs="Arial"/>
                <w:szCs w:val="22"/>
              </w:rPr>
              <w:t>a</w:t>
            </w:r>
            <w:r w:rsidRPr="005B5418">
              <w:rPr>
                <w:rFonts w:eastAsia="Arial Unicode MS" w:cs="Arial"/>
                <w:szCs w:val="22"/>
              </w:rPr>
              <w:t>. 73)</w:t>
            </w:r>
          </w:p>
        </w:tc>
        <w:tc>
          <w:tcPr>
            <w:tcW w:w="975" w:type="dxa"/>
            <w:gridSpan w:val="2"/>
          </w:tcPr>
          <w:p w14:paraId="55A7C79D" w14:textId="77777777" w:rsidR="008E6B06" w:rsidRPr="005B5418" w:rsidRDefault="008E6B06" w:rsidP="003B61E9">
            <w:pPr>
              <w:pStyle w:val="Table-Cell-CenterBoldBefore6ptAfter6pt"/>
              <w:rPr>
                <w:rFonts w:cs="Arial"/>
              </w:rPr>
            </w:pPr>
          </w:p>
        </w:tc>
        <w:tc>
          <w:tcPr>
            <w:tcW w:w="3104" w:type="dxa"/>
            <w:gridSpan w:val="2"/>
          </w:tcPr>
          <w:p w14:paraId="20A1BFCF" w14:textId="77777777" w:rsidR="008E6B06" w:rsidRPr="005B5418" w:rsidRDefault="008E6B06" w:rsidP="003B61E9">
            <w:pPr>
              <w:spacing w:line="240" w:lineRule="auto"/>
              <w:rPr>
                <w:rFonts w:cs="Arial"/>
              </w:rPr>
            </w:pPr>
          </w:p>
        </w:tc>
      </w:tr>
      <w:tr w:rsidR="00A3775D" w:rsidRPr="005B5418" w14:paraId="02E52AFB" w14:textId="77777777" w:rsidTr="00393146">
        <w:trPr>
          <w:cantSplit/>
          <w:trHeight w:val="418"/>
        </w:trPr>
        <w:tc>
          <w:tcPr>
            <w:tcW w:w="9563" w:type="dxa"/>
            <w:gridSpan w:val="5"/>
          </w:tcPr>
          <w:p w14:paraId="6D702916" w14:textId="5F83918F" w:rsidR="00A3775D" w:rsidRPr="005B5418" w:rsidRDefault="00A3775D" w:rsidP="003B61E9">
            <w:pPr>
              <w:spacing w:line="240" w:lineRule="auto"/>
              <w:rPr>
                <w:rFonts w:ascii="Arial" w:hAnsi="Arial" w:cs="Arial"/>
                <w:i/>
              </w:rPr>
            </w:pPr>
            <w:r w:rsidRPr="005B5418">
              <w:rPr>
                <w:rFonts w:ascii="Arial" w:eastAsia="Arial Unicode MS" w:hAnsi="Arial" w:cs="Arial"/>
                <w:i/>
              </w:rPr>
              <w:t>Non-Federal Investments</w:t>
            </w:r>
          </w:p>
        </w:tc>
      </w:tr>
      <w:tr w:rsidR="008E6B06" w:rsidRPr="005B5418" w14:paraId="761B7DC2" w14:textId="77777777" w:rsidTr="008848DA">
        <w:trPr>
          <w:cantSplit/>
          <w:trHeight w:val="1547"/>
        </w:trPr>
        <w:tc>
          <w:tcPr>
            <w:tcW w:w="5484" w:type="dxa"/>
          </w:tcPr>
          <w:p w14:paraId="6CF142B4" w14:textId="2E54E017" w:rsidR="008E6B06" w:rsidRPr="005B5418" w:rsidRDefault="00526B44" w:rsidP="008848DA">
            <w:pPr>
              <w:pStyle w:val="FAM-Table-outline"/>
              <w:spacing w:line="240" w:lineRule="auto"/>
              <w:rPr>
                <w:rFonts w:eastAsia="Arial Unicode MS"/>
              </w:rPr>
            </w:pPr>
            <w:r w:rsidRPr="005B5418">
              <w:rPr>
                <w:rFonts w:eastAsia="Arial Unicode MS"/>
              </w:rPr>
              <w:t>For investments in non-</w:t>
            </w:r>
            <w:r w:rsidR="00F2595B" w:rsidRPr="005B5418">
              <w:rPr>
                <w:rFonts w:eastAsia="Arial Unicode MS"/>
              </w:rPr>
              <w:t>f</w:t>
            </w:r>
            <w:r w:rsidRPr="005B5418">
              <w:rPr>
                <w:rFonts w:eastAsia="Arial Unicode MS"/>
              </w:rPr>
              <w:t>ederal securities</w:t>
            </w:r>
            <w:r w:rsidR="008E6B06" w:rsidRPr="005B5418">
              <w:rPr>
                <w:rFonts w:eastAsia="Arial Unicode MS"/>
              </w:rPr>
              <w:t>, does the entity</w:t>
            </w:r>
            <w:r w:rsidRPr="005B5418">
              <w:rPr>
                <w:rFonts w:eastAsia="Arial Unicode MS"/>
              </w:rPr>
              <w:t xml:space="preserve"> disclose the fair value measurements hierarchy classification (Levels 1, 2, </w:t>
            </w:r>
            <w:r w:rsidR="00DD58C0" w:rsidRPr="005B5418">
              <w:rPr>
                <w:rFonts w:eastAsia="Arial Unicode MS"/>
              </w:rPr>
              <w:t xml:space="preserve">or </w:t>
            </w:r>
            <w:r w:rsidRPr="005B5418">
              <w:rPr>
                <w:rFonts w:eastAsia="Arial Unicode MS"/>
              </w:rPr>
              <w:t>3</w:t>
            </w:r>
            <w:r w:rsidR="00F2595B" w:rsidRPr="005B5418">
              <w:rPr>
                <w:rFonts w:eastAsia="Arial Unicode MS"/>
              </w:rPr>
              <w:t>,</w:t>
            </w:r>
            <w:r w:rsidRPr="005B5418">
              <w:rPr>
                <w:rFonts w:eastAsia="Arial Unicode MS"/>
              </w:rPr>
              <w:t xml:space="preserve"> or Other)</w:t>
            </w:r>
            <w:r w:rsidR="00E7325F" w:rsidRPr="005B5418">
              <w:rPr>
                <w:rStyle w:val="FootnoteReference"/>
                <w:rFonts w:eastAsia="Arial Unicode MS" w:cs="Arial"/>
                <w:szCs w:val="22"/>
              </w:rPr>
              <w:footnoteReference w:id="84"/>
            </w:r>
            <w:r w:rsidR="00F3698B" w:rsidRPr="005B5418">
              <w:t xml:space="preserve"> </w:t>
            </w:r>
            <w:r w:rsidR="00F3698B" w:rsidRPr="005B5418">
              <w:rPr>
                <w:rFonts w:eastAsia="Arial Unicode MS"/>
              </w:rPr>
              <w:t>by investment type?</w:t>
            </w:r>
            <w:r w:rsidR="0035218B" w:rsidRPr="005B5418">
              <w:rPr>
                <w:rStyle w:val="FootnoteReference"/>
                <w:rFonts w:eastAsia="Arial Unicode MS" w:cs="Arial"/>
                <w:szCs w:val="22"/>
              </w:rPr>
              <w:footnoteReference w:id="85"/>
            </w:r>
            <w:r w:rsidR="008E6B06" w:rsidRPr="005B5418">
              <w:rPr>
                <w:rFonts w:eastAsia="Arial Unicode MS"/>
              </w:rPr>
              <w:t xml:space="preserve"> (A-136, section II.3.</w:t>
            </w:r>
            <w:r w:rsidR="00A95C05" w:rsidRPr="005B5418">
              <w:rPr>
                <w:rFonts w:eastAsia="Arial Unicode MS"/>
              </w:rPr>
              <w:t>8</w:t>
            </w:r>
            <w:r w:rsidR="008E6B06" w:rsidRPr="005B5418">
              <w:rPr>
                <w:rFonts w:eastAsia="Arial Unicode MS"/>
              </w:rPr>
              <w:t>.5)</w:t>
            </w:r>
          </w:p>
        </w:tc>
        <w:tc>
          <w:tcPr>
            <w:tcW w:w="975" w:type="dxa"/>
            <w:gridSpan w:val="2"/>
          </w:tcPr>
          <w:p w14:paraId="7E98E820" w14:textId="77777777" w:rsidR="008E6B06" w:rsidRPr="005B5418" w:rsidRDefault="008E6B06" w:rsidP="003B61E9">
            <w:pPr>
              <w:pStyle w:val="Table-Cell-CenterBoldBefore6ptAfter6pt"/>
              <w:rPr>
                <w:rFonts w:cs="Arial"/>
              </w:rPr>
            </w:pPr>
          </w:p>
        </w:tc>
        <w:tc>
          <w:tcPr>
            <w:tcW w:w="3104" w:type="dxa"/>
            <w:gridSpan w:val="2"/>
          </w:tcPr>
          <w:p w14:paraId="4B0E13D4" w14:textId="77777777" w:rsidR="008E6B06" w:rsidRPr="005B5418" w:rsidRDefault="008E6B06" w:rsidP="00591164">
            <w:pPr>
              <w:spacing w:line="240" w:lineRule="auto"/>
              <w:rPr>
                <w:rFonts w:cs="Arial"/>
              </w:rPr>
            </w:pPr>
          </w:p>
        </w:tc>
      </w:tr>
      <w:tr w:rsidR="00836BB0" w:rsidRPr="005B5418" w14:paraId="26C77522" w14:textId="77777777" w:rsidTr="0059376E">
        <w:trPr>
          <w:cantSplit/>
          <w:trHeight w:val="2160"/>
        </w:trPr>
        <w:tc>
          <w:tcPr>
            <w:tcW w:w="5484" w:type="dxa"/>
          </w:tcPr>
          <w:p w14:paraId="17B48233" w14:textId="7D8963DE" w:rsidR="006A53AB" w:rsidRPr="005B5418" w:rsidRDefault="00836BB0" w:rsidP="007B5405">
            <w:pPr>
              <w:pStyle w:val="FAM-Table-outline"/>
              <w:spacing w:line="240" w:lineRule="auto"/>
              <w:rPr>
                <w:rFonts w:eastAsia="Arial Unicode MS" w:cs="Arial"/>
                <w:szCs w:val="22"/>
              </w:rPr>
            </w:pPr>
            <w:r w:rsidRPr="005B5418">
              <w:rPr>
                <w:rFonts w:eastAsia="Arial Unicode MS" w:cs="Arial"/>
                <w:szCs w:val="22"/>
              </w:rPr>
              <w:t xml:space="preserve">For </w:t>
            </w:r>
            <w:r w:rsidR="006F3759" w:rsidRPr="005B5418">
              <w:rPr>
                <w:rFonts w:eastAsia="Arial Unicode MS" w:cs="Arial"/>
                <w:b/>
                <w:szCs w:val="22"/>
              </w:rPr>
              <w:t>significant entities only</w:t>
            </w:r>
            <w:r w:rsidR="00196DE3">
              <w:rPr>
                <w:rFonts w:eastAsia="Arial Unicode MS" w:cs="Arial"/>
                <w:szCs w:val="22"/>
              </w:rPr>
              <w:t>:</w:t>
            </w:r>
            <w:r w:rsidR="00196DE3" w:rsidRPr="005B5418">
              <w:rPr>
                <w:rFonts w:eastAsia="Arial Unicode MS" w:cs="Arial"/>
                <w:szCs w:val="22"/>
              </w:rPr>
              <w:t xml:space="preserve"> </w:t>
            </w:r>
            <w:r w:rsidR="006F3B9C">
              <w:rPr>
                <w:rFonts w:eastAsia="Arial Unicode MS" w:cs="Arial"/>
                <w:szCs w:val="22"/>
              </w:rPr>
              <w:t>F</w:t>
            </w:r>
            <w:r w:rsidR="006F3B9C" w:rsidRPr="005B5418">
              <w:rPr>
                <w:rFonts w:eastAsia="Arial Unicode MS" w:cs="Arial"/>
                <w:szCs w:val="22"/>
              </w:rPr>
              <w:t xml:space="preserve">or </w:t>
            </w:r>
            <w:r w:rsidRPr="005B5418">
              <w:rPr>
                <w:rFonts w:eastAsia="Arial Unicode MS" w:cs="Arial"/>
                <w:szCs w:val="22"/>
              </w:rPr>
              <w:t>investment</w:t>
            </w:r>
            <w:r w:rsidR="006A53AB" w:rsidRPr="005B5418">
              <w:rPr>
                <w:rFonts w:eastAsia="Arial Unicode MS" w:cs="Arial"/>
                <w:szCs w:val="22"/>
              </w:rPr>
              <w:t>s</w:t>
            </w:r>
            <w:r w:rsidRPr="005B5418">
              <w:rPr>
                <w:rFonts w:eastAsia="Arial Unicode MS" w:cs="Arial"/>
                <w:szCs w:val="22"/>
              </w:rPr>
              <w:t xml:space="preserve"> in non-</w:t>
            </w:r>
            <w:r w:rsidR="00F2595B" w:rsidRPr="005B5418">
              <w:rPr>
                <w:rFonts w:eastAsia="Arial Unicode MS" w:cs="Arial"/>
                <w:szCs w:val="22"/>
              </w:rPr>
              <w:t>f</w:t>
            </w:r>
            <w:r w:rsidRPr="005B5418">
              <w:rPr>
                <w:rFonts w:eastAsia="Arial Unicode MS" w:cs="Arial"/>
                <w:szCs w:val="22"/>
              </w:rPr>
              <w:t>ederal securities, does the entity disclose a re</w:t>
            </w:r>
            <w:r w:rsidR="006A53AB" w:rsidRPr="005B5418">
              <w:rPr>
                <w:rFonts w:eastAsia="Arial Unicode MS" w:cs="Arial"/>
                <w:szCs w:val="22"/>
              </w:rPr>
              <w:t>conciliation as follow</w:t>
            </w:r>
            <w:r w:rsidR="00F2595B" w:rsidRPr="005B5418">
              <w:rPr>
                <w:rFonts w:eastAsia="Arial Unicode MS" w:cs="Arial"/>
                <w:szCs w:val="22"/>
              </w:rPr>
              <w:t>s</w:t>
            </w:r>
            <w:r w:rsidR="006F145D" w:rsidRPr="005B5418">
              <w:rPr>
                <w:rFonts w:eastAsia="Arial Unicode MS" w:cs="Arial"/>
                <w:szCs w:val="22"/>
              </w:rPr>
              <w:t>?</w:t>
            </w:r>
          </w:p>
          <w:p w14:paraId="02F3A8C9" w14:textId="77777777" w:rsidR="00836BB0" w:rsidRPr="005B5418" w:rsidRDefault="006A53AB" w:rsidP="005425ED">
            <w:pPr>
              <w:pStyle w:val="FAM-Table-outline2"/>
              <w:numPr>
                <w:ilvl w:val="0"/>
                <w:numId w:val="241"/>
              </w:numPr>
              <w:spacing w:line="240" w:lineRule="auto"/>
              <w:rPr>
                <w:rFonts w:eastAsia="Arial Unicode MS" w:cs="Arial"/>
                <w:szCs w:val="22"/>
              </w:rPr>
            </w:pPr>
            <w:r w:rsidRPr="005B5418">
              <w:rPr>
                <w:rFonts w:eastAsia="Arial Unicode MS" w:cs="Arial"/>
                <w:szCs w:val="22"/>
              </w:rPr>
              <w:t>Beginning balance</w:t>
            </w:r>
          </w:p>
          <w:p w14:paraId="589EDAB8" w14:textId="77777777" w:rsidR="006A53AB" w:rsidRPr="005B5418" w:rsidRDefault="006A53AB" w:rsidP="005425ED">
            <w:pPr>
              <w:pStyle w:val="FAM-Table-outline2"/>
              <w:numPr>
                <w:ilvl w:val="0"/>
                <w:numId w:val="241"/>
              </w:numPr>
              <w:spacing w:line="240" w:lineRule="auto"/>
              <w:rPr>
                <w:rFonts w:eastAsia="Arial Unicode MS" w:cs="Arial"/>
                <w:szCs w:val="22"/>
              </w:rPr>
            </w:pPr>
            <w:r w:rsidRPr="005B5418">
              <w:rPr>
                <w:rFonts w:eastAsia="Arial Unicode MS" w:cs="Arial"/>
                <w:szCs w:val="22"/>
              </w:rPr>
              <w:t>Valuation adjustments</w:t>
            </w:r>
          </w:p>
          <w:p w14:paraId="6139AB6C" w14:textId="77777777" w:rsidR="006A53AB" w:rsidRPr="005B5418" w:rsidRDefault="006A53AB" w:rsidP="005425ED">
            <w:pPr>
              <w:pStyle w:val="FAM-Table-outline2"/>
              <w:numPr>
                <w:ilvl w:val="0"/>
                <w:numId w:val="241"/>
              </w:numPr>
              <w:spacing w:line="240" w:lineRule="auto"/>
              <w:rPr>
                <w:rFonts w:eastAsia="Arial Unicode MS" w:cs="Arial"/>
                <w:szCs w:val="22"/>
              </w:rPr>
            </w:pPr>
            <w:r w:rsidRPr="005B5418">
              <w:rPr>
                <w:rFonts w:eastAsia="Arial Unicode MS" w:cs="Arial"/>
                <w:szCs w:val="22"/>
              </w:rPr>
              <w:t>Gain/Loss on sales/dispositions</w:t>
            </w:r>
          </w:p>
          <w:p w14:paraId="7C723243" w14:textId="77777777" w:rsidR="006A53AB" w:rsidRPr="005B5418" w:rsidRDefault="006A53AB" w:rsidP="005425ED">
            <w:pPr>
              <w:pStyle w:val="FAM-Table-outline2"/>
              <w:numPr>
                <w:ilvl w:val="0"/>
                <w:numId w:val="241"/>
              </w:numPr>
              <w:spacing w:line="240" w:lineRule="auto"/>
              <w:rPr>
                <w:rFonts w:eastAsia="Arial Unicode MS" w:cs="Arial"/>
                <w:szCs w:val="22"/>
              </w:rPr>
            </w:pPr>
            <w:r w:rsidRPr="005B5418">
              <w:rPr>
                <w:rFonts w:eastAsia="Arial Unicode MS" w:cs="Arial"/>
                <w:szCs w:val="22"/>
              </w:rPr>
              <w:t>Acquisition of investments</w:t>
            </w:r>
          </w:p>
          <w:p w14:paraId="43FF20FC" w14:textId="77777777" w:rsidR="006A53AB" w:rsidRPr="005B5418" w:rsidRDefault="006A53AB" w:rsidP="005425ED">
            <w:pPr>
              <w:pStyle w:val="FAM-Table-outline2"/>
              <w:numPr>
                <w:ilvl w:val="0"/>
                <w:numId w:val="241"/>
              </w:numPr>
              <w:spacing w:line="240" w:lineRule="auto"/>
              <w:rPr>
                <w:rFonts w:eastAsia="Arial Unicode MS" w:cs="Arial"/>
                <w:szCs w:val="22"/>
              </w:rPr>
            </w:pPr>
            <w:r w:rsidRPr="005B5418">
              <w:rPr>
                <w:rFonts w:eastAsia="Arial Unicode MS" w:cs="Arial"/>
                <w:szCs w:val="22"/>
              </w:rPr>
              <w:t>Sale/repayment of investments</w:t>
            </w:r>
          </w:p>
          <w:p w14:paraId="2DA14C13" w14:textId="77777777" w:rsidR="006A53AB" w:rsidRPr="005B5418" w:rsidRDefault="006A53AB" w:rsidP="005425ED">
            <w:pPr>
              <w:pStyle w:val="FAM-Table-outline2"/>
              <w:numPr>
                <w:ilvl w:val="0"/>
                <w:numId w:val="241"/>
              </w:numPr>
              <w:spacing w:line="240" w:lineRule="auto"/>
              <w:rPr>
                <w:rFonts w:eastAsia="Arial Unicode MS" w:cs="Arial"/>
                <w:szCs w:val="22"/>
              </w:rPr>
            </w:pPr>
            <w:r w:rsidRPr="005B5418">
              <w:rPr>
                <w:rFonts w:eastAsia="Arial Unicode MS" w:cs="Arial"/>
                <w:szCs w:val="22"/>
              </w:rPr>
              <w:t>Change in accrued dividend/interest income</w:t>
            </w:r>
          </w:p>
          <w:p w14:paraId="1FF0374B" w14:textId="77777777" w:rsidR="006A53AB" w:rsidRPr="005B5418" w:rsidRDefault="006A53AB" w:rsidP="005425ED">
            <w:pPr>
              <w:pStyle w:val="FAM-Table-outline2"/>
              <w:numPr>
                <w:ilvl w:val="0"/>
                <w:numId w:val="241"/>
              </w:numPr>
              <w:spacing w:line="240" w:lineRule="auto"/>
              <w:rPr>
                <w:rFonts w:eastAsia="Arial Unicode MS" w:cs="Arial"/>
                <w:szCs w:val="22"/>
              </w:rPr>
            </w:pPr>
            <w:r w:rsidRPr="005B5418">
              <w:rPr>
                <w:rFonts w:eastAsia="Arial Unicode MS" w:cs="Arial"/>
                <w:szCs w:val="22"/>
              </w:rPr>
              <w:t>Other</w:t>
            </w:r>
          </w:p>
          <w:p w14:paraId="754F2E46" w14:textId="10A1A96A" w:rsidR="006A53AB" w:rsidRPr="005B5418" w:rsidRDefault="006A53AB" w:rsidP="005425ED">
            <w:pPr>
              <w:pStyle w:val="FAM-Table-outline2"/>
              <w:numPr>
                <w:ilvl w:val="0"/>
                <w:numId w:val="241"/>
              </w:numPr>
              <w:spacing w:line="240" w:lineRule="auto"/>
              <w:rPr>
                <w:rFonts w:eastAsia="Arial Unicode MS" w:cs="Arial"/>
                <w:szCs w:val="22"/>
              </w:rPr>
            </w:pPr>
            <w:r w:rsidRPr="005B5418">
              <w:rPr>
                <w:rFonts w:eastAsia="Arial Unicode MS" w:cs="Arial"/>
                <w:szCs w:val="22"/>
              </w:rPr>
              <w:t>Ending balance</w:t>
            </w:r>
            <w:r w:rsidR="00FA3179" w:rsidRPr="005B5418">
              <w:rPr>
                <w:rFonts w:eastAsia="Arial Unicode MS" w:cs="Arial"/>
                <w:szCs w:val="22"/>
              </w:rPr>
              <w:t xml:space="preserve"> </w:t>
            </w:r>
            <w:r w:rsidR="00C452A4" w:rsidRPr="005B5418">
              <w:rPr>
                <w:rFonts w:eastAsia="Arial Unicode MS" w:cs="Arial"/>
                <w:szCs w:val="22"/>
              </w:rPr>
              <w:t>(A-136, section II.3.8.5)</w:t>
            </w:r>
          </w:p>
        </w:tc>
        <w:tc>
          <w:tcPr>
            <w:tcW w:w="975" w:type="dxa"/>
            <w:gridSpan w:val="2"/>
          </w:tcPr>
          <w:p w14:paraId="79AF25D8" w14:textId="77777777" w:rsidR="00836BB0" w:rsidRPr="005B5418" w:rsidRDefault="00836BB0" w:rsidP="003B61E9">
            <w:pPr>
              <w:pStyle w:val="Table-Cell-CenterBoldBefore6ptAfter6pt"/>
              <w:rPr>
                <w:rFonts w:cs="Arial"/>
              </w:rPr>
            </w:pPr>
          </w:p>
        </w:tc>
        <w:tc>
          <w:tcPr>
            <w:tcW w:w="3104" w:type="dxa"/>
            <w:gridSpan w:val="2"/>
          </w:tcPr>
          <w:p w14:paraId="4F4BB765" w14:textId="77777777" w:rsidR="00836BB0" w:rsidRPr="005B5418" w:rsidRDefault="00836BB0" w:rsidP="00591164">
            <w:pPr>
              <w:spacing w:line="240" w:lineRule="auto"/>
              <w:rPr>
                <w:rFonts w:cs="Arial"/>
              </w:rPr>
            </w:pPr>
          </w:p>
        </w:tc>
      </w:tr>
      <w:tr w:rsidR="00BF71B8" w:rsidRPr="005B5418" w14:paraId="13CA8A53" w14:textId="77777777" w:rsidTr="0059376E">
        <w:trPr>
          <w:cantSplit/>
          <w:trHeight w:val="2160"/>
        </w:trPr>
        <w:tc>
          <w:tcPr>
            <w:tcW w:w="5484" w:type="dxa"/>
          </w:tcPr>
          <w:p w14:paraId="671C8C11" w14:textId="258D62D0" w:rsidR="00BF71B8" w:rsidRPr="005B5418" w:rsidRDefault="00BF71B8" w:rsidP="009A5702">
            <w:pPr>
              <w:pStyle w:val="FAM-Table-outline"/>
              <w:spacing w:line="240" w:lineRule="auto"/>
              <w:rPr>
                <w:rFonts w:eastAsia="Arial Unicode MS" w:cs="Arial"/>
                <w:szCs w:val="22"/>
              </w:rPr>
            </w:pPr>
            <w:r w:rsidRPr="005B5418">
              <w:rPr>
                <w:rFonts w:eastAsia="Arial Unicode MS" w:cs="Arial"/>
                <w:szCs w:val="22"/>
              </w:rPr>
              <w:t xml:space="preserve">If the reporting entity reports </w:t>
            </w:r>
            <w:r w:rsidR="009A5702" w:rsidRPr="005B5418">
              <w:rPr>
                <w:rFonts w:eastAsia="Arial Unicode MS" w:cs="Arial"/>
                <w:szCs w:val="22"/>
              </w:rPr>
              <w:t xml:space="preserve">other than </w:t>
            </w:r>
            <w:r w:rsidRPr="005B5418">
              <w:rPr>
                <w:rFonts w:eastAsia="Arial Unicode MS" w:cs="Arial"/>
                <w:szCs w:val="22"/>
              </w:rPr>
              <w:t>intragovernmental investments on the balance sheet using a method other than fair value, do</w:t>
            </w:r>
            <w:r w:rsidR="00A87307" w:rsidRPr="005B5418">
              <w:rPr>
                <w:rFonts w:eastAsia="Arial Unicode MS" w:cs="Arial"/>
                <w:szCs w:val="22"/>
              </w:rPr>
              <w:t xml:space="preserve">es the entity </w:t>
            </w:r>
            <w:r w:rsidRPr="005B5418">
              <w:rPr>
                <w:rFonts w:eastAsia="Arial Unicode MS" w:cs="Arial"/>
                <w:szCs w:val="22"/>
              </w:rPr>
              <w:t>reconcile the fair value disclosed in the note to the amount reported on the balance sheet? (A-136, section II.3.8.5)</w:t>
            </w:r>
          </w:p>
        </w:tc>
        <w:tc>
          <w:tcPr>
            <w:tcW w:w="975" w:type="dxa"/>
            <w:gridSpan w:val="2"/>
          </w:tcPr>
          <w:p w14:paraId="4D36539F" w14:textId="77777777" w:rsidR="00BF71B8" w:rsidRPr="005B5418" w:rsidRDefault="00BF71B8" w:rsidP="003B61E9">
            <w:pPr>
              <w:pStyle w:val="Table-Cell-CenterBoldBefore6ptAfter6pt"/>
              <w:rPr>
                <w:rFonts w:cs="Arial"/>
              </w:rPr>
            </w:pPr>
          </w:p>
        </w:tc>
        <w:tc>
          <w:tcPr>
            <w:tcW w:w="3104" w:type="dxa"/>
            <w:gridSpan w:val="2"/>
          </w:tcPr>
          <w:p w14:paraId="3832E6BC" w14:textId="77777777" w:rsidR="00BF71B8" w:rsidRPr="005B5418" w:rsidRDefault="00BF71B8" w:rsidP="00591164">
            <w:pPr>
              <w:spacing w:line="240" w:lineRule="auto"/>
              <w:rPr>
                <w:rFonts w:cs="Arial"/>
              </w:rPr>
            </w:pPr>
          </w:p>
        </w:tc>
      </w:tr>
    </w:tbl>
    <w:p w14:paraId="4CE57237" w14:textId="03C2F6AC" w:rsidR="00F2595B" w:rsidRPr="005B5418" w:rsidRDefault="00F2595B">
      <w:pPr>
        <w:rPr>
          <w:rFonts w:cs="Arial"/>
        </w:rPr>
      </w:pPr>
      <w:bookmarkStart w:id="123" w:name="_II.3.8.6-II.3.8.7_Receivables"/>
      <w:bookmarkEnd w:id="123"/>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5"/>
        <w:gridCol w:w="965"/>
        <w:gridCol w:w="3211"/>
      </w:tblGrid>
      <w:tr w:rsidR="0084195D" w:rsidRPr="005B5418" w14:paraId="797520E7" w14:textId="77777777" w:rsidTr="005C61FF">
        <w:trPr>
          <w:tblHeader/>
        </w:trPr>
        <w:tc>
          <w:tcPr>
            <w:tcW w:w="5405" w:type="dxa"/>
          </w:tcPr>
          <w:p w14:paraId="195B9228" w14:textId="77777777" w:rsidR="0084195D" w:rsidRPr="005B5418" w:rsidRDefault="0084195D" w:rsidP="008848DA">
            <w:pPr>
              <w:pStyle w:val="Heading4"/>
              <w:spacing w:before="60" w:after="60" w:line="240" w:lineRule="auto"/>
              <w:jc w:val="left"/>
              <w:rPr>
                <w:b/>
                <w:u w:val="none"/>
              </w:rPr>
            </w:pPr>
            <w:r w:rsidRPr="005B5418">
              <w:br w:type="page"/>
            </w:r>
            <w:bookmarkStart w:id="124" w:name="_II.3.8.6-II.3.8.7_Receivables_1"/>
            <w:bookmarkEnd w:id="124"/>
            <w:r w:rsidRPr="005B5418">
              <w:rPr>
                <w:b/>
                <w:u w:val="none"/>
              </w:rPr>
              <w:br w:type="page"/>
            </w:r>
            <w:bookmarkStart w:id="125" w:name="_Ref390335384"/>
            <w:bookmarkStart w:id="126" w:name="_Toc394667888"/>
            <w:bookmarkStart w:id="127" w:name="_Toc72727006"/>
            <w:bookmarkStart w:id="128" w:name="_Toc72727515"/>
            <w:bookmarkStart w:id="129" w:name="_Ref384816759"/>
            <w:r w:rsidRPr="005B5418">
              <w:rPr>
                <w:b/>
                <w:u w:val="none"/>
              </w:rPr>
              <w:t>II.3.8.6-II.3.8.7 Receivables</w:t>
            </w:r>
            <w:bookmarkEnd w:id="125"/>
            <w:bookmarkEnd w:id="126"/>
            <w:r w:rsidRPr="005B5418">
              <w:rPr>
                <w:b/>
                <w:u w:val="none"/>
              </w:rPr>
              <w:t xml:space="preserve"> </w:t>
            </w:r>
            <w:bookmarkEnd w:id="127"/>
            <w:bookmarkEnd w:id="128"/>
            <w:bookmarkEnd w:id="129"/>
          </w:p>
        </w:tc>
        <w:tc>
          <w:tcPr>
            <w:tcW w:w="965" w:type="dxa"/>
          </w:tcPr>
          <w:p w14:paraId="6902CAC4" w14:textId="77777777" w:rsidR="0084195D" w:rsidRPr="005B5418" w:rsidRDefault="0084195D" w:rsidP="008848DA">
            <w:pPr>
              <w:pStyle w:val="TableCellCenter"/>
              <w:spacing w:before="60" w:after="60"/>
              <w:jc w:val="left"/>
            </w:pPr>
            <w:r w:rsidRPr="005B5418">
              <w:t>Yes, No, or N/A</w:t>
            </w:r>
          </w:p>
        </w:tc>
        <w:tc>
          <w:tcPr>
            <w:tcW w:w="3211" w:type="dxa"/>
          </w:tcPr>
          <w:p w14:paraId="2B29B0EC" w14:textId="130E1D1A" w:rsidR="0084195D" w:rsidRPr="005B5418" w:rsidRDefault="0084195D" w:rsidP="008848DA">
            <w:pPr>
              <w:pStyle w:val="TableCellCenter"/>
              <w:spacing w:before="60" w:after="60"/>
              <w:jc w:val="left"/>
            </w:pPr>
            <w:r w:rsidRPr="005B5418">
              <w:t xml:space="preserve">Explanation </w:t>
            </w:r>
            <w:r w:rsidR="00755DAB" w:rsidRPr="005B5418">
              <w:t xml:space="preserve">and </w:t>
            </w:r>
            <w:r w:rsidRPr="005B5418">
              <w:t>Reference</w:t>
            </w:r>
          </w:p>
        </w:tc>
      </w:tr>
      <w:tr w:rsidR="0084195D" w:rsidRPr="005B5418" w14:paraId="403A5619" w14:textId="77777777" w:rsidTr="005C61FF">
        <w:trPr>
          <w:cantSplit/>
        </w:trPr>
        <w:tc>
          <w:tcPr>
            <w:tcW w:w="9581" w:type="dxa"/>
            <w:gridSpan w:val="3"/>
          </w:tcPr>
          <w:p w14:paraId="1D7C2F96" w14:textId="771D2940" w:rsidR="0084195D" w:rsidRPr="005B5418" w:rsidRDefault="0084195D" w:rsidP="008848DA">
            <w:pPr>
              <w:pStyle w:val="Table-Note"/>
              <w:spacing w:before="60" w:after="60" w:line="240" w:lineRule="auto"/>
              <w:ind w:left="-21"/>
              <w:jc w:val="left"/>
              <w:rPr>
                <w:rFonts w:cs="Arial"/>
                <w:i w:val="0"/>
                <w:sz w:val="22"/>
                <w:szCs w:val="22"/>
              </w:rPr>
            </w:pPr>
            <w:r w:rsidRPr="005B5418">
              <w:rPr>
                <w:rFonts w:cs="Arial"/>
                <w:i w:val="0"/>
                <w:sz w:val="22"/>
                <w:szCs w:val="22"/>
              </w:rPr>
              <w:t>Receivables are amounts that the entity claims for payment from others. Receivables can result from such activities as the sales of goods or services, the non-payment of taxes, the earning of interest, the advance or prepayment of monies, etc. (SFFAC 2, par</w:t>
            </w:r>
            <w:r w:rsidR="001262C4" w:rsidRPr="005B5418">
              <w:rPr>
                <w:rFonts w:cs="Arial"/>
                <w:i w:val="0"/>
                <w:sz w:val="22"/>
                <w:szCs w:val="22"/>
              </w:rPr>
              <w:t>a</w:t>
            </w:r>
            <w:r w:rsidRPr="005B5418">
              <w:rPr>
                <w:rFonts w:cs="Arial"/>
                <w:i w:val="0"/>
                <w:sz w:val="22"/>
                <w:szCs w:val="22"/>
              </w:rPr>
              <w:t>. 84)</w:t>
            </w:r>
          </w:p>
        </w:tc>
      </w:tr>
      <w:tr w:rsidR="0084195D" w:rsidRPr="005B5418" w14:paraId="10214CC3" w14:textId="77777777" w:rsidTr="005C61FF">
        <w:trPr>
          <w:cantSplit/>
        </w:trPr>
        <w:tc>
          <w:tcPr>
            <w:tcW w:w="9581" w:type="dxa"/>
            <w:gridSpan w:val="3"/>
          </w:tcPr>
          <w:p w14:paraId="1905D74C" w14:textId="77777777" w:rsidR="0084195D" w:rsidRPr="005B5418" w:rsidRDefault="0084195D" w:rsidP="008848DA">
            <w:pPr>
              <w:pStyle w:val="Heading5"/>
              <w:spacing w:before="60" w:after="60" w:line="240" w:lineRule="auto"/>
              <w:rPr>
                <w:rFonts w:ascii="Arial" w:hAnsi="Arial" w:cs="Arial"/>
                <w:b/>
                <w:i/>
                <w:color w:val="auto"/>
              </w:rPr>
            </w:pPr>
            <w:bookmarkStart w:id="130" w:name="_II.3.8.6_Accounts_Receivable,"/>
            <w:bookmarkStart w:id="131" w:name="_Ref392094183"/>
            <w:bookmarkStart w:id="132" w:name="_Toc394667889"/>
            <w:bookmarkStart w:id="133" w:name="_Ref390335450"/>
            <w:bookmarkEnd w:id="130"/>
            <w:r w:rsidRPr="005B5418">
              <w:rPr>
                <w:rFonts w:ascii="Arial" w:hAnsi="Arial" w:cs="Arial"/>
                <w:b/>
                <w:color w:val="auto"/>
              </w:rPr>
              <w:t>II.3.8.6 Accounts Receivable, Net</w:t>
            </w:r>
            <w:bookmarkEnd w:id="131"/>
            <w:bookmarkEnd w:id="132"/>
            <w:r w:rsidRPr="005B5418">
              <w:rPr>
                <w:rFonts w:ascii="Arial" w:hAnsi="Arial" w:cs="Arial"/>
                <w:b/>
                <w:color w:val="auto"/>
              </w:rPr>
              <w:t xml:space="preserve"> </w:t>
            </w:r>
            <w:bookmarkEnd w:id="133"/>
          </w:p>
        </w:tc>
      </w:tr>
      <w:tr w:rsidR="0084195D" w:rsidRPr="005B5418" w14:paraId="3C008C06" w14:textId="77777777" w:rsidTr="005C61FF">
        <w:trPr>
          <w:cantSplit/>
          <w:trHeight w:val="1781"/>
        </w:trPr>
        <w:tc>
          <w:tcPr>
            <w:tcW w:w="9581" w:type="dxa"/>
            <w:gridSpan w:val="3"/>
          </w:tcPr>
          <w:p w14:paraId="688A999F" w14:textId="1116ECF8" w:rsidR="008406E6" w:rsidRPr="005B5418" w:rsidRDefault="0084195D" w:rsidP="008848DA">
            <w:pPr>
              <w:pStyle w:val="Table-Note"/>
              <w:spacing w:before="60" w:after="60" w:line="240" w:lineRule="auto"/>
              <w:ind w:left="0"/>
              <w:jc w:val="left"/>
              <w:rPr>
                <w:rFonts w:eastAsia="Arial Unicode MS" w:cs="Arial"/>
                <w:i w:val="0"/>
                <w:sz w:val="22"/>
                <w:szCs w:val="22"/>
              </w:rPr>
            </w:pPr>
            <w:r w:rsidRPr="005B5418">
              <w:rPr>
                <w:rFonts w:cs="Arial"/>
                <w:i w:val="0"/>
                <w:sz w:val="22"/>
                <w:szCs w:val="22"/>
              </w:rPr>
              <w:t>Entity receivables are amounts due from other federal or non</w:t>
            </w:r>
            <w:r w:rsidR="007075E1" w:rsidRPr="005B5418">
              <w:rPr>
                <w:rFonts w:cs="Arial"/>
                <w:i w:val="0"/>
                <w:sz w:val="22"/>
                <w:szCs w:val="22"/>
              </w:rPr>
              <w:t>-</w:t>
            </w:r>
            <w:r w:rsidRPr="005B5418">
              <w:rPr>
                <w:rFonts w:cs="Arial"/>
                <w:i w:val="0"/>
                <w:sz w:val="22"/>
                <w:szCs w:val="22"/>
              </w:rPr>
              <w:t>federal entities that the federal entity is authorized by law to include in its obligational authority or to offset its expenditures and liabilities upon collection. Non</w:t>
            </w:r>
            <w:r w:rsidR="007075E1" w:rsidRPr="005B5418">
              <w:rPr>
                <w:rFonts w:cs="Arial"/>
                <w:i w:val="0"/>
                <w:sz w:val="22"/>
                <w:szCs w:val="22"/>
              </w:rPr>
              <w:t>-</w:t>
            </w:r>
            <w:r w:rsidRPr="005B5418">
              <w:rPr>
                <w:rFonts w:cs="Arial"/>
                <w:i w:val="0"/>
                <w:sz w:val="22"/>
                <w:szCs w:val="22"/>
              </w:rPr>
              <w:t>entity receivables are amounts that the entity is to collect on behalf of the federal government or other entities, and the entity is not authorized to spend. (SFFAS 1, par</w:t>
            </w:r>
            <w:r w:rsidR="00F258EE" w:rsidRPr="005B5418">
              <w:rPr>
                <w:rFonts w:cs="Arial"/>
                <w:i w:val="0"/>
                <w:sz w:val="22"/>
                <w:szCs w:val="22"/>
              </w:rPr>
              <w:t>a</w:t>
            </w:r>
            <w:r w:rsidRPr="005B5418">
              <w:rPr>
                <w:rFonts w:cs="Arial"/>
                <w:i w:val="0"/>
                <w:sz w:val="22"/>
                <w:szCs w:val="22"/>
              </w:rPr>
              <w:t>. 43)</w:t>
            </w:r>
          </w:p>
          <w:p w14:paraId="28345F3A" w14:textId="2F097D28" w:rsidR="00571B6D" w:rsidRPr="005B5418" w:rsidRDefault="00571B6D" w:rsidP="008848DA">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Accounts receivable arise from claims to cash or other assets. (SFFAS 1, par</w:t>
            </w:r>
            <w:r w:rsidR="00F258EE" w:rsidRPr="005B5418">
              <w:rPr>
                <w:rFonts w:eastAsia="Arial Unicode MS" w:cs="Arial"/>
                <w:i w:val="0"/>
                <w:sz w:val="22"/>
                <w:szCs w:val="22"/>
              </w:rPr>
              <w:t>a</w:t>
            </w:r>
            <w:r w:rsidRPr="005B5418">
              <w:rPr>
                <w:rFonts w:eastAsia="Arial Unicode MS" w:cs="Arial"/>
                <w:i w:val="0"/>
                <w:sz w:val="22"/>
                <w:szCs w:val="22"/>
              </w:rPr>
              <w:t xml:space="preserve">. 40) </w:t>
            </w:r>
          </w:p>
          <w:p w14:paraId="7C35EE36" w14:textId="218465E3" w:rsidR="00571B6D" w:rsidRPr="005B5418" w:rsidRDefault="008406E6" w:rsidP="008848DA">
            <w:pPr>
              <w:pStyle w:val="Table-Note"/>
              <w:spacing w:before="60" w:after="60" w:line="240" w:lineRule="auto"/>
              <w:ind w:left="0"/>
              <w:jc w:val="left"/>
              <w:rPr>
                <w:rFonts w:cs="Arial"/>
                <w:i w:val="0"/>
                <w:sz w:val="22"/>
                <w:szCs w:val="22"/>
              </w:rPr>
            </w:pPr>
            <w:r w:rsidRPr="005B5418">
              <w:rPr>
                <w:rFonts w:cs="Arial"/>
                <w:i w:val="0"/>
                <w:sz w:val="22"/>
                <w:szCs w:val="22"/>
              </w:rPr>
              <w:t>Technical Bulletin</w:t>
            </w:r>
            <w:r w:rsidR="00003798" w:rsidRPr="005B5418">
              <w:rPr>
                <w:rFonts w:cs="Arial"/>
                <w:i w:val="0"/>
                <w:sz w:val="22"/>
                <w:szCs w:val="22"/>
              </w:rPr>
              <w:t xml:space="preserve"> 2020-1</w:t>
            </w:r>
            <w:r w:rsidR="003D121D" w:rsidRPr="005B5418">
              <w:rPr>
                <w:rFonts w:cs="Arial"/>
                <w:i w:val="0"/>
                <w:sz w:val="22"/>
                <w:szCs w:val="22"/>
              </w:rPr>
              <w:t xml:space="preserve"> (TB)</w:t>
            </w:r>
            <w:r w:rsidRPr="005B5418">
              <w:rPr>
                <w:rFonts w:cs="Arial"/>
                <w:i w:val="0"/>
                <w:sz w:val="22"/>
                <w:szCs w:val="22"/>
              </w:rPr>
              <w:t xml:space="preserve">, </w:t>
            </w:r>
            <w:r w:rsidRPr="005B5418">
              <w:rPr>
                <w:rFonts w:cs="Arial"/>
                <w:sz w:val="22"/>
                <w:szCs w:val="22"/>
              </w:rPr>
              <w:t>Loss Allowance for Intragovernmental Receivables</w:t>
            </w:r>
            <w:r w:rsidR="00003798" w:rsidRPr="005B5418">
              <w:rPr>
                <w:rFonts w:cs="Arial"/>
                <w:i w:val="0"/>
                <w:sz w:val="22"/>
                <w:szCs w:val="22"/>
              </w:rPr>
              <w:t xml:space="preserve">, clarifies </w:t>
            </w:r>
            <w:r w:rsidRPr="005B5418">
              <w:rPr>
                <w:rFonts w:cs="Arial"/>
                <w:i w:val="0"/>
                <w:sz w:val="22"/>
                <w:szCs w:val="22"/>
              </w:rPr>
              <w:t xml:space="preserve">that the recognition of losses, </w:t>
            </w:r>
            <w:r w:rsidR="00CD78E1" w:rsidRPr="005B5418">
              <w:rPr>
                <w:rFonts w:cs="Arial"/>
                <w:i w:val="0"/>
                <w:sz w:val="22"/>
                <w:szCs w:val="22"/>
              </w:rPr>
              <w:t xml:space="preserve">discussed </w:t>
            </w:r>
            <w:r w:rsidRPr="005B5418">
              <w:rPr>
                <w:rFonts w:cs="Arial"/>
                <w:i w:val="0"/>
                <w:sz w:val="22"/>
                <w:szCs w:val="22"/>
              </w:rPr>
              <w:t>in paragraphs 41</w:t>
            </w:r>
            <w:r w:rsidR="00F258EE" w:rsidRPr="005B5418">
              <w:rPr>
                <w:rFonts w:cs="Arial"/>
                <w:i w:val="0"/>
                <w:sz w:val="22"/>
                <w:szCs w:val="22"/>
              </w:rPr>
              <w:t>–</w:t>
            </w:r>
            <w:r w:rsidRPr="005B5418">
              <w:rPr>
                <w:rFonts w:cs="Arial"/>
                <w:i w:val="0"/>
                <w:sz w:val="22"/>
                <w:szCs w:val="22"/>
              </w:rPr>
              <w:t xml:space="preserve">51 of SFFAS 1, </w:t>
            </w:r>
            <w:r w:rsidRPr="005B5418">
              <w:rPr>
                <w:rFonts w:cs="Arial"/>
                <w:sz w:val="22"/>
                <w:szCs w:val="22"/>
              </w:rPr>
              <w:t>Accounting for Selected Assets and Liabilities</w:t>
            </w:r>
            <w:r w:rsidRPr="005B5418">
              <w:rPr>
                <w:rFonts w:cs="Arial"/>
                <w:i w:val="0"/>
                <w:sz w:val="22"/>
                <w:szCs w:val="22"/>
              </w:rPr>
              <w:t>, applies to both intragovernmental receivables and receivables from non</w:t>
            </w:r>
            <w:r w:rsidR="007075E1" w:rsidRPr="005B5418">
              <w:rPr>
                <w:rFonts w:cs="Arial"/>
                <w:i w:val="0"/>
                <w:sz w:val="22"/>
                <w:szCs w:val="22"/>
              </w:rPr>
              <w:t>-</w:t>
            </w:r>
            <w:r w:rsidRPr="005B5418">
              <w:rPr>
                <w:rFonts w:cs="Arial"/>
                <w:i w:val="0"/>
                <w:sz w:val="22"/>
                <w:szCs w:val="22"/>
              </w:rPr>
              <w:t>federal entities.</w:t>
            </w:r>
          </w:p>
        </w:tc>
      </w:tr>
      <w:tr w:rsidR="00F74E05" w:rsidRPr="005B5418" w14:paraId="0D55744F" w14:textId="77777777" w:rsidTr="005C61FF">
        <w:trPr>
          <w:cantSplit/>
          <w:trHeight w:val="1196"/>
        </w:trPr>
        <w:tc>
          <w:tcPr>
            <w:tcW w:w="5405" w:type="dxa"/>
          </w:tcPr>
          <w:p w14:paraId="7C088623" w14:textId="0C3C6E4C" w:rsidR="00F74E05" w:rsidRPr="005B5418" w:rsidRDefault="00C874DD" w:rsidP="00825C76">
            <w:pPr>
              <w:pStyle w:val="FAM-Table-outline"/>
              <w:widowControl/>
              <w:numPr>
                <w:ilvl w:val="0"/>
                <w:numId w:val="60"/>
              </w:numPr>
              <w:adjustRightInd/>
              <w:spacing w:line="240" w:lineRule="auto"/>
              <w:textAlignment w:val="auto"/>
              <w:rPr>
                <w:rFonts w:eastAsia="Arial Unicode MS" w:cs="Arial"/>
                <w:szCs w:val="22"/>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F258EE" w:rsidRPr="005B5418">
              <w:rPr>
                <w:rFonts w:eastAsia="Arial Unicode MS" w:cs="Arial"/>
                <w:szCs w:val="22"/>
              </w:rPr>
              <w:t>.</w:t>
            </w:r>
            <w:r w:rsidRPr="005B5418">
              <w:rPr>
                <w:rFonts w:eastAsia="Arial Unicode MS" w:cs="Arial"/>
                <w:szCs w:val="22"/>
              </w:rPr>
              <w:t>)</w:t>
            </w:r>
          </w:p>
        </w:tc>
        <w:tc>
          <w:tcPr>
            <w:tcW w:w="965" w:type="dxa"/>
          </w:tcPr>
          <w:p w14:paraId="6E0EE340" w14:textId="77777777" w:rsidR="00F74E05" w:rsidRPr="005B5418" w:rsidRDefault="00F74E05" w:rsidP="008848DA">
            <w:pPr>
              <w:pStyle w:val="Table-Cell-CenterBoldBefore6ptAfter6pt"/>
              <w:spacing w:before="60" w:after="60"/>
              <w:rPr>
                <w:rFonts w:cs="Arial"/>
                <w:lang w:val="pt-BR"/>
              </w:rPr>
            </w:pPr>
          </w:p>
        </w:tc>
        <w:tc>
          <w:tcPr>
            <w:tcW w:w="3211" w:type="dxa"/>
          </w:tcPr>
          <w:p w14:paraId="4C30F5E0" w14:textId="77777777" w:rsidR="00F74E05" w:rsidRPr="005B5418" w:rsidRDefault="00F74E05" w:rsidP="008848DA">
            <w:pPr>
              <w:spacing w:before="60" w:after="60" w:line="240" w:lineRule="auto"/>
              <w:rPr>
                <w:rFonts w:cs="Arial"/>
                <w:lang w:val="pt-BR"/>
              </w:rPr>
            </w:pPr>
          </w:p>
        </w:tc>
      </w:tr>
      <w:tr w:rsidR="00F74E05" w:rsidRPr="005B5418" w14:paraId="3488CB40" w14:textId="77777777" w:rsidTr="005C61FF">
        <w:trPr>
          <w:cantSplit/>
          <w:trHeight w:val="422"/>
        </w:trPr>
        <w:tc>
          <w:tcPr>
            <w:tcW w:w="9581" w:type="dxa"/>
            <w:gridSpan w:val="3"/>
          </w:tcPr>
          <w:p w14:paraId="225BBDB0" w14:textId="77777777" w:rsidR="00F74E05" w:rsidRPr="005B5418" w:rsidRDefault="00F74E05" w:rsidP="008848DA">
            <w:pPr>
              <w:spacing w:before="60" w:after="60" w:line="240" w:lineRule="auto"/>
              <w:rPr>
                <w:rFonts w:ascii="Arial" w:hAnsi="Arial" w:cs="Arial"/>
                <w:b/>
              </w:rPr>
            </w:pPr>
            <w:r w:rsidRPr="005B5418">
              <w:rPr>
                <w:rFonts w:ascii="Arial" w:hAnsi="Arial" w:cs="Arial"/>
                <w:b/>
              </w:rPr>
              <w:t>Accounting</w:t>
            </w:r>
          </w:p>
        </w:tc>
      </w:tr>
      <w:tr w:rsidR="00571B6D" w:rsidRPr="005B5418" w14:paraId="5A6E3A3E" w14:textId="77777777" w:rsidTr="005C61FF">
        <w:trPr>
          <w:cantSplit/>
          <w:trHeight w:val="1592"/>
        </w:trPr>
        <w:tc>
          <w:tcPr>
            <w:tcW w:w="5405" w:type="dxa"/>
          </w:tcPr>
          <w:p w14:paraId="7EEA2692" w14:textId="59D3E1D9" w:rsidR="00571B6D" w:rsidRPr="005B5418" w:rsidRDefault="00571B6D" w:rsidP="005425ED">
            <w:pPr>
              <w:pStyle w:val="FAM-Table-outline"/>
              <w:widowControl/>
              <w:numPr>
                <w:ilvl w:val="0"/>
                <w:numId w:val="60"/>
              </w:numPr>
              <w:adjustRightInd/>
              <w:spacing w:line="240" w:lineRule="auto"/>
              <w:textAlignment w:val="auto"/>
              <w:rPr>
                <w:rFonts w:cs="Arial"/>
              </w:rPr>
            </w:pPr>
            <w:r w:rsidRPr="005B5418">
              <w:rPr>
                <w:rFonts w:eastAsia="Arial Unicode MS" w:cs="Arial"/>
                <w:szCs w:val="22"/>
              </w:rPr>
              <w:t>Is a receivable recognized when a federal entity establishes a claim to cash or other assets against other entities based on legal provisions, or when goods or services are provided? (SFFAS 1, par</w:t>
            </w:r>
            <w:r w:rsidR="00A31D2C" w:rsidRPr="005B5418">
              <w:rPr>
                <w:rFonts w:eastAsia="Arial Unicode MS" w:cs="Arial"/>
                <w:szCs w:val="22"/>
              </w:rPr>
              <w:t>a</w:t>
            </w:r>
            <w:r w:rsidRPr="005B5418">
              <w:rPr>
                <w:rFonts w:eastAsia="Arial Unicode MS" w:cs="Arial"/>
                <w:szCs w:val="22"/>
              </w:rPr>
              <w:t>. 41)</w:t>
            </w:r>
          </w:p>
        </w:tc>
        <w:tc>
          <w:tcPr>
            <w:tcW w:w="965" w:type="dxa"/>
          </w:tcPr>
          <w:p w14:paraId="77D6A473" w14:textId="77777777" w:rsidR="00571B6D" w:rsidRPr="005B5418" w:rsidRDefault="00571B6D" w:rsidP="008848DA">
            <w:pPr>
              <w:pStyle w:val="Table-Cell-CenterBoldBefore6ptAfter6pt"/>
              <w:spacing w:before="60" w:after="60"/>
              <w:rPr>
                <w:rFonts w:cs="Arial"/>
                <w:lang w:val="pt-BR"/>
              </w:rPr>
            </w:pPr>
          </w:p>
        </w:tc>
        <w:tc>
          <w:tcPr>
            <w:tcW w:w="3211" w:type="dxa"/>
          </w:tcPr>
          <w:p w14:paraId="006FC1E6" w14:textId="77777777" w:rsidR="00571B6D" w:rsidRPr="005B5418" w:rsidRDefault="00571B6D" w:rsidP="008848DA">
            <w:pPr>
              <w:spacing w:before="60" w:after="60" w:line="240" w:lineRule="auto"/>
              <w:rPr>
                <w:rFonts w:cs="Arial"/>
                <w:lang w:val="pt-BR"/>
              </w:rPr>
            </w:pPr>
          </w:p>
        </w:tc>
      </w:tr>
      <w:tr w:rsidR="009C2B08" w:rsidRPr="005B5418" w14:paraId="3CD2D29B" w14:textId="77777777" w:rsidTr="005C61FF">
        <w:trPr>
          <w:cantSplit/>
          <w:trHeight w:val="980"/>
        </w:trPr>
        <w:tc>
          <w:tcPr>
            <w:tcW w:w="5405" w:type="dxa"/>
          </w:tcPr>
          <w:p w14:paraId="51BD4460" w14:textId="493DCBE3" w:rsidR="009C2B08" w:rsidRPr="005B5418" w:rsidRDefault="009C2B08" w:rsidP="005425ED">
            <w:pPr>
              <w:pStyle w:val="FAM-Table-outline"/>
              <w:widowControl/>
              <w:numPr>
                <w:ilvl w:val="0"/>
                <w:numId w:val="60"/>
              </w:numPr>
              <w:adjustRightInd/>
              <w:spacing w:line="240" w:lineRule="auto"/>
              <w:textAlignment w:val="auto"/>
              <w:rPr>
                <w:rFonts w:cs="Arial"/>
              </w:rPr>
            </w:pPr>
            <w:r w:rsidRPr="005B5418">
              <w:rPr>
                <w:rFonts w:eastAsia="Arial Unicode MS" w:cs="Arial"/>
                <w:szCs w:val="22"/>
              </w:rPr>
              <w:t>If the exact amount of a receivable is unknown, is a reasonable estimate made? (SFFAS 1, par</w:t>
            </w:r>
            <w:r w:rsidR="00A31D2C" w:rsidRPr="005B5418">
              <w:rPr>
                <w:rFonts w:eastAsia="Arial Unicode MS" w:cs="Arial"/>
                <w:szCs w:val="22"/>
              </w:rPr>
              <w:t>a</w:t>
            </w:r>
            <w:r w:rsidRPr="005B5418">
              <w:rPr>
                <w:rFonts w:eastAsia="Arial Unicode MS" w:cs="Arial"/>
                <w:szCs w:val="22"/>
              </w:rPr>
              <w:t>. 41)</w:t>
            </w:r>
          </w:p>
        </w:tc>
        <w:tc>
          <w:tcPr>
            <w:tcW w:w="965" w:type="dxa"/>
          </w:tcPr>
          <w:p w14:paraId="64F4F2BC" w14:textId="77777777" w:rsidR="009C2B08" w:rsidRPr="005B5418" w:rsidRDefault="009C2B08" w:rsidP="008848DA">
            <w:pPr>
              <w:pStyle w:val="Table-Cell-CenterBoldBefore6ptAfter6pt"/>
              <w:spacing w:before="60" w:after="60"/>
              <w:rPr>
                <w:rFonts w:cs="Arial"/>
                <w:lang w:val="pt-BR"/>
              </w:rPr>
            </w:pPr>
          </w:p>
        </w:tc>
        <w:tc>
          <w:tcPr>
            <w:tcW w:w="3211" w:type="dxa"/>
          </w:tcPr>
          <w:p w14:paraId="24110AAA" w14:textId="77777777" w:rsidR="009C2B08" w:rsidRPr="005B5418" w:rsidRDefault="009C2B08" w:rsidP="008848DA">
            <w:pPr>
              <w:spacing w:before="60" w:after="60" w:line="240" w:lineRule="auto"/>
              <w:rPr>
                <w:rFonts w:cs="Arial"/>
                <w:lang w:val="pt-BR"/>
              </w:rPr>
            </w:pPr>
          </w:p>
        </w:tc>
      </w:tr>
      <w:tr w:rsidR="009C2B08" w:rsidRPr="005B5418" w14:paraId="699C3E07" w14:textId="77777777" w:rsidTr="005C61FF">
        <w:trPr>
          <w:cantSplit/>
          <w:trHeight w:val="1592"/>
        </w:trPr>
        <w:tc>
          <w:tcPr>
            <w:tcW w:w="5405" w:type="dxa"/>
          </w:tcPr>
          <w:p w14:paraId="7EE65CA5" w14:textId="27E33BF0" w:rsidR="009C2B08" w:rsidRPr="005B5418" w:rsidRDefault="009C2B08" w:rsidP="005425ED">
            <w:pPr>
              <w:pStyle w:val="FAM-Table-outline"/>
              <w:widowControl/>
              <w:numPr>
                <w:ilvl w:val="0"/>
                <w:numId w:val="60"/>
              </w:numPr>
              <w:adjustRightInd/>
              <w:spacing w:line="240" w:lineRule="auto"/>
              <w:textAlignment w:val="auto"/>
              <w:rPr>
                <w:rFonts w:cs="Arial"/>
              </w:rPr>
            </w:pPr>
            <w:r w:rsidRPr="005B5418">
              <w:rPr>
                <w:rFonts w:eastAsia="Arial Unicode MS" w:cs="Arial"/>
                <w:szCs w:val="22"/>
              </w:rPr>
              <w:t xml:space="preserve">Are losses on receivables </w:t>
            </w:r>
            <w:r w:rsidR="00914918" w:rsidRPr="005B5418">
              <w:rPr>
                <w:rFonts w:eastAsia="Arial Unicode MS" w:cs="Arial"/>
                <w:szCs w:val="22"/>
              </w:rPr>
              <w:t xml:space="preserve">(including intragovernmental receivables) </w:t>
            </w:r>
            <w:r w:rsidRPr="005B5418">
              <w:rPr>
                <w:rFonts w:eastAsia="Arial Unicode MS" w:cs="Arial"/>
                <w:szCs w:val="22"/>
              </w:rPr>
              <w:t>recognized when it is more likely than not (greater than a 50 percent chance of occurrence) that the receivables will not be totally collected? (SFFAS 1, par</w:t>
            </w:r>
            <w:r w:rsidR="00A31D2C" w:rsidRPr="005B5418">
              <w:rPr>
                <w:rFonts w:eastAsia="Arial Unicode MS" w:cs="Arial"/>
                <w:szCs w:val="22"/>
              </w:rPr>
              <w:t>a</w:t>
            </w:r>
            <w:r w:rsidRPr="005B5418">
              <w:rPr>
                <w:rFonts w:eastAsia="Arial Unicode MS" w:cs="Arial"/>
                <w:szCs w:val="22"/>
              </w:rPr>
              <w:t>. 44</w:t>
            </w:r>
            <w:r w:rsidR="00914918" w:rsidRPr="005B5418">
              <w:rPr>
                <w:rFonts w:eastAsia="Arial Unicode MS" w:cs="Arial"/>
                <w:szCs w:val="22"/>
              </w:rPr>
              <w:t>; TB 2020-1</w:t>
            </w:r>
            <w:r w:rsidRPr="005B5418">
              <w:rPr>
                <w:rFonts w:eastAsia="Arial Unicode MS" w:cs="Arial"/>
                <w:szCs w:val="22"/>
              </w:rPr>
              <w:t>)</w:t>
            </w:r>
          </w:p>
        </w:tc>
        <w:tc>
          <w:tcPr>
            <w:tcW w:w="965" w:type="dxa"/>
          </w:tcPr>
          <w:p w14:paraId="667D2C10" w14:textId="77777777" w:rsidR="009C2B08" w:rsidRPr="005B5418" w:rsidRDefault="009C2B08" w:rsidP="008848DA">
            <w:pPr>
              <w:pStyle w:val="Table-Cell-CenterBoldBefore6ptAfter6pt"/>
              <w:spacing w:before="60" w:after="60"/>
              <w:rPr>
                <w:rFonts w:cs="Arial"/>
                <w:lang w:val="pt-BR"/>
              </w:rPr>
            </w:pPr>
          </w:p>
        </w:tc>
        <w:tc>
          <w:tcPr>
            <w:tcW w:w="3211" w:type="dxa"/>
          </w:tcPr>
          <w:p w14:paraId="6B10410B" w14:textId="77777777" w:rsidR="009C2B08" w:rsidRPr="005B5418" w:rsidRDefault="009C2B08" w:rsidP="008848DA">
            <w:pPr>
              <w:spacing w:before="60" w:after="60" w:line="240" w:lineRule="auto"/>
              <w:rPr>
                <w:rFonts w:cs="Arial"/>
                <w:lang w:val="pt-BR"/>
              </w:rPr>
            </w:pPr>
          </w:p>
        </w:tc>
      </w:tr>
      <w:tr w:rsidR="009C2B08" w:rsidRPr="005B5418" w14:paraId="3D0F4448" w14:textId="77777777" w:rsidTr="005C61FF">
        <w:trPr>
          <w:cantSplit/>
          <w:trHeight w:val="1592"/>
        </w:trPr>
        <w:tc>
          <w:tcPr>
            <w:tcW w:w="5405" w:type="dxa"/>
          </w:tcPr>
          <w:p w14:paraId="2A047646" w14:textId="3277FEC2" w:rsidR="009C2B08" w:rsidRPr="005B5418" w:rsidRDefault="009C2B08" w:rsidP="008848DA">
            <w:pPr>
              <w:pStyle w:val="FAM-Table-outline"/>
              <w:widowControl/>
              <w:adjustRightInd/>
              <w:spacing w:line="240" w:lineRule="auto"/>
              <w:textAlignment w:val="auto"/>
              <w:rPr>
                <w:rFonts w:cs="Arial"/>
              </w:rPr>
            </w:pPr>
            <w:r w:rsidRPr="005B5418">
              <w:rPr>
                <w:rFonts w:eastAsia="Arial Unicode MS" w:cs="Arial"/>
                <w:szCs w:val="22"/>
              </w:rPr>
              <w:lastRenderedPageBreak/>
              <w:t>Is an allowance for estimated uncollectible amounts recognized to reduce the gross amount of receivables to their net realizable value?</w:t>
            </w:r>
            <w:r w:rsidRPr="005B5418">
              <w:rPr>
                <w:rFonts w:eastAsia="Arial Unicode MS" w:cs="Arial"/>
                <w:szCs w:val="22"/>
              </w:rPr>
              <w:br/>
            </w:r>
            <w:r w:rsidRPr="005B5418">
              <w:rPr>
                <w:rFonts w:eastAsia="Arial Unicode MS" w:cs="Arial"/>
                <w:szCs w:val="22"/>
              </w:rPr>
              <w:br/>
              <w:t>If so, is this allowance reestimated on each annual financial reporting date and when information indicates that the latest estimate is no longer correct? (SFFAS 1, par</w:t>
            </w:r>
            <w:r w:rsidR="00BF7839" w:rsidRPr="005B5418">
              <w:rPr>
                <w:rFonts w:eastAsia="Arial Unicode MS" w:cs="Arial"/>
                <w:szCs w:val="22"/>
              </w:rPr>
              <w:t>a</w:t>
            </w:r>
            <w:r w:rsidRPr="005B5418">
              <w:rPr>
                <w:rFonts w:eastAsia="Arial Unicode MS" w:cs="Arial"/>
                <w:szCs w:val="22"/>
              </w:rPr>
              <w:t>. 45)</w:t>
            </w:r>
          </w:p>
        </w:tc>
        <w:tc>
          <w:tcPr>
            <w:tcW w:w="965" w:type="dxa"/>
          </w:tcPr>
          <w:p w14:paraId="083A2C35" w14:textId="77777777" w:rsidR="009C2B08" w:rsidRPr="005B5418" w:rsidRDefault="009C2B08" w:rsidP="008848DA">
            <w:pPr>
              <w:pStyle w:val="Table-Cell-CenterBoldBefore6ptAfter6pt"/>
              <w:spacing w:before="60" w:after="60"/>
              <w:rPr>
                <w:rFonts w:cs="Arial"/>
                <w:lang w:val="pt-BR"/>
              </w:rPr>
            </w:pPr>
          </w:p>
        </w:tc>
        <w:tc>
          <w:tcPr>
            <w:tcW w:w="3211" w:type="dxa"/>
          </w:tcPr>
          <w:p w14:paraId="3ABE9963" w14:textId="77777777" w:rsidR="009C2B08" w:rsidRPr="005B5418" w:rsidRDefault="009C2B08" w:rsidP="008848DA">
            <w:pPr>
              <w:spacing w:before="60" w:after="60" w:line="240" w:lineRule="auto"/>
              <w:rPr>
                <w:rFonts w:cs="Arial"/>
                <w:lang w:val="pt-BR"/>
              </w:rPr>
            </w:pPr>
          </w:p>
        </w:tc>
      </w:tr>
      <w:tr w:rsidR="009C2B08" w:rsidRPr="005B5418" w14:paraId="40D4794B" w14:textId="77777777" w:rsidTr="005C61FF">
        <w:trPr>
          <w:cantSplit/>
          <w:trHeight w:val="1088"/>
        </w:trPr>
        <w:tc>
          <w:tcPr>
            <w:tcW w:w="5405" w:type="dxa"/>
          </w:tcPr>
          <w:p w14:paraId="0DBB456B" w14:textId="06EAA581" w:rsidR="009C2B08" w:rsidRPr="005B5418" w:rsidRDefault="009C2B08" w:rsidP="008848DA">
            <w:pPr>
              <w:pStyle w:val="FAM-Table-outline"/>
              <w:widowControl/>
              <w:adjustRightInd/>
              <w:spacing w:line="240" w:lineRule="auto"/>
              <w:textAlignment w:val="auto"/>
              <w:rPr>
                <w:rFonts w:cs="Arial"/>
              </w:rPr>
            </w:pPr>
            <w:r w:rsidRPr="005B5418">
              <w:rPr>
                <w:rFonts w:eastAsia="Arial Unicode MS" w:cs="Arial"/>
                <w:szCs w:val="22"/>
              </w:rPr>
              <w:t>Is an allowance for uncollectible amounts based on an analysis of both individual accounts receivable and groups of accounts receivable? (SFFAS 1, par</w:t>
            </w:r>
            <w:r w:rsidR="00BF7839" w:rsidRPr="005B5418">
              <w:rPr>
                <w:rFonts w:eastAsia="Arial Unicode MS" w:cs="Arial"/>
                <w:szCs w:val="22"/>
              </w:rPr>
              <w:t>as</w:t>
            </w:r>
            <w:r w:rsidRPr="005B5418">
              <w:rPr>
                <w:rFonts w:eastAsia="Arial Unicode MS" w:cs="Arial"/>
                <w:szCs w:val="22"/>
              </w:rPr>
              <w:t>. 47</w:t>
            </w:r>
            <w:r w:rsidR="00BF7839" w:rsidRPr="005B5418">
              <w:rPr>
                <w:rFonts w:eastAsia="Arial Unicode MS" w:cs="Arial"/>
                <w:szCs w:val="22"/>
              </w:rPr>
              <w:t>–</w:t>
            </w:r>
            <w:r w:rsidRPr="005B5418">
              <w:rPr>
                <w:rFonts w:eastAsia="Arial Unicode MS" w:cs="Arial"/>
                <w:szCs w:val="22"/>
              </w:rPr>
              <w:t>51)</w:t>
            </w:r>
          </w:p>
        </w:tc>
        <w:tc>
          <w:tcPr>
            <w:tcW w:w="965" w:type="dxa"/>
          </w:tcPr>
          <w:p w14:paraId="6462C361" w14:textId="77777777" w:rsidR="009C2B08" w:rsidRPr="005B5418" w:rsidRDefault="009C2B08" w:rsidP="008848DA">
            <w:pPr>
              <w:pStyle w:val="Table-Cell-CenterBoldBefore6ptAfter6pt"/>
              <w:spacing w:before="60" w:after="60"/>
              <w:rPr>
                <w:rFonts w:cs="Arial"/>
                <w:lang w:val="pt-BR"/>
              </w:rPr>
            </w:pPr>
          </w:p>
        </w:tc>
        <w:tc>
          <w:tcPr>
            <w:tcW w:w="3211" w:type="dxa"/>
          </w:tcPr>
          <w:p w14:paraId="3BEE5234" w14:textId="77777777" w:rsidR="009C2B08" w:rsidRPr="005B5418" w:rsidRDefault="009C2B08" w:rsidP="008848DA">
            <w:pPr>
              <w:spacing w:before="60" w:after="60" w:line="240" w:lineRule="auto"/>
              <w:rPr>
                <w:rFonts w:cs="Arial"/>
                <w:lang w:val="pt-BR"/>
              </w:rPr>
            </w:pPr>
          </w:p>
        </w:tc>
      </w:tr>
      <w:tr w:rsidR="009C2B08" w:rsidRPr="005B5418" w14:paraId="69C69164" w14:textId="77777777" w:rsidTr="005C61FF">
        <w:trPr>
          <w:cantSplit/>
          <w:trHeight w:val="908"/>
        </w:trPr>
        <w:tc>
          <w:tcPr>
            <w:tcW w:w="5405" w:type="dxa"/>
          </w:tcPr>
          <w:p w14:paraId="323E1B5F" w14:textId="462344FF" w:rsidR="009C2B08" w:rsidRPr="005B5418" w:rsidRDefault="009C2B08" w:rsidP="008848DA">
            <w:pPr>
              <w:pStyle w:val="FAM-Table-outline"/>
              <w:widowControl/>
              <w:adjustRightInd/>
              <w:spacing w:line="240" w:lineRule="auto"/>
              <w:textAlignment w:val="auto"/>
              <w:rPr>
                <w:rFonts w:cs="Arial"/>
              </w:rPr>
            </w:pPr>
            <w:r w:rsidRPr="005B5418">
              <w:rPr>
                <w:rFonts w:eastAsia="Arial Unicode MS" w:cs="Arial"/>
                <w:szCs w:val="22"/>
              </w:rPr>
              <w:t>Are accounts that represent significant amounts individually analyzed to determine the loss allowance? (SFFAS 1, par</w:t>
            </w:r>
            <w:r w:rsidR="001D45B9" w:rsidRPr="005B5418">
              <w:rPr>
                <w:rFonts w:eastAsia="Arial Unicode MS" w:cs="Arial"/>
                <w:szCs w:val="22"/>
              </w:rPr>
              <w:t>a</w:t>
            </w:r>
            <w:r w:rsidRPr="005B5418">
              <w:rPr>
                <w:rFonts w:eastAsia="Arial Unicode MS" w:cs="Arial"/>
                <w:szCs w:val="22"/>
              </w:rPr>
              <w:t>. 47)</w:t>
            </w:r>
          </w:p>
        </w:tc>
        <w:tc>
          <w:tcPr>
            <w:tcW w:w="965" w:type="dxa"/>
          </w:tcPr>
          <w:p w14:paraId="13ACDF49" w14:textId="77777777" w:rsidR="009C2B08" w:rsidRPr="005B5418" w:rsidRDefault="009C2B08" w:rsidP="008848DA">
            <w:pPr>
              <w:pStyle w:val="Table-Cell-CenterBoldBefore6ptAfter6pt"/>
              <w:spacing w:before="60" w:after="60"/>
              <w:rPr>
                <w:rFonts w:cs="Arial"/>
                <w:lang w:val="pt-BR"/>
              </w:rPr>
            </w:pPr>
          </w:p>
        </w:tc>
        <w:tc>
          <w:tcPr>
            <w:tcW w:w="3211" w:type="dxa"/>
          </w:tcPr>
          <w:p w14:paraId="69FEA9D7" w14:textId="77777777" w:rsidR="009C2B08" w:rsidRPr="005B5418" w:rsidRDefault="009C2B08" w:rsidP="008848DA">
            <w:pPr>
              <w:spacing w:before="60" w:after="60" w:line="240" w:lineRule="auto"/>
              <w:rPr>
                <w:rFonts w:cs="Arial"/>
                <w:lang w:val="pt-BR"/>
              </w:rPr>
            </w:pPr>
          </w:p>
        </w:tc>
      </w:tr>
      <w:tr w:rsidR="009C2B08" w:rsidRPr="005B5418" w14:paraId="760E4BBF" w14:textId="77777777" w:rsidTr="005C61FF">
        <w:trPr>
          <w:cantSplit/>
          <w:trHeight w:val="1592"/>
        </w:trPr>
        <w:tc>
          <w:tcPr>
            <w:tcW w:w="5405" w:type="dxa"/>
          </w:tcPr>
          <w:p w14:paraId="01C4A5F0" w14:textId="77777777" w:rsidR="00A72F30" w:rsidRPr="005B5418" w:rsidRDefault="00A72F30" w:rsidP="007B5405">
            <w:pPr>
              <w:pStyle w:val="FAM-Table-outline"/>
              <w:spacing w:line="240" w:lineRule="auto"/>
              <w:rPr>
                <w:rFonts w:eastAsia="Arial Unicode MS" w:cs="Arial"/>
                <w:szCs w:val="22"/>
              </w:rPr>
            </w:pPr>
            <w:r w:rsidRPr="005B5418">
              <w:rPr>
                <w:rFonts w:eastAsia="Arial Unicode MS" w:cs="Arial"/>
                <w:szCs w:val="22"/>
              </w:rPr>
              <w:t xml:space="preserve">Is a loss estimation for individual accounts based on </w:t>
            </w:r>
          </w:p>
          <w:p w14:paraId="701E9E48" w14:textId="5821AE8C" w:rsidR="00A72F30" w:rsidRPr="005B5418" w:rsidRDefault="00A72F30"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debtor's ability to pay</w:t>
            </w:r>
            <w:r w:rsidR="001D45B9" w:rsidRPr="005B5418">
              <w:rPr>
                <w:rFonts w:eastAsia="Arial Unicode MS" w:cs="Arial"/>
                <w:szCs w:val="22"/>
              </w:rPr>
              <w:t>;</w:t>
            </w:r>
          </w:p>
          <w:p w14:paraId="61AB35E7" w14:textId="5DEF6732" w:rsidR="00A72F30" w:rsidRPr="005B5418" w:rsidRDefault="00A72F30"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debtor's payment record and willingness to pay</w:t>
            </w:r>
            <w:r w:rsidR="001D45B9" w:rsidRPr="005B5418">
              <w:rPr>
                <w:rFonts w:eastAsia="Arial Unicode MS" w:cs="Arial"/>
                <w:szCs w:val="22"/>
              </w:rPr>
              <w:t>;</w:t>
            </w:r>
            <w:r w:rsidRPr="005B5418">
              <w:rPr>
                <w:rFonts w:eastAsia="Arial Unicode MS" w:cs="Arial"/>
                <w:szCs w:val="22"/>
              </w:rPr>
              <w:t xml:space="preserve"> and</w:t>
            </w:r>
          </w:p>
          <w:p w14:paraId="003FD888" w14:textId="7450D5BF" w:rsidR="009C2B08" w:rsidRPr="005B5418" w:rsidRDefault="00A72F30" w:rsidP="0047584E">
            <w:pPr>
              <w:pStyle w:val="FAM-Table-outline2"/>
              <w:tabs>
                <w:tab w:val="num" w:pos="576"/>
              </w:tabs>
              <w:spacing w:line="240" w:lineRule="auto"/>
              <w:ind w:left="1155" w:hanging="458"/>
              <w:rPr>
                <w:rFonts w:cs="Arial"/>
              </w:rPr>
            </w:pPr>
            <w:r w:rsidRPr="005B5418">
              <w:rPr>
                <w:rFonts w:eastAsia="Arial Unicode MS" w:cs="Arial"/>
                <w:szCs w:val="22"/>
              </w:rPr>
              <w:t>probable recoveries of amounts from secondary sources</w:t>
            </w:r>
            <w:r w:rsidR="001D45B9" w:rsidRPr="005B5418">
              <w:rPr>
                <w:rFonts w:eastAsia="Arial Unicode MS" w:cs="Arial"/>
                <w:szCs w:val="22"/>
              </w:rPr>
              <w:t>,</w:t>
            </w:r>
            <w:r w:rsidRPr="005B5418">
              <w:rPr>
                <w:rFonts w:eastAsia="Arial Unicode MS" w:cs="Arial"/>
                <w:szCs w:val="22"/>
              </w:rPr>
              <w:t xml:space="preserve"> including liens, garnishments, cross collections, and other applicable collection tools? (SFFAS 1, par</w:t>
            </w:r>
            <w:r w:rsidR="001D45B9" w:rsidRPr="005B5418">
              <w:rPr>
                <w:rFonts w:eastAsia="Arial Unicode MS" w:cs="Arial"/>
                <w:szCs w:val="22"/>
              </w:rPr>
              <w:t>a</w:t>
            </w:r>
            <w:r w:rsidRPr="005B5418">
              <w:rPr>
                <w:rFonts w:eastAsia="Arial Unicode MS" w:cs="Arial"/>
                <w:szCs w:val="22"/>
              </w:rPr>
              <w:t>. 47)</w:t>
            </w:r>
          </w:p>
        </w:tc>
        <w:tc>
          <w:tcPr>
            <w:tcW w:w="965" w:type="dxa"/>
          </w:tcPr>
          <w:p w14:paraId="2C628551" w14:textId="77777777" w:rsidR="009C2B08" w:rsidRPr="005B5418" w:rsidRDefault="009C2B08" w:rsidP="008848DA">
            <w:pPr>
              <w:pStyle w:val="Table-Cell-CenterBoldBefore6ptAfter6pt"/>
              <w:spacing w:before="60" w:after="60"/>
              <w:rPr>
                <w:rFonts w:cs="Arial"/>
                <w:lang w:val="pt-BR"/>
              </w:rPr>
            </w:pPr>
          </w:p>
        </w:tc>
        <w:tc>
          <w:tcPr>
            <w:tcW w:w="3211" w:type="dxa"/>
          </w:tcPr>
          <w:p w14:paraId="5AA138D6" w14:textId="77777777" w:rsidR="009C2B08" w:rsidRPr="005B5418" w:rsidRDefault="009C2B08" w:rsidP="008848DA">
            <w:pPr>
              <w:spacing w:before="60" w:after="60" w:line="240" w:lineRule="auto"/>
              <w:rPr>
                <w:rFonts w:cs="Arial"/>
                <w:lang w:val="pt-BR"/>
              </w:rPr>
            </w:pPr>
          </w:p>
        </w:tc>
      </w:tr>
      <w:tr w:rsidR="00A72F30" w:rsidRPr="005B5418" w14:paraId="350C8B74" w14:textId="77777777" w:rsidTr="005C61FF">
        <w:trPr>
          <w:cantSplit/>
          <w:trHeight w:val="1592"/>
        </w:trPr>
        <w:tc>
          <w:tcPr>
            <w:tcW w:w="5405" w:type="dxa"/>
          </w:tcPr>
          <w:p w14:paraId="1D7CCEB5" w14:textId="227901B5" w:rsidR="00A72F30" w:rsidRPr="005B5418" w:rsidRDefault="00A72F30" w:rsidP="008848DA">
            <w:pPr>
              <w:pStyle w:val="FAM-Table-outline"/>
              <w:widowControl/>
              <w:adjustRightInd/>
              <w:spacing w:line="240" w:lineRule="auto"/>
              <w:textAlignment w:val="auto"/>
              <w:rPr>
                <w:rFonts w:cs="Arial"/>
              </w:rPr>
            </w:pPr>
            <w:r w:rsidRPr="005B5418">
              <w:rPr>
                <w:rFonts w:eastAsia="Arial Unicode MS" w:cs="Arial"/>
                <w:szCs w:val="22"/>
              </w:rPr>
              <w:t>If information is not available to make a reliable assessment of losses on an individual account basis, or if the nature of the receivables does not lend itself to individual account analysis, are the potential losses assessed on a group basis? (SFFAS 1, par</w:t>
            </w:r>
            <w:r w:rsidR="001D45B9" w:rsidRPr="005B5418">
              <w:rPr>
                <w:rFonts w:eastAsia="Arial Unicode MS" w:cs="Arial"/>
                <w:szCs w:val="22"/>
              </w:rPr>
              <w:t>a</w:t>
            </w:r>
            <w:r w:rsidRPr="005B5418">
              <w:rPr>
                <w:rFonts w:eastAsia="Arial Unicode MS" w:cs="Arial"/>
                <w:szCs w:val="22"/>
              </w:rPr>
              <w:t>. 48)</w:t>
            </w:r>
          </w:p>
        </w:tc>
        <w:tc>
          <w:tcPr>
            <w:tcW w:w="965" w:type="dxa"/>
          </w:tcPr>
          <w:p w14:paraId="5812B405" w14:textId="77777777" w:rsidR="00A72F30" w:rsidRPr="005B5418" w:rsidRDefault="00A72F30" w:rsidP="008848DA">
            <w:pPr>
              <w:pStyle w:val="Table-Cell-CenterBoldBefore6ptAfter6pt"/>
              <w:spacing w:before="60" w:after="60"/>
              <w:rPr>
                <w:rFonts w:cs="Arial"/>
                <w:lang w:val="pt-BR"/>
              </w:rPr>
            </w:pPr>
          </w:p>
        </w:tc>
        <w:tc>
          <w:tcPr>
            <w:tcW w:w="3211" w:type="dxa"/>
          </w:tcPr>
          <w:p w14:paraId="6090FB7B" w14:textId="77777777" w:rsidR="00A72F30" w:rsidRPr="005B5418" w:rsidRDefault="00A72F30" w:rsidP="008848DA">
            <w:pPr>
              <w:spacing w:before="60" w:after="60" w:line="240" w:lineRule="auto"/>
              <w:rPr>
                <w:rFonts w:cs="Arial"/>
                <w:lang w:val="pt-BR"/>
              </w:rPr>
            </w:pPr>
          </w:p>
        </w:tc>
      </w:tr>
      <w:tr w:rsidR="00A72F30" w:rsidRPr="005B5418" w14:paraId="1A789540" w14:textId="77777777" w:rsidTr="005C61FF">
        <w:trPr>
          <w:cantSplit/>
          <w:trHeight w:val="1115"/>
        </w:trPr>
        <w:tc>
          <w:tcPr>
            <w:tcW w:w="5405" w:type="dxa"/>
          </w:tcPr>
          <w:p w14:paraId="3D4EBEF4" w14:textId="4FE24E19" w:rsidR="00A72F30" w:rsidRPr="005B5418" w:rsidRDefault="00A72F30" w:rsidP="008848DA">
            <w:pPr>
              <w:pStyle w:val="FAM-Table-outline"/>
              <w:widowControl/>
              <w:adjustRightInd/>
              <w:spacing w:line="240" w:lineRule="auto"/>
              <w:textAlignment w:val="auto"/>
              <w:rPr>
                <w:rFonts w:cs="Arial"/>
              </w:rPr>
            </w:pPr>
            <w:r w:rsidRPr="005B5418">
              <w:rPr>
                <w:rFonts w:eastAsia="Arial Unicode MS" w:cs="Arial"/>
                <w:szCs w:val="22"/>
              </w:rPr>
              <w:t>If potential losses are assessed on a group basis, are the receivables separated into groups of homogeneous accounts with similar risk characteristics? (SFFAS 1, par</w:t>
            </w:r>
            <w:r w:rsidR="001D45B9" w:rsidRPr="005B5418">
              <w:rPr>
                <w:rFonts w:eastAsia="Arial Unicode MS" w:cs="Arial"/>
                <w:szCs w:val="22"/>
              </w:rPr>
              <w:t>as</w:t>
            </w:r>
            <w:r w:rsidRPr="005B5418">
              <w:rPr>
                <w:rFonts w:eastAsia="Arial Unicode MS" w:cs="Arial"/>
                <w:szCs w:val="22"/>
              </w:rPr>
              <w:t>. 49</w:t>
            </w:r>
            <w:r w:rsidR="001D45B9" w:rsidRPr="005B5418">
              <w:rPr>
                <w:rFonts w:eastAsia="Arial Unicode MS" w:cs="Arial"/>
                <w:szCs w:val="22"/>
              </w:rPr>
              <w:t>–</w:t>
            </w:r>
            <w:r w:rsidRPr="005B5418">
              <w:rPr>
                <w:rFonts w:eastAsia="Arial Unicode MS" w:cs="Arial"/>
                <w:szCs w:val="22"/>
              </w:rPr>
              <w:t>51)</w:t>
            </w:r>
          </w:p>
        </w:tc>
        <w:tc>
          <w:tcPr>
            <w:tcW w:w="965" w:type="dxa"/>
          </w:tcPr>
          <w:p w14:paraId="11005A01" w14:textId="77777777" w:rsidR="00A72F30" w:rsidRPr="005B5418" w:rsidRDefault="00A72F30" w:rsidP="008848DA">
            <w:pPr>
              <w:pStyle w:val="Table-Cell-CenterBoldBefore6ptAfter6pt"/>
              <w:spacing w:before="60" w:after="60"/>
              <w:rPr>
                <w:rFonts w:cs="Arial"/>
                <w:lang w:val="pt-BR"/>
              </w:rPr>
            </w:pPr>
          </w:p>
        </w:tc>
        <w:tc>
          <w:tcPr>
            <w:tcW w:w="3211" w:type="dxa"/>
          </w:tcPr>
          <w:p w14:paraId="55899727" w14:textId="77777777" w:rsidR="00A72F30" w:rsidRPr="005B5418" w:rsidRDefault="00A72F30" w:rsidP="008848DA">
            <w:pPr>
              <w:spacing w:before="60" w:after="60" w:line="240" w:lineRule="auto"/>
              <w:rPr>
                <w:rFonts w:cs="Arial"/>
                <w:lang w:val="pt-BR"/>
              </w:rPr>
            </w:pPr>
          </w:p>
        </w:tc>
      </w:tr>
      <w:tr w:rsidR="00A72F30" w:rsidRPr="005B5418" w14:paraId="67D7C5EB" w14:textId="77777777" w:rsidTr="005C61FF">
        <w:trPr>
          <w:cantSplit/>
          <w:trHeight w:val="1592"/>
        </w:trPr>
        <w:tc>
          <w:tcPr>
            <w:tcW w:w="5405" w:type="dxa"/>
          </w:tcPr>
          <w:p w14:paraId="1F02892D" w14:textId="5BFEE912" w:rsidR="00A72F30" w:rsidRPr="005B5418" w:rsidRDefault="00A72F30" w:rsidP="008848DA">
            <w:pPr>
              <w:pStyle w:val="FAM-Table-outline"/>
              <w:widowControl/>
              <w:adjustRightInd/>
              <w:spacing w:line="240" w:lineRule="auto"/>
              <w:textAlignment w:val="auto"/>
              <w:rPr>
                <w:rFonts w:cs="Arial"/>
              </w:rPr>
            </w:pPr>
            <w:r w:rsidRPr="005B5418">
              <w:rPr>
                <w:rFonts w:eastAsia="Arial Unicode MS" w:cs="Arial"/>
                <w:szCs w:val="22"/>
              </w:rPr>
              <w:lastRenderedPageBreak/>
              <w:t>Is an account receivable arising from a nonexchange transaction recognized when a collecting entity establishes a specifically identifiable, measurable, and legally enforceable claim to cash or other assets? (SFFAS 7, par</w:t>
            </w:r>
            <w:r w:rsidR="00C12CFD" w:rsidRPr="005B5418">
              <w:rPr>
                <w:rFonts w:eastAsia="Arial Unicode MS" w:cs="Arial"/>
                <w:szCs w:val="22"/>
              </w:rPr>
              <w:t>a</w:t>
            </w:r>
            <w:r w:rsidRPr="005B5418">
              <w:rPr>
                <w:rFonts w:eastAsia="Arial Unicode MS" w:cs="Arial"/>
                <w:szCs w:val="22"/>
              </w:rPr>
              <w:t>. 53, fn 9)</w:t>
            </w:r>
          </w:p>
        </w:tc>
        <w:tc>
          <w:tcPr>
            <w:tcW w:w="965" w:type="dxa"/>
          </w:tcPr>
          <w:p w14:paraId="3F553D6B" w14:textId="77777777" w:rsidR="00A72F30" w:rsidRPr="005B5418" w:rsidRDefault="00A72F30" w:rsidP="008848DA">
            <w:pPr>
              <w:pStyle w:val="Table-Cell-CenterBoldBefore6ptAfter6pt"/>
              <w:spacing w:before="60" w:after="60"/>
              <w:rPr>
                <w:rFonts w:cs="Arial"/>
                <w:lang w:val="pt-BR"/>
              </w:rPr>
            </w:pPr>
          </w:p>
        </w:tc>
        <w:tc>
          <w:tcPr>
            <w:tcW w:w="3211" w:type="dxa"/>
          </w:tcPr>
          <w:p w14:paraId="442202F2" w14:textId="77777777" w:rsidR="00A72F30" w:rsidRPr="005B5418" w:rsidRDefault="00A72F30" w:rsidP="008848DA">
            <w:pPr>
              <w:spacing w:before="60" w:after="60" w:line="240" w:lineRule="auto"/>
              <w:rPr>
                <w:rFonts w:cs="Arial"/>
                <w:lang w:val="pt-BR"/>
              </w:rPr>
            </w:pPr>
          </w:p>
        </w:tc>
      </w:tr>
      <w:tr w:rsidR="004F7326" w:rsidRPr="005B5418" w14:paraId="6B14916B" w14:textId="77777777" w:rsidTr="005C61FF">
        <w:trPr>
          <w:cantSplit/>
          <w:trHeight w:val="1592"/>
        </w:trPr>
        <w:tc>
          <w:tcPr>
            <w:tcW w:w="5405" w:type="dxa"/>
          </w:tcPr>
          <w:p w14:paraId="5BD0B790" w14:textId="77777777" w:rsidR="004F7326" w:rsidRPr="005B5418" w:rsidRDefault="004F7326" w:rsidP="007B5405">
            <w:pPr>
              <w:pStyle w:val="FAM-Table-outline"/>
              <w:spacing w:line="240" w:lineRule="auto"/>
              <w:rPr>
                <w:rFonts w:eastAsia="Arial Unicode MS" w:cs="Arial"/>
                <w:szCs w:val="22"/>
              </w:rPr>
            </w:pPr>
            <w:r w:rsidRPr="005B5418">
              <w:rPr>
                <w:rFonts w:eastAsia="Arial Unicode MS" w:cs="Arial"/>
                <w:szCs w:val="22"/>
              </w:rPr>
              <w:t>Are assessments related to Taxes and Duties recognized as accounts receivable if an enforceable claim for taxes and duties exists in instances where</w:t>
            </w:r>
          </w:p>
          <w:p w14:paraId="711EFE6E" w14:textId="2DB7FC09" w:rsidR="004F7326" w:rsidRPr="005B5418" w:rsidRDefault="004F7326"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tax returns are filed by the taxpayer without sufficient payment,</w:t>
            </w:r>
          </w:p>
          <w:p w14:paraId="4D13AA1C" w14:textId="235A349A" w:rsidR="004F7326" w:rsidRPr="005B5418" w:rsidRDefault="004F7326"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customs documents are filed by the importer without sufficient payment,</w:t>
            </w:r>
          </w:p>
          <w:p w14:paraId="0671E099" w14:textId="7B26E419" w:rsidR="004F7326" w:rsidRPr="005B5418" w:rsidRDefault="004F7326"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taxpayer agreements to assessments are signed at the conclusion of an audit or where assessments substitute for a tax return,</w:t>
            </w:r>
          </w:p>
          <w:p w14:paraId="59C1FAB0" w14:textId="2F423889" w:rsidR="004F7326" w:rsidRPr="005B5418" w:rsidRDefault="004F7326"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importer agreements to supplemental assessments are signed,</w:t>
            </w:r>
          </w:p>
          <w:p w14:paraId="01BB191E" w14:textId="77777777" w:rsidR="004F7326" w:rsidRPr="005B5418" w:rsidRDefault="004F7326"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court actions determine an assessment,</w:t>
            </w:r>
          </w:p>
          <w:p w14:paraId="01BF4BF3" w14:textId="77777777" w:rsidR="004F7326" w:rsidRPr="005B5418" w:rsidRDefault="004F7326"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taxpayer (or importer) agreements to pay an assessment exist on an installment plan, and</w:t>
            </w:r>
          </w:p>
          <w:p w14:paraId="22D157AA" w14:textId="1AD66A0D" w:rsidR="004F7326" w:rsidRPr="005B5418" w:rsidRDefault="004F7326" w:rsidP="0047584E">
            <w:pPr>
              <w:pStyle w:val="FAM-Table-outline2"/>
              <w:tabs>
                <w:tab w:val="num" w:pos="576"/>
              </w:tabs>
              <w:spacing w:line="240" w:lineRule="auto"/>
              <w:ind w:left="1155" w:hanging="458"/>
              <w:rPr>
                <w:rFonts w:cs="Arial"/>
              </w:rPr>
            </w:pPr>
            <w:r w:rsidRPr="005B5418">
              <w:rPr>
                <w:rFonts w:eastAsia="Arial Unicode MS" w:cs="Arial"/>
                <w:szCs w:val="22"/>
              </w:rPr>
              <w:t>receivables determined to be currently not collectible have future collection potential? (SFFAS 7, par</w:t>
            </w:r>
            <w:r w:rsidR="0067205F" w:rsidRPr="005B5418">
              <w:rPr>
                <w:rFonts w:eastAsia="Arial Unicode MS" w:cs="Arial"/>
                <w:szCs w:val="22"/>
              </w:rPr>
              <w:t>as</w:t>
            </w:r>
            <w:r w:rsidRPr="005B5418">
              <w:rPr>
                <w:rFonts w:eastAsia="Arial Unicode MS" w:cs="Arial"/>
                <w:szCs w:val="22"/>
              </w:rPr>
              <w:t>. 53</w:t>
            </w:r>
            <w:r w:rsidR="0067205F" w:rsidRPr="005B5418">
              <w:rPr>
                <w:rFonts w:eastAsia="Arial Unicode MS" w:cs="Arial"/>
                <w:szCs w:val="22"/>
              </w:rPr>
              <w:t>–</w:t>
            </w:r>
            <w:r w:rsidRPr="005B5418">
              <w:rPr>
                <w:rFonts w:eastAsia="Arial Unicode MS" w:cs="Arial"/>
                <w:szCs w:val="22"/>
              </w:rPr>
              <w:t>54)</w:t>
            </w:r>
          </w:p>
        </w:tc>
        <w:tc>
          <w:tcPr>
            <w:tcW w:w="965" w:type="dxa"/>
          </w:tcPr>
          <w:p w14:paraId="541CC994" w14:textId="77777777" w:rsidR="004F7326" w:rsidRPr="005B5418" w:rsidRDefault="004F7326" w:rsidP="008848DA">
            <w:pPr>
              <w:pStyle w:val="Table-Cell-CenterBoldBefore6ptAfter6pt"/>
              <w:spacing w:before="60" w:after="60"/>
              <w:rPr>
                <w:rFonts w:cs="Arial"/>
                <w:lang w:val="pt-BR"/>
              </w:rPr>
            </w:pPr>
          </w:p>
        </w:tc>
        <w:tc>
          <w:tcPr>
            <w:tcW w:w="3211" w:type="dxa"/>
          </w:tcPr>
          <w:p w14:paraId="6F6E0722" w14:textId="77777777" w:rsidR="004F7326" w:rsidRPr="005B5418" w:rsidRDefault="004F7326" w:rsidP="008848DA">
            <w:pPr>
              <w:spacing w:before="60" w:after="60" w:line="240" w:lineRule="auto"/>
              <w:rPr>
                <w:rFonts w:cs="Arial"/>
                <w:lang w:val="pt-BR"/>
              </w:rPr>
            </w:pPr>
          </w:p>
        </w:tc>
      </w:tr>
      <w:tr w:rsidR="004F7326" w:rsidRPr="005B5418" w14:paraId="7BE9D602" w14:textId="77777777" w:rsidTr="005C61FF">
        <w:trPr>
          <w:cantSplit/>
          <w:trHeight w:val="1592"/>
        </w:trPr>
        <w:tc>
          <w:tcPr>
            <w:tcW w:w="5405" w:type="dxa"/>
          </w:tcPr>
          <w:p w14:paraId="0F1BAFA2" w14:textId="77777777" w:rsidR="004F7326" w:rsidRPr="005B5418" w:rsidRDefault="004F7326" w:rsidP="007B5405">
            <w:pPr>
              <w:pStyle w:val="FAM-Table-outline"/>
              <w:spacing w:line="240" w:lineRule="auto"/>
              <w:rPr>
                <w:rFonts w:eastAsia="Arial Unicode MS" w:cs="Arial"/>
                <w:szCs w:val="22"/>
              </w:rPr>
            </w:pPr>
            <w:r w:rsidRPr="005B5418">
              <w:rPr>
                <w:rFonts w:eastAsia="Arial Unicode MS" w:cs="Arial"/>
                <w:szCs w:val="22"/>
              </w:rPr>
              <w:t xml:space="preserve">Is an entity receivable recognized when </w:t>
            </w:r>
          </w:p>
          <w:p w14:paraId="342D93C6" w14:textId="45CB69A8" w:rsidR="004F7326" w:rsidRPr="005B5418" w:rsidRDefault="004F7326"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a legally enforceable claim exists between a collecting entity and a recipient entity for the transfer or repayment of taxes or duties and </w:t>
            </w:r>
          </w:p>
          <w:p w14:paraId="538AD611" w14:textId="434729FE" w:rsidR="004F7326" w:rsidRPr="005B5418" w:rsidRDefault="004F7326" w:rsidP="0047584E">
            <w:pPr>
              <w:pStyle w:val="FAM-Table-outline2"/>
              <w:tabs>
                <w:tab w:val="num" w:pos="576"/>
              </w:tabs>
              <w:spacing w:line="240" w:lineRule="auto"/>
              <w:ind w:left="1155" w:hanging="458"/>
              <w:rPr>
                <w:rFonts w:cs="Arial"/>
              </w:rPr>
            </w:pPr>
            <w:r w:rsidRPr="005B5418">
              <w:rPr>
                <w:rFonts w:eastAsia="Arial Unicode MS" w:cs="Arial"/>
                <w:szCs w:val="22"/>
              </w:rPr>
              <w:t>claim payment is probable and measurable? (SFFAS 7, par</w:t>
            </w:r>
            <w:r w:rsidR="00B412CF" w:rsidRPr="005B5418">
              <w:rPr>
                <w:rFonts w:eastAsia="Arial Unicode MS" w:cs="Arial"/>
                <w:szCs w:val="22"/>
              </w:rPr>
              <w:t>a</w:t>
            </w:r>
            <w:r w:rsidRPr="005B5418">
              <w:rPr>
                <w:rFonts w:eastAsia="Arial Unicode MS" w:cs="Arial"/>
                <w:szCs w:val="22"/>
              </w:rPr>
              <w:t>. 60)</w:t>
            </w:r>
          </w:p>
        </w:tc>
        <w:tc>
          <w:tcPr>
            <w:tcW w:w="965" w:type="dxa"/>
          </w:tcPr>
          <w:p w14:paraId="10431A6D" w14:textId="77777777" w:rsidR="004F7326" w:rsidRPr="005B5418" w:rsidRDefault="004F7326" w:rsidP="008848DA">
            <w:pPr>
              <w:pStyle w:val="Table-Cell-CenterBoldBefore6ptAfter6pt"/>
              <w:spacing w:before="60" w:after="60"/>
              <w:rPr>
                <w:rFonts w:cs="Arial"/>
                <w:lang w:val="pt-BR"/>
              </w:rPr>
            </w:pPr>
          </w:p>
        </w:tc>
        <w:tc>
          <w:tcPr>
            <w:tcW w:w="3211" w:type="dxa"/>
          </w:tcPr>
          <w:p w14:paraId="79598FAD" w14:textId="77777777" w:rsidR="004F7326" w:rsidRPr="005B5418" w:rsidRDefault="004F7326" w:rsidP="008848DA">
            <w:pPr>
              <w:spacing w:before="60" w:after="60" w:line="240" w:lineRule="auto"/>
              <w:rPr>
                <w:rFonts w:cs="Arial"/>
                <w:lang w:val="pt-BR"/>
              </w:rPr>
            </w:pPr>
          </w:p>
        </w:tc>
      </w:tr>
      <w:tr w:rsidR="004F7326" w:rsidRPr="005B5418" w14:paraId="1CEB72F6" w14:textId="77777777" w:rsidTr="005C61FF">
        <w:trPr>
          <w:cantSplit/>
          <w:trHeight w:val="1079"/>
        </w:trPr>
        <w:tc>
          <w:tcPr>
            <w:tcW w:w="5405" w:type="dxa"/>
          </w:tcPr>
          <w:p w14:paraId="54C3F5CC" w14:textId="57DFDB14" w:rsidR="004F7326" w:rsidRPr="005B5418" w:rsidRDefault="004F7326" w:rsidP="008848DA">
            <w:pPr>
              <w:pStyle w:val="FAM-Table-outline"/>
              <w:widowControl/>
              <w:adjustRightInd/>
              <w:spacing w:line="240" w:lineRule="auto"/>
              <w:textAlignment w:val="auto"/>
              <w:rPr>
                <w:rFonts w:cs="Arial"/>
              </w:rPr>
            </w:pPr>
            <w:r w:rsidRPr="005B5418">
              <w:rPr>
                <w:rFonts w:eastAsia="Arial Unicode MS" w:cs="Arial"/>
                <w:szCs w:val="22"/>
              </w:rPr>
              <w:t>Are receivables distinguished between entity receivables and non-entity receivables in the accounting records? (SFFAS 1, par</w:t>
            </w:r>
            <w:r w:rsidR="00EB47FD" w:rsidRPr="005B5418">
              <w:rPr>
                <w:rFonts w:eastAsia="Arial Unicode MS" w:cs="Arial"/>
                <w:szCs w:val="22"/>
              </w:rPr>
              <w:t>a</w:t>
            </w:r>
            <w:r w:rsidRPr="005B5418">
              <w:rPr>
                <w:rFonts w:eastAsia="Arial Unicode MS" w:cs="Arial"/>
                <w:szCs w:val="22"/>
              </w:rPr>
              <w:t>. 43)</w:t>
            </w:r>
          </w:p>
        </w:tc>
        <w:tc>
          <w:tcPr>
            <w:tcW w:w="965" w:type="dxa"/>
          </w:tcPr>
          <w:p w14:paraId="7CB982AD" w14:textId="77777777" w:rsidR="004F7326" w:rsidRPr="005B5418" w:rsidRDefault="004F7326" w:rsidP="008848DA">
            <w:pPr>
              <w:pStyle w:val="Table-Cell-CenterBoldBefore6ptAfter6pt"/>
              <w:spacing w:before="60" w:after="60"/>
              <w:rPr>
                <w:rFonts w:cs="Arial"/>
                <w:lang w:val="pt-BR"/>
              </w:rPr>
            </w:pPr>
          </w:p>
        </w:tc>
        <w:tc>
          <w:tcPr>
            <w:tcW w:w="3211" w:type="dxa"/>
          </w:tcPr>
          <w:p w14:paraId="73D71271" w14:textId="77777777" w:rsidR="004F7326" w:rsidRPr="005B5418" w:rsidRDefault="004F7326" w:rsidP="008848DA">
            <w:pPr>
              <w:spacing w:before="60" w:after="60" w:line="240" w:lineRule="auto"/>
              <w:rPr>
                <w:rFonts w:cs="Arial"/>
                <w:lang w:val="pt-BR"/>
              </w:rPr>
            </w:pPr>
          </w:p>
        </w:tc>
      </w:tr>
      <w:tr w:rsidR="00537FD3" w:rsidRPr="005B5418" w14:paraId="3181190C" w14:textId="77777777" w:rsidTr="005C61FF">
        <w:trPr>
          <w:cantSplit/>
          <w:trHeight w:val="1592"/>
        </w:trPr>
        <w:tc>
          <w:tcPr>
            <w:tcW w:w="5405" w:type="dxa"/>
          </w:tcPr>
          <w:p w14:paraId="0FA60F3A" w14:textId="393C7F31" w:rsidR="00537FD3" w:rsidRPr="005B5418" w:rsidRDefault="00537FD3" w:rsidP="007B5405">
            <w:pPr>
              <w:pStyle w:val="FAM-Table-outline"/>
              <w:spacing w:line="240" w:lineRule="auto"/>
            </w:pPr>
            <w:r w:rsidRPr="005B5418">
              <w:rPr>
                <w:rFonts w:eastAsia="Arial Unicode MS"/>
              </w:rPr>
              <w:lastRenderedPageBreak/>
              <w:t>Is interest receivable recognized for the amount of interest income earned but not received for the accounting period, including interest earned on investments in interest-bearing securities? (SFFAS 1, par</w:t>
            </w:r>
            <w:r w:rsidR="00F72EEF" w:rsidRPr="005B5418">
              <w:rPr>
                <w:rFonts w:eastAsia="Arial Unicode MS"/>
              </w:rPr>
              <w:t>a</w:t>
            </w:r>
            <w:r w:rsidRPr="005B5418">
              <w:rPr>
                <w:rFonts w:eastAsia="Arial Unicode MS"/>
              </w:rPr>
              <w:t>. 53)</w:t>
            </w:r>
          </w:p>
        </w:tc>
        <w:tc>
          <w:tcPr>
            <w:tcW w:w="965" w:type="dxa"/>
          </w:tcPr>
          <w:p w14:paraId="70A2DEF6" w14:textId="77777777" w:rsidR="00537FD3" w:rsidRPr="005B5418" w:rsidRDefault="00537FD3" w:rsidP="008848DA">
            <w:pPr>
              <w:pStyle w:val="Table-Cell-CenterBoldBefore6ptAfter6pt"/>
              <w:spacing w:before="60" w:after="60"/>
              <w:rPr>
                <w:rFonts w:cs="Arial"/>
                <w:lang w:val="pt-BR"/>
              </w:rPr>
            </w:pPr>
          </w:p>
        </w:tc>
        <w:tc>
          <w:tcPr>
            <w:tcW w:w="3211" w:type="dxa"/>
          </w:tcPr>
          <w:p w14:paraId="33507ABB" w14:textId="77777777" w:rsidR="00537FD3" w:rsidRPr="005B5418" w:rsidRDefault="00537FD3" w:rsidP="008848DA">
            <w:pPr>
              <w:spacing w:before="60" w:after="60" w:line="240" w:lineRule="auto"/>
              <w:rPr>
                <w:rFonts w:cs="Arial"/>
                <w:lang w:val="pt-BR"/>
              </w:rPr>
            </w:pPr>
          </w:p>
        </w:tc>
      </w:tr>
      <w:tr w:rsidR="00537FD3" w:rsidRPr="005B5418" w14:paraId="263EFBBB" w14:textId="77777777" w:rsidTr="005C61FF">
        <w:trPr>
          <w:cantSplit/>
          <w:trHeight w:val="1592"/>
        </w:trPr>
        <w:tc>
          <w:tcPr>
            <w:tcW w:w="5405" w:type="dxa"/>
          </w:tcPr>
          <w:p w14:paraId="40AAB548" w14:textId="25A625C7" w:rsidR="00537FD3" w:rsidRPr="005B5418" w:rsidRDefault="00537FD3" w:rsidP="008848DA">
            <w:pPr>
              <w:pStyle w:val="FAM-Table-outline"/>
              <w:widowControl/>
              <w:adjustRightInd/>
              <w:spacing w:line="240" w:lineRule="auto"/>
              <w:textAlignment w:val="auto"/>
              <w:rPr>
                <w:rFonts w:cs="Arial"/>
              </w:rPr>
            </w:pPr>
            <w:r w:rsidRPr="005B5418">
              <w:rPr>
                <w:rFonts w:eastAsia="Arial Unicode MS" w:cs="Arial"/>
                <w:szCs w:val="22"/>
              </w:rPr>
              <w:t xml:space="preserve">Is interest receivable recognized on outstanding accounts receivable and other U.S. government claims against persons and entities in accordance with 31 U.S.C. </w:t>
            </w:r>
            <w:r w:rsidR="009E51A4" w:rsidRPr="005B5418">
              <w:rPr>
                <w:rFonts w:eastAsia="Arial Unicode MS" w:cs="Arial"/>
                <w:szCs w:val="22"/>
              </w:rPr>
              <w:t xml:space="preserve">§ </w:t>
            </w:r>
            <w:r w:rsidRPr="005B5418">
              <w:rPr>
                <w:rFonts w:eastAsia="Arial Unicode MS" w:cs="Arial"/>
                <w:szCs w:val="22"/>
              </w:rPr>
              <w:t xml:space="preserve">3717, </w:t>
            </w:r>
            <w:r w:rsidRPr="005B5418">
              <w:rPr>
                <w:rFonts w:eastAsia="Arial Unicode MS" w:cs="Arial"/>
                <w:i/>
                <w:szCs w:val="22"/>
              </w:rPr>
              <w:t>Interest and Penalty on Claims</w:t>
            </w:r>
            <w:r w:rsidRPr="005B5418">
              <w:rPr>
                <w:rFonts w:eastAsia="Arial Unicode MS" w:cs="Arial"/>
                <w:szCs w:val="22"/>
              </w:rPr>
              <w:t>?</w:t>
            </w:r>
            <w:r w:rsidRPr="005B5418">
              <w:rPr>
                <w:rStyle w:val="FootnoteReference"/>
                <w:rFonts w:eastAsia="Arial Unicode MS" w:cs="Arial"/>
                <w:szCs w:val="22"/>
              </w:rPr>
              <w:footnoteReference w:id="86"/>
            </w:r>
            <w:r w:rsidRPr="005B5418">
              <w:rPr>
                <w:rFonts w:eastAsia="Arial Unicode MS" w:cs="Arial"/>
                <w:szCs w:val="22"/>
              </w:rPr>
              <w:t xml:space="preserve"> (SFFAS 1, par</w:t>
            </w:r>
            <w:r w:rsidR="00F72EEF" w:rsidRPr="005B5418">
              <w:rPr>
                <w:rFonts w:eastAsia="Arial Unicode MS" w:cs="Arial"/>
                <w:szCs w:val="22"/>
              </w:rPr>
              <w:t>a</w:t>
            </w:r>
            <w:r w:rsidRPr="005B5418">
              <w:rPr>
                <w:rFonts w:eastAsia="Arial Unicode MS" w:cs="Arial"/>
                <w:szCs w:val="22"/>
              </w:rPr>
              <w:t>. 53)</w:t>
            </w:r>
          </w:p>
        </w:tc>
        <w:tc>
          <w:tcPr>
            <w:tcW w:w="965" w:type="dxa"/>
          </w:tcPr>
          <w:p w14:paraId="6FF94F6A" w14:textId="77777777" w:rsidR="00537FD3" w:rsidRPr="005B5418" w:rsidRDefault="00537FD3" w:rsidP="008848DA">
            <w:pPr>
              <w:pStyle w:val="Table-Cell-CenterBoldBefore6ptAfter6pt"/>
              <w:spacing w:before="60" w:after="60"/>
              <w:rPr>
                <w:rFonts w:cs="Arial"/>
                <w:lang w:val="pt-BR"/>
              </w:rPr>
            </w:pPr>
          </w:p>
        </w:tc>
        <w:tc>
          <w:tcPr>
            <w:tcW w:w="3211" w:type="dxa"/>
          </w:tcPr>
          <w:p w14:paraId="4A68818E" w14:textId="77777777" w:rsidR="00537FD3" w:rsidRPr="005B5418" w:rsidRDefault="00537FD3" w:rsidP="008848DA">
            <w:pPr>
              <w:spacing w:before="60" w:after="60" w:line="240" w:lineRule="auto"/>
              <w:rPr>
                <w:rFonts w:cs="Arial"/>
                <w:lang w:val="pt-BR"/>
              </w:rPr>
            </w:pPr>
          </w:p>
        </w:tc>
      </w:tr>
      <w:tr w:rsidR="00537FD3" w:rsidRPr="005B5418" w14:paraId="7FA19766" w14:textId="77777777" w:rsidTr="005C61FF">
        <w:trPr>
          <w:cantSplit/>
          <w:trHeight w:val="1277"/>
        </w:trPr>
        <w:tc>
          <w:tcPr>
            <w:tcW w:w="5405" w:type="dxa"/>
          </w:tcPr>
          <w:p w14:paraId="594BF1ED" w14:textId="32697C96" w:rsidR="00537FD3" w:rsidRPr="005B5418" w:rsidRDefault="00537FD3" w:rsidP="008848DA">
            <w:pPr>
              <w:pStyle w:val="FAM-Table-outline"/>
              <w:widowControl/>
              <w:adjustRightInd/>
              <w:spacing w:line="240" w:lineRule="auto"/>
              <w:textAlignment w:val="auto"/>
              <w:rPr>
                <w:rFonts w:cs="Arial"/>
              </w:rPr>
            </w:pPr>
            <w:r w:rsidRPr="005B5418">
              <w:rPr>
                <w:rFonts w:eastAsia="Arial Unicode MS" w:cs="Arial"/>
                <w:szCs w:val="22"/>
              </w:rPr>
              <w:t xml:space="preserve">Does interest receivable </w:t>
            </w:r>
            <w:r w:rsidRPr="005B5418">
              <w:rPr>
                <w:rFonts w:eastAsia="Arial Unicode MS" w:cs="Arial"/>
                <w:szCs w:val="22"/>
                <w:u w:val="single"/>
              </w:rPr>
              <w:t>exclude</w:t>
            </w:r>
            <w:r w:rsidRPr="005B5418">
              <w:rPr>
                <w:rFonts w:eastAsia="Arial Unicode MS" w:cs="Arial"/>
                <w:szCs w:val="22"/>
              </w:rPr>
              <w:t xml:space="preserve"> interest on accounts receivable or investments that are determined to be uncollectible? (SFFAS 1, par</w:t>
            </w:r>
            <w:r w:rsidR="00F72EEF" w:rsidRPr="005B5418">
              <w:rPr>
                <w:rFonts w:eastAsia="Arial Unicode MS" w:cs="Arial"/>
                <w:szCs w:val="22"/>
              </w:rPr>
              <w:t>a</w:t>
            </w:r>
            <w:r w:rsidRPr="005B5418">
              <w:rPr>
                <w:rFonts w:eastAsia="Arial Unicode MS" w:cs="Arial"/>
                <w:szCs w:val="22"/>
              </w:rPr>
              <w:t>. 54)</w:t>
            </w:r>
          </w:p>
        </w:tc>
        <w:tc>
          <w:tcPr>
            <w:tcW w:w="965" w:type="dxa"/>
          </w:tcPr>
          <w:p w14:paraId="518CE564" w14:textId="77777777" w:rsidR="00537FD3" w:rsidRPr="005B5418" w:rsidRDefault="00537FD3" w:rsidP="008848DA">
            <w:pPr>
              <w:pStyle w:val="Table-Cell-CenterBoldBefore6ptAfter6pt"/>
              <w:spacing w:before="60" w:after="60"/>
              <w:rPr>
                <w:rFonts w:cs="Arial"/>
                <w:lang w:val="pt-BR"/>
              </w:rPr>
            </w:pPr>
          </w:p>
        </w:tc>
        <w:tc>
          <w:tcPr>
            <w:tcW w:w="3211" w:type="dxa"/>
          </w:tcPr>
          <w:p w14:paraId="2549146E" w14:textId="77777777" w:rsidR="00537FD3" w:rsidRPr="005B5418" w:rsidRDefault="00537FD3" w:rsidP="008848DA">
            <w:pPr>
              <w:spacing w:before="60" w:after="60" w:line="240" w:lineRule="auto"/>
              <w:rPr>
                <w:rFonts w:cs="Arial"/>
                <w:lang w:val="pt-BR"/>
              </w:rPr>
            </w:pPr>
          </w:p>
        </w:tc>
      </w:tr>
      <w:tr w:rsidR="00537FD3" w:rsidRPr="005B5418" w14:paraId="38B921E8" w14:textId="77777777" w:rsidTr="005C61FF">
        <w:trPr>
          <w:cantSplit/>
          <w:trHeight w:val="1070"/>
        </w:trPr>
        <w:tc>
          <w:tcPr>
            <w:tcW w:w="5405" w:type="dxa"/>
            <w:vAlign w:val="center"/>
          </w:tcPr>
          <w:p w14:paraId="753A2348" w14:textId="4F067858" w:rsidR="00537FD3" w:rsidRPr="005B5418" w:rsidRDefault="00537FD3" w:rsidP="008848DA">
            <w:pPr>
              <w:pStyle w:val="FAM-Table-outline"/>
              <w:widowControl/>
              <w:adjustRightInd/>
              <w:spacing w:line="240" w:lineRule="auto"/>
              <w:textAlignment w:val="auto"/>
              <w:rPr>
                <w:rFonts w:cs="Arial"/>
              </w:rPr>
            </w:pPr>
            <w:r w:rsidRPr="005B5418">
              <w:rPr>
                <w:rFonts w:eastAsia="Arial Unicode MS" w:cs="Arial"/>
                <w:szCs w:val="22"/>
              </w:rPr>
              <w:t>Is interest receivable from federal entities accounted for separately from interest receivable from the public? (SFFAS 1, par</w:t>
            </w:r>
            <w:r w:rsidR="00F72EEF" w:rsidRPr="005B5418">
              <w:rPr>
                <w:rFonts w:eastAsia="Arial Unicode MS" w:cs="Arial"/>
                <w:szCs w:val="22"/>
              </w:rPr>
              <w:t>a</w:t>
            </w:r>
            <w:r w:rsidRPr="005B5418">
              <w:rPr>
                <w:rFonts w:eastAsia="Arial Unicode MS" w:cs="Arial"/>
                <w:szCs w:val="22"/>
              </w:rPr>
              <w:t>. 56)</w:t>
            </w:r>
          </w:p>
        </w:tc>
        <w:tc>
          <w:tcPr>
            <w:tcW w:w="965" w:type="dxa"/>
          </w:tcPr>
          <w:p w14:paraId="52686B7B" w14:textId="77777777" w:rsidR="00537FD3" w:rsidRPr="005B5418" w:rsidRDefault="00537FD3" w:rsidP="008848DA">
            <w:pPr>
              <w:pStyle w:val="Table-Cell-CenterBoldBefore6ptAfter6pt"/>
              <w:spacing w:before="60" w:after="60"/>
              <w:rPr>
                <w:rFonts w:cs="Arial"/>
                <w:lang w:val="pt-BR"/>
              </w:rPr>
            </w:pPr>
          </w:p>
        </w:tc>
        <w:tc>
          <w:tcPr>
            <w:tcW w:w="3211" w:type="dxa"/>
          </w:tcPr>
          <w:p w14:paraId="0AF01DEF" w14:textId="77777777" w:rsidR="00537FD3" w:rsidRPr="005B5418" w:rsidRDefault="00537FD3" w:rsidP="008848DA">
            <w:pPr>
              <w:spacing w:before="60" w:after="60" w:line="240" w:lineRule="auto"/>
              <w:rPr>
                <w:rFonts w:cs="Arial"/>
                <w:lang w:val="pt-BR"/>
              </w:rPr>
            </w:pPr>
          </w:p>
        </w:tc>
      </w:tr>
      <w:tr w:rsidR="00F74E05" w:rsidRPr="005B5418" w14:paraId="61089743" w14:textId="77777777" w:rsidTr="005C61FF">
        <w:trPr>
          <w:cantSplit/>
          <w:trHeight w:val="422"/>
        </w:trPr>
        <w:tc>
          <w:tcPr>
            <w:tcW w:w="9581" w:type="dxa"/>
            <w:gridSpan w:val="3"/>
          </w:tcPr>
          <w:p w14:paraId="31569115" w14:textId="77777777" w:rsidR="00F74E05" w:rsidRPr="005B5418" w:rsidRDefault="00F74E05" w:rsidP="008848DA">
            <w:pPr>
              <w:spacing w:before="60" w:after="60" w:line="240" w:lineRule="auto"/>
              <w:rPr>
                <w:rFonts w:ascii="Arial" w:hAnsi="Arial" w:cs="Arial"/>
                <w:b/>
              </w:rPr>
            </w:pPr>
            <w:r w:rsidRPr="005B5418">
              <w:rPr>
                <w:rFonts w:ascii="Arial" w:hAnsi="Arial" w:cs="Arial"/>
                <w:b/>
              </w:rPr>
              <w:t>Disclosure</w:t>
            </w:r>
          </w:p>
        </w:tc>
      </w:tr>
      <w:tr w:rsidR="0084195D" w:rsidRPr="005B5418" w14:paraId="0CFF4F3F" w14:textId="77777777" w:rsidTr="008848DA">
        <w:trPr>
          <w:cantSplit/>
          <w:trHeight w:val="1295"/>
        </w:trPr>
        <w:tc>
          <w:tcPr>
            <w:tcW w:w="5405" w:type="dxa"/>
          </w:tcPr>
          <w:p w14:paraId="219FCDDE" w14:textId="181A1E17" w:rsidR="0084195D" w:rsidRPr="005B5418" w:rsidRDefault="0084195D" w:rsidP="008848DA">
            <w:pPr>
              <w:pStyle w:val="FAM-Table-outline"/>
              <w:widowControl/>
              <w:adjustRightInd/>
              <w:spacing w:line="240" w:lineRule="auto"/>
              <w:textAlignment w:val="auto"/>
              <w:rPr>
                <w:rFonts w:cs="Arial"/>
              </w:rPr>
            </w:pPr>
            <w:r w:rsidRPr="005B5418">
              <w:rPr>
                <w:rFonts w:cs="Arial"/>
              </w:rPr>
              <w:t xml:space="preserve">Are receivables not available to the entity disclosed in a note to the financial statements as non-entity assets, separate from receivables available to the entity? </w:t>
            </w:r>
            <w:r w:rsidRPr="005B5418">
              <w:rPr>
                <w:rFonts w:cs="Arial"/>
                <w:lang w:val="pt-BR"/>
              </w:rPr>
              <w:t>(SFFAS 1, par</w:t>
            </w:r>
            <w:r w:rsidR="009D5E9C" w:rsidRPr="005B5418">
              <w:rPr>
                <w:rFonts w:cs="Arial"/>
                <w:lang w:val="pt-BR"/>
              </w:rPr>
              <w:t>a</w:t>
            </w:r>
            <w:r w:rsidRPr="005B5418">
              <w:rPr>
                <w:rFonts w:cs="Arial"/>
                <w:lang w:val="pt-BR"/>
              </w:rPr>
              <w:t>. 43)</w:t>
            </w:r>
          </w:p>
        </w:tc>
        <w:tc>
          <w:tcPr>
            <w:tcW w:w="965" w:type="dxa"/>
          </w:tcPr>
          <w:p w14:paraId="0AA9800A" w14:textId="77777777" w:rsidR="0084195D" w:rsidRPr="005B5418" w:rsidRDefault="0084195D" w:rsidP="008848DA">
            <w:pPr>
              <w:pStyle w:val="Table-Cell-CenterBoldBefore6ptAfter6pt"/>
              <w:spacing w:before="60" w:after="60"/>
              <w:rPr>
                <w:rFonts w:cs="Arial"/>
                <w:lang w:val="pt-BR"/>
              </w:rPr>
            </w:pPr>
          </w:p>
        </w:tc>
        <w:tc>
          <w:tcPr>
            <w:tcW w:w="3211" w:type="dxa"/>
          </w:tcPr>
          <w:p w14:paraId="23A1B090" w14:textId="77777777" w:rsidR="0084195D" w:rsidRPr="005B5418" w:rsidRDefault="0084195D" w:rsidP="008848DA">
            <w:pPr>
              <w:spacing w:before="60" w:after="60" w:line="240" w:lineRule="auto"/>
              <w:rPr>
                <w:rFonts w:cs="Arial"/>
                <w:lang w:val="pt-BR"/>
              </w:rPr>
            </w:pPr>
          </w:p>
        </w:tc>
      </w:tr>
      <w:tr w:rsidR="0084195D" w:rsidRPr="005B5418" w14:paraId="324183E9" w14:textId="77777777" w:rsidTr="005C61FF">
        <w:trPr>
          <w:cantSplit/>
          <w:trHeight w:val="2160"/>
        </w:trPr>
        <w:tc>
          <w:tcPr>
            <w:tcW w:w="5405" w:type="dxa"/>
          </w:tcPr>
          <w:p w14:paraId="398FC994" w14:textId="77777777" w:rsidR="0084195D" w:rsidRPr="005B5418" w:rsidRDefault="0084195D" w:rsidP="008848DA">
            <w:pPr>
              <w:pStyle w:val="FAM-Table-outline"/>
              <w:widowControl/>
              <w:adjustRightInd/>
              <w:spacing w:line="240" w:lineRule="auto"/>
              <w:textAlignment w:val="auto"/>
              <w:rPr>
                <w:rFonts w:cs="Arial"/>
              </w:rPr>
            </w:pPr>
            <w:r w:rsidRPr="005B5418">
              <w:rPr>
                <w:rFonts w:cs="Arial"/>
              </w:rPr>
              <w:t>Does the reporting entity disclose</w:t>
            </w:r>
          </w:p>
          <w:p w14:paraId="5C34F440" w14:textId="61E52D36" w:rsidR="0084195D" w:rsidRPr="005B5418" w:rsidRDefault="0084195D"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major categories of accounts receivable by amount (gross</w:t>
            </w:r>
            <w:r w:rsidR="009D5E9C" w:rsidRPr="005B5418">
              <w:rPr>
                <w:rFonts w:eastAsia="Arial Unicode MS" w:cs="Arial"/>
                <w:szCs w:val="22"/>
              </w:rPr>
              <w:t xml:space="preserve"> and net) and type,</w:t>
            </w:r>
            <w:r w:rsidRPr="005B5418">
              <w:rPr>
                <w:rFonts w:eastAsia="Arial Unicode MS" w:cs="Arial"/>
                <w:szCs w:val="22"/>
                <w:vertAlign w:val="superscript"/>
              </w:rPr>
              <w:footnoteReference w:id="87"/>
            </w:r>
          </w:p>
          <w:p w14:paraId="768B3202" w14:textId="4F22B4BB" w:rsidR="0084195D" w:rsidRPr="005B5418" w:rsidRDefault="0084195D"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methodology used to estimate the allowance for uncollectible amounts</w:t>
            </w:r>
            <w:r w:rsidR="009D5E9C" w:rsidRPr="005B5418">
              <w:rPr>
                <w:rFonts w:eastAsia="Arial Unicode MS" w:cs="Arial"/>
                <w:szCs w:val="22"/>
              </w:rPr>
              <w:t xml:space="preserve">, </w:t>
            </w:r>
            <w:r w:rsidRPr="005B5418">
              <w:rPr>
                <w:rFonts w:eastAsia="Arial Unicode MS" w:cs="Arial"/>
                <w:szCs w:val="22"/>
              </w:rPr>
              <w:t>and</w:t>
            </w:r>
          </w:p>
          <w:p w14:paraId="550A731B" w14:textId="52155866" w:rsidR="0084195D" w:rsidRPr="005B5418" w:rsidRDefault="0084195D" w:rsidP="0047584E">
            <w:pPr>
              <w:pStyle w:val="FAM-Table-outline2"/>
              <w:tabs>
                <w:tab w:val="num" w:pos="576"/>
              </w:tabs>
              <w:spacing w:line="240" w:lineRule="auto"/>
              <w:ind w:left="1155" w:hanging="458"/>
              <w:rPr>
                <w:rFonts w:cs="Arial"/>
                <w:lang w:val="pt-BR"/>
              </w:rPr>
            </w:pPr>
            <w:r w:rsidRPr="005B5418">
              <w:rPr>
                <w:rFonts w:eastAsia="Arial Unicode MS" w:cs="Arial"/>
                <w:szCs w:val="22"/>
              </w:rPr>
              <w:t>total dollar amount of the allowance for uncollectible accounts? (SFFAS 1, par</w:t>
            </w:r>
            <w:r w:rsidR="009D5E9C" w:rsidRPr="005B5418">
              <w:rPr>
                <w:rFonts w:eastAsia="Arial Unicode MS" w:cs="Arial"/>
                <w:szCs w:val="22"/>
              </w:rPr>
              <w:t>a</w:t>
            </w:r>
            <w:r w:rsidRPr="005B5418">
              <w:rPr>
                <w:rFonts w:eastAsia="Arial Unicode MS" w:cs="Arial"/>
                <w:szCs w:val="22"/>
              </w:rPr>
              <w:t xml:space="preserve">. 52; A-136, sections II.3.2.3 </w:t>
            </w:r>
            <w:r w:rsidR="009D5E9C" w:rsidRPr="005B5418">
              <w:rPr>
                <w:rFonts w:eastAsia="Arial Unicode MS" w:cs="Arial"/>
                <w:szCs w:val="22"/>
              </w:rPr>
              <w:t xml:space="preserve">and </w:t>
            </w:r>
            <w:r w:rsidRPr="005B5418">
              <w:rPr>
                <w:rFonts w:eastAsia="Arial Unicode MS" w:cs="Arial"/>
                <w:szCs w:val="22"/>
              </w:rPr>
              <w:t>II.3.8.6)</w:t>
            </w:r>
          </w:p>
        </w:tc>
        <w:tc>
          <w:tcPr>
            <w:tcW w:w="965" w:type="dxa"/>
          </w:tcPr>
          <w:p w14:paraId="0CEEC0BB" w14:textId="77777777" w:rsidR="0084195D" w:rsidRPr="005B5418" w:rsidRDefault="0084195D" w:rsidP="008848DA">
            <w:pPr>
              <w:pStyle w:val="Table-Cell-CenterBoldBefore6ptAfter6pt"/>
              <w:spacing w:before="60" w:after="60"/>
              <w:rPr>
                <w:rFonts w:cs="Arial"/>
                <w:lang w:val="pt-BR"/>
              </w:rPr>
            </w:pPr>
          </w:p>
        </w:tc>
        <w:tc>
          <w:tcPr>
            <w:tcW w:w="3211" w:type="dxa"/>
          </w:tcPr>
          <w:p w14:paraId="3E648B51" w14:textId="77777777" w:rsidR="0084195D" w:rsidRPr="005B5418" w:rsidRDefault="0084195D" w:rsidP="008848DA">
            <w:pPr>
              <w:spacing w:before="60" w:after="60" w:line="240" w:lineRule="auto"/>
              <w:rPr>
                <w:rFonts w:cs="Arial"/>
                <w:lang w:val="pt-BR"/>
              </w:rPr>
            </w:pPr>
          </w:p>
        </w:tc>
      </w:tr>
      <w:tr w:rsidR="0084195D" w:rsidRPr="005B5418" w14:paraId="12C7FAA5" w14:textId="77777777" w:rsidTr="005C61FF">
        <w:trPr>
          <w:cantSplit/>
          <w:trHeight w:val="2160"/>
        </w:trPr>
        <w:tc>
          <w:tcPr>
            <w:tcW w:w="5405" w:type="dxa"/>
          </w:tcPr>
          <w:p w14:paraId="166E4130" w14:textId="77777777" w:rsidR="0084195D" w:rsidRPr="005B5418" w:rsidRDefault="0084195D" w:rsidP="008848DA">
            <w:pPr>
              <w:pStyle w:val="FAM-Table-outline"/>
              <w:widowControl/>
              <w:adjustRightInd/>
              <w:spacing w:line="240" w:lineRule="auto"/>
              <w:textAlignment w:val="auto"/>
              <w:rPr>
                <w:rFonts w:cs="Arial"/>
              </w:rPr>
            </w:pPr>
            <w:r w:rsidRPr="005B5418">
              <w:rPr>
                <w:rFonts w:cs="Arial"/>
              </w:rPr>
              <w:lastRenderedPageBreak/>
              <w:t xml:space="preserve">Is interest accrued on uncollectible accounts receivable disclosed until </w:t>
            </w:r>
          </w:p>
          <w:p w14:paraId="1EC7831D" w14:textId="112B3F03" w:rsidR="0084195D" w:rsidRPr="005B5418" w:rsidRDefault="0084195D"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the interest payment requirement has been waived by the </w:t>
            </w:r>
            <w:r w:rsidR="006965DA" w:rsidRPr="005B5418">
              <w:rPr>
                <w:rFonts w:eastAsia="Arial Unicode MS" w:cs="Arial"/>
                <w:szCs w:val="22"/>
              </w:rPr>
              <w:t>(</w:t>
            </w:r>
            <w:r w:rsidRPr="005B5418">
              <w:rPr>
                <w:rFonts w:eastAsia="Arial Unicode MS" w:cs="Arial"/>
                <w:szCs w:val="22"/>
              </w:rPr>
              <w:t>federal</w:t>
            </w:r>
            <w:r w:rsidR="006965DA" w:rsidRPr="005B5418">
              <w:rPr>
                <w:rFonts w:eastAsia="Arial Unicode MS" w:cs="Arial"/>
                <w:szCs w:val="22"/>
              </w:rPr>
              <w:t>)</w:t>
            </w:r>
            <w:r w:rsidRPr="005B5418">
              <w:rPr>
                <w:rFonts w:eastAsia="Arial Unicode MS" w:cs="Arial"/>
                <w:szCs w:val="22"/>
              </w:rPr>
              <w:t xml:space="preserve"> government</w:t>
            </w:r>
            <w:r w:rsidR="006965DA" w:rsidRPr="005B5418">
              <w:rPr>
                <w:rFonts w:eastAsia="Arial Unicode MS" w:cs="Arial"/>
                <w:szCs w:val="22"/>
              </w:rPr>
              <w:t xml:space="preserve"> entity</w:t>
            </w:r>
            <w:r w:rsidRPr="005B5418">
              <w:rPr>
                <w:rFonts w:eastAsia="Arial Unicode MS" w:cs="Arial"/>
                <w:szCs w:val="22"/>
              </w:rPr>
              <w:t xml:space="preserve"> or </w:t>
            </w:r>
          </w:p>
          <w:p w14:paraId="66FDBD9C" w14:textId="0815384A" w:rsidR="0084195D" w:rsidRPr="005B5418" w:rsidRDefault="0084195D" w:rsidP="0047584E">
            <w:pPr>
              <w:pStyle w:val="FAM-Table-outline2"/>
              <w:tabs>
                <w:tab w:val="num" w:pos="576"/>
              </w:tabs>
              <w:spacing w:line="240" w:lineRule="auto"/>
              <w:ind w:left="1155" w:hanging="458"/>
              <w:rPr>
                <w:rFonts w:cs="Arial"/>
                <w:b/>
                <w:i/>
                <w:lang w:val="pt-BR"/>
              </w:rPr>
            </w:pPr>
            <w:r w:rsidRPr="005B5418">
              <w:rPr>
                <w:rFonts w:eastAsia="Arial Unicode MS" w:cs="Arial"/>
                <w:szCs w:val="22"/>
              </w:rPr>
              <w:t>the related debt has been written off? (SFFAS</w:t>
            </w:r>
            <w:r w:rsidRPr="005B5418">
              <w:rPr>
                <w:rFonts w:cs="Arial"/>
              </w:rPr>
              <w:t xml:space="preserve"> 1, par</w:t>
            </w:r>
            <w:r w:rsidR="00AD0357" w:rsidRPr="005B5418">
              <w:rPr>
                <w:rFonts w:cs="Arial"/>
              </w:rPr>
              <w:t>a</w:t>
            </w:r>
            <w:r w:rsidRPr="005B5418">
              <w:rPr>
                <w:rFonts w:cs="Arial"/>
              </w:rPr>
              <w:t xml:space="preserve">. 55) </w:t>
            </w:r>
          </w:p>
        </w:tc>
        <w:tc>
          <w:tcPr>
            <w:tcW w:w="965" w:type="dxa"/>
          </w:tcPr>
          <w:p w14:paraId="2F5FEDDA" w14:textId="77777777" w:rsidR="0084195D" w:rsidRPr="005B5418" w:rsidRDefault="0084195D" w:rsidP="008848DA">
            <w:pPr>
              <w:pStyle w:val="Table-Cell-CenterBoldBefore6ptAfter6pt"/>
              <w:spacing w:before="60" w:after="60"/>
              <w:rPr>
                <w:rFonts w:cs="Arial"/>
                <w:lang w:val="pt-BR"/>
              </w:rPr>
            </w:pPr>
          </w:p>
        </w:tc>
        <w:tc>
          <w:tcPr>
            <w:tcW w:w="3211" w:type="dxa"/>
          </w:tcPr>
          <w:p w14:paraId="0E34986B" w14:textId="77777777" w:rsidR="0084195D" w:rsidRPr="005B5418" w:rsidRDefault="0084195D" w:rsidP="008848DA">
            <w:pPr>
              <w:spacing w:before="60" w:after="60" w:line="240" w:lineRule="auto"/>
              <w:rPr>
                <w:rFonts w:cs="Arial"/>
                <w:lang w:val="pt-BR"/>
              </w:rPr>
            </w:pPr>
          </w:p>
        </w:tc>
      </w:tr>
      <w:tr w:rsidR="0084195D" w:rsidRPr="005B5418" w14:paraId="6EBADA91" w14:textId="77777777" w:rsidTr="005C61FF">
        <w:trPr>
          <w:cantSplit/>
          <w:trHeight w:val="548"/>
        </w:trPr>
        <w:tc>
          <w:tcPr>
            <w:tcW w:w="9581" w:type="dxa"/>
            <w:gridSpan w:val="3"/>
          </w:tcPr>
          <w:p w14:paraId="1CE74125" w14:textId="33F22FD6" w:rsidR="0084195D" w:rsidRPr="005B5418" w:rsidRDefault="0084195D" w:rsidP="008848DA">
            <w:pPr>
              <w:pStyle w:val="Heading5"/>
              <w:spacing w:before="60" w:after="60" w:line="240" w:lineRule="auto"/>
              <w:rPr>
                <w:rFonts w:ascii="Arial" w:hAnsi="Arial" w:cs="Arial"/>
                <w:b/>
                <w:color w:val="auto"/>
              </w:rPr>
            </w:pPr>
            <w:bookmarkStart w:id="134" w:name="_II.3.8.7_Taxes_Receivable,"/>
            <w:bookmarkStart w:id="135" w:name="_Ref394576668"/>
            <w:bookmarkStart w:id="136" w:name="_Toc394667891"/>
            <w:bookmarkStart w:id="137" w:name="_Ref392094202"/>
            <w:bookmarkStart w:id="138" w:name="_Ref390335519"/>
            <w:bookmarkEnd w:id="134"/>
            <w:r w:rsidRPr="005B5418">
              <w:rPr>
                <w:rFonts w:ascii="Arial" w:hAnsi="Arial" w:cs="Arial"/>
                <w:b/>
                <w:color w:val="auto"/>
              </w:rPr>
              <w:t>II.3.8.7 Taxes Receivable, Net</w:t>
            </w:r>
            <w:bookmarkEnd w:id="135"/>
            <w:bookmarkEnd w:id="136"/>
            <w:r w:rsidRPr="005B5418">
              <w:rPr>
                <w:rFonts w:ascii="Arial" w:hAnsi="Arial" w:cs="Arial"/>
                <w:b/>
                <w:color w:val="auto"/>
              </w:rPr>
              <w:t xml:space="preserve"> </w:t>
            </w:r>
            <w:bookmarkEnd w:id="137"/>
            <w:bookmarkEnd w:id="138"/>
          </w:p>
        </w:tc>
      </w:tr>
      <w:tr w:rsidR="00153A2A" w:rsidRPr="005B5418" w14:paraId="38EE41EA" w14:textId="77777777" w:rsidTr="005C61FF">
        <w:trPr>
          <w:cantSplit/>
          <w:trHeight w:val="1592"/>
        </w:trPr>
        <w:tc>
          <w:tcPr>
            <w:tcW w:w="9581" w:type="dxa"/>
            <w:gridSpan w:val="3"/>
          </w:tcPr>
          <w:p w14:paraId="115FDA60" w14:textId="1752DD72" w:rsidR="00153A2A" w:rsidRPr="005B5418" w:rsidRDefault="00153A2A" w:rsidP="008848DA">
            <w:pPr>
              <w:pStyle w:val="Table-Note"/>
              <w:spacing w:before="60" w:after="60" w:line="240" w:lineRule="auto"/>
              <w:ind w:left="-21"/>
              <w:jc w:val="left"/>
              <w:rPr>
                <w:rFonts w:cs="Arial"/>
                <w:i w:val="0"/>
                <w:sz w:val="22"/>
                <w:szCs w:val="22"/>
              </w:rPr>
            </w:pPr>
            <w:r w:rsidRPr="005B5418">
              <w:rPr>
                <w:rFonts w:cs="Arial"/>
                <w:i w:val="0"/>
                <w:sz w:val="22"/>
                <w:szCs w:val="22"/>
              </w:rPr>
              <w:t>Compliance assessments are proposed assessments by the collecting entity in definitive amounts, but with which the taxpayer (or importer) still has the right to disagree or object. (SFFAS 7, par</w:t>
            </w:r>
            <w:r w:rsidR="00E52296" w:rsidRPr="005B5418">
              <w:rPr>
                <w:rFonts w:cs="Arial"/>
                <w:i w:val="0"/>
                <w:sz w:val="22"/>
                <w:szCs w:val="22"/>
              </w:rPr>
              <w:t>a</w:t>
            </w:r>
            <w:r w:rsidRPr="005B5418">
              <w:rPr>
                <w:rFonts w:cs="Arial"/>
                <w:i w:val="0"/>
                <w:sz w:val="22"/>
                <w:szCs w:val="22"/>
              </w:rPr>
              <w:t xml:space="preserve">. 55.A) </w:t>
            </w:r>
          </w:p>
          <w:p w14:paraId="2549455B" w14:textId="4341B082" w:rsidR="00153A2A" w:rsidRPr="005B5418" w:rsidRDefault="00153A2A" w:rsidP="008848DA">
            <w:pPr>
              <w:pStyle w:val="Table-Note"/>
              <w:spacing w:before="60" w:after="60" w:line="240" w:lineRule="auto"/>
              <w:ind w:left="-21"/>
              <w:jc w:val="left"/>
              <w:rPr>
                <w:rFonts w:cs="Arial"/>
                <w:i w:val="0"/>
                <w:sz w:val="22"/>
                <w:szCs w:val="22"/>
              </w:rPr>
            </w:pPr>
            <w:r w:rsidRPr="005B5418">
              <w:rPr>
                <w:rFonts w:cs="Arial"/>
                <w:i w:val="0"/>
                <w:sz w:val="22"/>
                <w:szCs w:val="22"/>
              </w:rPr>
              <w:t>Preassessment work-in-process are assessments not yet officially asserted by the collecting entity that are subject to a taxpayer’s right to conference in response to initial information notices. (SFFAS 7, par</w:t>
            </w:r>
            <w:r w:rsidR="00E52296" w:rsidRPr="005B5418">
              <w:rPr>
                <w:rFonts w:cs="Arial"/>
                <w:i w:val="0"/>
                <w:sz w:val="22"/>
                <w:szCs w:val="22"/>
              </w:rPr>
              <w:t>a</w:t>
            </w:r>
            <w:r w:rsidRPr="005B5418">
              <w:rPr>
                <w:rFonts w:cs="Arial"/>
                <w:i w:val="0"/>
                <w:sz w:val="22"/>
                <w:szCs w:val="22"/>
              </w:rPr>
              <w:t xml:space="preserve">. 55.B) </w:t>
            </w:r>
          </w:p>
          <w:p w14:paraId="06F67B8B" w14:textId="4D7456A4" w:rsidR="00153A2A" w:rsidRPr="005B5418" w:rsidRDefault="00153A2A" w:rsidP="008848DA">
            <w:pPr>
              <w:spacing w:before="60" w:after="60" w:line="240" w:lineRule="auto"/>
              <w:ind w:left="-21"/>
              <w:rPr>
                <w:rFonts w:ascii="Arial" w:eastAsia="Times New Roman" w:hAnsi="Arial" w:cs="Arial"/>
                <w:i/>
                <w:color w:val="000000"/>
              </w:rPr>
            </w:pPr>
            <w:r w:rsidRPr="005B5418">
              <w:rPr>
                <w:rFonts w:ascii="Arial" w:eastAsia="Times New Roman" w:hAnsi="Arial" w:cs="Arial"/>
                <w:color w:val="000000"/>
              </w:rPr>
              <w:t>Compliance assessments and preassessment work-in-process are not accounts receivable.</w:t>
            </w:r>
            <w:r w:rsidR="00454653" w:rsidRPr="005B5418">
              <w:rPr>
                <w:rFonts w:ascii="Arial" w:eastAsia="Times New Roman" w:hAnsi="Arial" w:cs="Arial"/>
                <w:color w:val="000000"/>
              </w:rPr>
              <w:t xml:space="preserve"> </w:t>
            </w:r>
            <w:r w:rsidRPr="005B5418">
              <w:rPr>
                <w:rFonts w:ascii="Arial" w:eastAsia="Times New Roman" w:hAnsi="Arial" w:cs="Arial"/>
                <w:color w:val="000000"/>
              </w:rPr>
              <w:t>(SFFAS 7, par</w:t>
            </w:r>
            <w:r w:rsidR="00E52296" w:rsidRPr="005B5418">
              <w:rPr>
                <w:rFonts w:ascii="Arial" w:eastAsia="Times New Roman" w:hAnsi="Arial" w:cs="Arial"/>
                <w:color w:val="000000"/>
              </w:rPr>
              <w:t>a</w:t>
            </w:r>
            <w:r w:rsidRPr="005B5418">
              <w:rPr>
                <w:rFonts w:ascii="Arial" w:eastAsia="Times New Roman" w:hAnsi="Arial" w:cs="Arial"/>
                <w:color w:val="000000"/>
              </w:rPr>
              <w:t>. 54)</w:t>
            </w:r>
            <w:r w:rsidRPr="005B5418">
              <w:rPr>
                <w:rFonts w:ascii="Arial" w:eastAsia="Times New Roman" w:hAnsi="Arial" w:cs="Arial"/>
                <w:i/>
                <w:color w:val="000000"/>
              </w:rPr>
              <w:t xml:space="preserve"> </w:t>
            </w:r>
          </w:p>
        </w:tc>
      </w:tr>
      <w:tr w:rsidR="00153A2A" w:rsidRPr="005B5418" w14:paraId="2C62EF6B" w14:textId="77777777" w:rsidTr="005C61FF">
        <w:trPr>
          <w:cantSplit/>
          <w:trHeight w:val="422"/>
        </w:trPr>
        <w:tc>
          <w:tcPr>
            <w:tcW w:w="9581" w:type="dxa"/>
            <w:gridSpan w:val="3"/>
          </w:tcPr>
          <w:p w14:paraId="27636D40" w14:textId="77777777" w:rsidR="00153A2A" w:rsidRPr="005B5418" w:rsidRDefault="00153A2A" w:rsidP="008848DA">
            <w:pPr>
              <w:spacing w:before="60" w:after="60" w:line="240" w:lineRule="auto"/>
              <w:rPr>
                <w:rFonts w:ascii="Arial" w:hAnsi="Arial" w:cs="Arial"/>
                <w:b/>
              </w:rPr>
            </w:pPr>
            <w:r w:rsidRPr="005B5418">
              <w:rPr>
                <w:rFonts w:ascii="Arial" w:hAnsi="Arial" w:cs="Arial"/>
                <w:b/>
              </w:rPr>
              <w:t>Accounting</w:t>
            </w:r>
          </w:p>
        </w:tc>
      </w:tr>
      <w:tr w:rsidR="00153A2A" w:rsidRPr="005B5418" w14:paraId="66E66168" w14:textId="77777777" w:rsidTr="005C61FF">
        <w:trPr>
          <w:cantSplit/>
          <w:trHeight w:val="2160"/>
        </w:trPr>
        <w:tc>
          <w:tcPr>
            <w:tcW w:w="5405" w:type="dxa"/>
          </w:tcPr>
          <w:p w14:paraId="6A879411" w14:textId="77777777" w:rsidR="00153A2A" w:rsidRPr="005B5418" w:rsidRDefault="00153A2A" w:rsidP="007B5405">
            <w:pPr>
              <w:pStyle w:val="FAM-Table-outline"/>
              <w:spacing w:line="240" w:lineRule="auto"/>
              <w:rPr>
                <w:rFonts w:eastAsia="Arial Unicode MS" w:cs="Arial"/>
                <w:szCs w:val="22"/>
              </w:rPr>
            </w:pPr>
            <w:r w:rsidRPr="005B5418">
              <w:rPr>
                <w:rFonts w:eastAsia="Arial Unicode MS" w:cs="Arial"/>
                <w:szCs w:val="22"/>
              </w:rPr>
              <w:t xml:space="preserve">Do nonexchange-related accounts receivable for taxes and duties exclude </w:t>
            </w:r>
          </w:p>
          <w:p w14:paraId="6E4832DB" w14:textId="77777777" w:rsidR="00153A2A" w:rsidRPr="005B5418" w:rsidRDefault="00153A2A"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amounts received or due with tax returns received after the close of the reporting period,</w:t>
            </w:r>
          </w:p>
          <w:p w14:paraId="62D3DDDD" w14:textId="77777777" w:rsidR="00153A2A" w:rsidRPr="005B5418" w:rsidRDefault="00153A2A"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compliance assessments, and</w:t>
            </w:r>
          </w:p>
          <w:p w14:paraId="74F34D1C" w14:textId="2BBE81DB" w:rsidR="00153A2A" w:rsidRPr="005B5418" w:rsidRDefault="00153A2A" w:rsidP="0047584E">
            <w:pPr>
              <w:pStyle w:val="FAM-Table-outline2"/>
              <w:tabs>
                <w:tab w:val="num" w:pos="576"/>
              </w:tabs>
              <w:spacing w:line="240" w:lineRule="auto"/>
              <w:ind w:left="1155" w:hanging="458"/>
              <w:rPr>
                <w:lang w:val="pt-BR"/>
              </w:rPr>
            </w:pPr>
            <w:r w:rsidRPr="005B5418">
              <w:rPr>
                <w:rFonts w:eastAsia="Arial Unicode MS" w:cs="Arial"/>
                <w:szCs w:val="22"/>
              </w:rPr>
              <w:t>preassessment work-in-process?</w:t>
            </w:r>
            <w:r w:rsidRPr="005B5418">
              <w:rPr>
                <w:rFonts w:eastAsia="Arial Unicode MS"/>
              </w:rPr>
              <w:t xml:space="preserve"> (SFFAS 7, par</w:t>
            </w:r>
            <w:r w:rsidR="00E52296" w:rsidRPr="005B5418">
              <w:rPr>
                <w:rFonts w:eastAsia="Arial Unicode MS"/>
              </w:rPr>
              <w:t>a</w:t>
            </w:r>
            <w:r w:rsidRPr="005B5418">
              <w:rPr>
                <w:rFonts w:eastAsia="Arial Unicode MS"/>
              </w:rPr>
              <w:t>. 54)</w:t>
            </w:r>
          </w:p>
        </w:tc>
        <w:tc>
          <w:tcPr>
            <w:tcW w:w="965" w:type="dxa"/>
          </w:tcPr>
          <w:p w14:paraId="34E2259B" w14:textId="77777777" w:rsidR="00153A2A" w:rsidRPr="005B5418" w:rsidRDefault="00153A2A" w:rsidP="008848DA">
            <w:pPr>
              <w:pStyle w:val="Table-Cell-CenterBoldBefore6ptAfter6pt"/>
              <w:spacing w:before="60" w:after="60"/>
              <w:rPr>
                <w:rFonts w:cs="Arial"/>
                <w:lang w:val="pt-BR"/>
              </w:rPr>
            </w:pPr>
          </w:p>
        </w:tc>
        <w:tc>
          <w:tcPr>
            <w:tcW w:w="3211" w:type="dxa"/>
          </w:tcPr>
          <w:p w14:paraId="62C97DA7" w14:textId="77777777" w:rsidR="00153A2A" w:rsidRPr="005B5418" w:rsidRDefault="00153A2A" w:rsidP="008848DA">
            <w:pPr>
              <w:spacing w:before="60" w:after="60" w:line="240" w:lineRule="auto"/>
              <w:rPr>
                <w:rFonts w:cs="Arial"/>
                <w:lang w:val="pt-BR"/>
              </w:rPr>
            </w:pPr>
          </w:p>
        </w:tc>
      </w:tr>
      <w:tr w:rsidR="00153A2A" w:rsidRPr="005B5418" w14:paraId="49DBE19B" w14:textId="77777777" w:rsidTr="005C61FF">
        <w:trPr>
          <w:cantSplit/>
          <w:trHeight w:val="2160"/>
        </w:trPr>
        <w:tc>
          <w:tcPr>
            <w:tcW w:w="5405" w:type="dxa"/>
          </w:tcPr>
          <w:p w14:paraId="2F33C8A5" w14:textId="77777777" w:rsidR="00153A2A" w:rsidRPr="005B5418" w:rsidRDefault="00153A2A" w:rsidP="007B5405">
            <w:pPr>
              <w:pStyle w:val="FAM-Table-outline"/>
              <w:spacing w:line="240" w:lineRule="auto"/>
              <w:rPr>
                <w:rFonts w:eastAsia="Arial Unicode MS" w:cs="Arial"/>
                <w:szCs w:val="22"/>
              </w:rPr>
            </w:pPr>
            <w:r w:rsidRPr="005B5418">
              <w:rPr>
                <w:rFonts w:eastAsia="Arial Unicode MS" w:cs="Arial"/>
                <w:szCs w:val="22"/>
              </w:rPr>
              <w:t>Are compliance assessments reclassified and recognized as account</w:t>
            </w:r>
            <w:r w:rsidR="004709AB" w:rsidRPr="005B5418">
              <w:rPr>
                <w:rFonts w:eastAsia="Arial Unicode MS" w:cs="Arial"/>
                <w:szCs w:val="22"/>
              </w:rPr>
              <w:t>s</w:t>
            </w:r>
            <w:r w:rsidRPr="005B5418">
              <w:rPr>
                <w:rFonts w:eastAsia="Arial Unicode MS" w:cs="Arial"/>
                <w:szCs w:val="22"/>
              </w:rPr>
              <w:t xml:space="preserve"> receivable in instances when</w:t>
            </w:r>
          </w:p>
          <w:p w14:paraId="70A53110" w14:textId="77777777" w:rsidR="00153A2A" w:rsidRPr="005B5418" w:rsidRDefault="00153A2A"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the taxpayer files an amended tax return, </w:t>
            </w:r>
          </w:p>
          <w:p w14:paraId="0C582BD3" w14:textId="14E67CC4" w:rsidR="00153A2A" w:rsidRPr="005B5418" w:rsidRDefault="004C377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the </w:t>
            </w:r>
            <w:r w:rsidR="00153A2A" w:rsidRPr="005B5418">
              <w:rPr>
                <w:rFonts w:eastAsia="Arial Unicode MS" w:cs="Arial"/>
                <w:szCs w:val="22"/>
              </w:rPr>
              <w:t>customs’ protest or retention period lapses,</w:t>
            </w:r>
          </w:p>
          <w:p w14:paraId="2D95FE9E" w14:textId="0A665999" w:rsidR="00153A2A" w:rsidRPr="005B5418" w:rsidRDefault="004C3779"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a </w:t>
            </w:r>
            <w:r w:rsidR="00153A2A" w:rsidRPr="005B5418">
              <w:rPr>
                <w:rFonts w:eastAsia="Arial Unicode MS" w:cs="Arial"/>
                <w:szCs w:val="22"/>
              </w:rPr>
              <w:t>court action or an appeal finally determines the assessment,</w:t>
            </w:r>
          </w:p>
          <w:p w14:paraId="6E55B961" w14:textId="77777777" w:rsidR="00153A2A" w:rsidRPr="005B5418" w:rsidRDefault="00153A2A"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taxpayer (or importer) agrees to pay currently or through an installment agreement, and</w:t>
            </w:r>
          </w:p>
          <w:p w14:paraId="69B5B11A" w14:textId="3EBF50F9" w:rsidR="00153A2A" w:rsidRPr="005B5418" w:rsidRDefault="00153A2A" w:rsidP="0047584E">
            <w:pPr>
              <w:pStyle w:val="FAM-Table-outline2"/>
              <w:tabs>
                <w:tab w:val="num" w:pos="576"/>
              </w:tabs>
              <w:spacing w:line="240" w:lineRule="auto"/>
              <w:ind w:left="1155" w:hanging="458"/>
              <w:rPr>
                <w:lang w:val="pt-BR"/>
              </w:rPr>
            </w:pPr>
            <w:r w:rsidRPr="005B5418">
              <w:rPr>
                <w:rFonts w:eastAsia="Arial Unicode MS" w:cs="Arial"/>
                <w:szCs w:val="22"/>
              </w:rPr>
              <w:t>an offer in compromise is accepted?</w:t>
            </w:r>
            <w:r w:rsidRPr="005B5418">
              <w:rPr>
                <w:rFonts w:eastAsia="Arial Unicode MS"/>
              </w:rPr>
              <w:t xml:space="preserve"> (SFFAS 7, par</w:t>
            </w:r>
            <w:r w:rsidR="004C3779" w:rsidRPr="005B5418">
              <w:rPr>
                <w:rFonts w:eastAsia="Arial Unicode MS"/>
              </w:rPr>
              <w:t>a</w:t>
            </w:r>
            <w:r w:rsidRPr="005B5418">
              <w:rPr>
                <w:rFonts w:eastAsia="Arial Unicode MS"/>
              </w:rPr>
              <w:t>. 55.A)</w:t>
            </w:r>
          </w:p>
        </w:tc>
        <w:tc>
          <w:tcPr>
            <w:tcW w:w="965" w:type="dxa"/>
          </w:tcPr>
          <w:p w14:paraId="7A581DD0" w14:textId="77777777" w:rsidR="00153A2A" w:rsidRPr="005B5418" w:rsidRDefault="00153A2A" w:rsidP="008848DA">
            <w:pPr>
              <w:pStyle w:val="Table-Cell-CenterBoldBefore6ptAfter6pt"/>
              <w:spacing w:before="60" w:after="60"/>
              <w:rPr>
                <w:rFonts w:cs="Arial"/>
                <w:lang w:val="pt-BR"/>
              </w:rPr>
            </w:pPr>
          </w:p>
        </w:tc>
        <w:tc>
          <w:tcPr>
            <w:tcW w:w="3211" w:type="dxa"/>
          </w:tcPr>
          <w:p w14:paraId="217CBFEE" w14:textId="77777777" w:rsidR="00153A2A" w:rsidRPr="005B5418" w:rsidRDefault="00153A2A" w:rsidP="008848DA">
            <w:pPr>
              <w:spacing w:before="60" w:after="60" w:line="240" w:lineRule="auto"/>
              <w:rPr>
                <w:rFonts w:cs="Arial"/>
                <w:lang w:val="pt-BR"/>
              </w:rPr>
            </w:pPr>
          </w:p>
        </w:tc>
      </w:tr>
      <w:tr w:rsidR="00E42238" w:rsidRPr="005B5418" w14:paraId="03CC91A5" w14:textId="77777777" w:rsidTr="005C61FF">
        <w:trPr>
          <w:cantSplit/>
          <w:trHeight w:val="422"/>
        </w:trPr>
        <w:tc>
          <w:tcPr>
            <w:tcW w:w="9581" w:type="dxa"/>
            <w:gridSpan w:val="3"/>
          </w:tcPr>
          <w:p w14:paraId="136AD07A" w14:textId="77777777" w:rsidR="00E42238" w:rsidRPr="005B5418" w:rsidRDefault="00E42238" w:rsidP="008848DA">
            <w:pPr>
              <w:spacing w:before="60" w:after="60" w:line="240" w:lineRule="auto"/>
              <w:rPr>
                <w:rFonts w:ascii="Arial" w:hAnsi="Arial" w:cs="Arial"/>
                <w:b/>
              </w:rPr>
            </w:pPr>
            <w:r w:rsidRPr="005B5418">
              <w:rPr>
                <w:rFonts w:ascii="Arial" w:hAnsi="Arial" w:cs="Arial"/>
                <w:b/>
              </w:rPr>
              <w:lastRenderedPageBreak/>
              <w:t>Disclosure</w:t>
            </w:r>
          </w:p>
        </w:tc>
      </w:tr>
      <w:tr w:rsidR="0084195D" w:rsidRPr="005B5418" w14:paraId="4119A20D" w14:textId="77777777" w:rsidTr="005C61FF">
        <w:trPr>
          <w:cantSplit/>
          <w:trHeight w:val="2160"/>
        </w:trPr>
        <w:tc>
          <w:tcPr>
            <w:tcW w:w="5405" w:type="dxa"/>
          </w:tcPr>
          <w:p w14:paraId="59FC18B1" w14:textId="77777777" w:rsidR="0084195D" w:rsidRPr="005B5418" w:rsidRDefault="0084195D" w:rsidP="007B5405">
            <w:pPr>
              <w:pStyle w:val="FAM-Table-outline"/>
              <w:spacing w:line="240" w:lineRule="auto"/>
              <w:rPr>
                <w:rFonts w:eastAsia="Arial Unicode MS" w:cs="Arial"/>
                <w:szCs w:val="22"/>
              </w:rPr>
            </w:pPr>
            <w:r w:rsidRPr="005B5418">
              <w:rPr>
                <w:rFonts w:eastAsia="Arial Unicode MS" w:cs="Arial"/>
                <w:szCs w:val="22"/>
              </w:rPr>
              <w:t xml:space="preserve">Does the reporting entity disclose </w:t>
            </w:r>
          </w:p>
          <w:p w14:paraId="374C2F85" w14:textId="2A4AA283" w:rsidR="0084195D" w:rsidRPr="005B5418" w:rsidRDefault="0084195D"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gross taxes receivable</w:t>
            </w:r>
            <w:r w:rsidR="00483983" w:rsidRPr="005B5418">
              <w:rPr>
                <w:rFonts w:eastAsia="Arial Unicode MS" w:cs="Arial"/>
                <w:szCs w:val="22"/>
              </w:rPr>
              <w:t>,</w:t>
            </w:r>
          </w:p>
          <w:p w14:paraId="00C7C668" w14:textId="2156B051" w:rsidR="0084195D" w:rsidRPr="005B5418" w:rsidRDefault="0084195D"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allowance for uncollectible taxes receivable</w:t>
            </w:r>
            <w:r w:rsidR="00483983" w:rsidRPr="005B5418">
              <w:rPr>
                <w:rFonts w:eastAsia="Arial Unicode MS" w:cs="Arial"/>
                <w:szCs w:val="22"/>
              </w:rPr>
              <w:t>,</w:t>
            </w:r>
          </w:p>
          <w:p w14:paraId="0B132308" w14:textId="7FF73899" w:rsidR="0084195D" w:rsidRPr="005B5418" w:rsidRDefault="0084195D"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net taxes receivable</w:t>
            </w:r>
            <w:r w:rsidR="00483983" w:rsidRPr="005B5418">
              <w:rPr>
                <w:rFonts w:eastAsia="Arial Unicode MS" w:cs="Arial"/>
                <w:szCs w:val="22"/>
              </w:rPr>
              <w:t>,</w:t>
            </w:r>
            <w:r w:rsidRPr="005B5418">
              <w:rPr>
                <w:rFonts w:eastAsia="Arial Unicode MS" w:cs="Arial"/>
                <w:szCs w:val="22"/>
              </w:rPr>
              <w:t xml:space="preserve"> and</w:t>
            </w:r>
          </w:p>
          <w:p w14:paraId="78339390" w14:textId="7DE63CC6" w:rsidR="0084195D" w:rsidRPr="005B5418" w:rsidRDefault="004D5F31" w:rsidP="0047584E">
            <w:pPr>
              <w:pStyle w:val="FAM-Table-outline2"/>
              <w:tabs>
                <w:tab w:val="num" w:pos="576"/>
              </w:tabs>
              <w:spacing w:line="240" w:lineRule="auto"/>
              <w:ind w:left="1155" w:hanging="458"/>
              <w:rPr>
                <w:rFonts w:cs="Arial"/>
              </w:rPr>
            </w:pPr>
            <w:r w:rsidRPr="005B5418">
              <w:rPr>
                <w:rFonts w:eastAsia="Arial Unicode MS" w:cs="Arial"/>
                <w:szCs w:val="22"/>
              </w:rPr>
              <w:t xml:space="preserve">the </w:t>
            </w:r>
            <w:r w:rsidR="0084195D" w:rsidRPr="005B5418">
              <w:rPr>
                <w:rFonts w:eastAsia="Arial Unicode MS" w:cs="Arial"/>
                <w:szCs w:val="22"/>
              </w:rPr>
              <w:t xml:space="preserve">method used to </w:t>
            </w:r>
            <w:r w:rsidRPr="005B5418">
              <w:rPr>
                <w:rFonts w:eastAsia="Arial Unicode MS" w:cs="Arial"/>
                <w:szCs w:val="22"/>
              </w:rPr>
              <w:t xml:space="preserve">compute </w:t>
            </w:r>
            <w:r w:rsidR="0084195D" w:rsidRPr="005B5418">
              <w:rPr>
                <w:rFonts w:eastAsia="Arial Unicode MS" w:cs="Arial"/>
                <w:szCs w:val="22"/>
              </w:rPr>
              <w:t>the allowance for uncollectible taxes?</w:t>
            </w:r>
            <w:r w:rsidR="0084195D" w:rsidRPr="005B5418">
              <w:rPr>
                <w:rFonts w:eastAsia="Arial Unicode MS" w:cs="Arial"/>
                <w:szCs w:val="22"/>
              </w:rPr>
              <w:br/>
              <w:t>(SFFAS 1, par</w:t>
            </w:r>
            <w:r w:rsidR="00483983" w:rsidRPr="005B5418">
              <w:rPr>
                <w:rFonts w:eastAsia="Arial Unicode MS" w:cs="Arial"/>
                <w:szCs w:val="22"/>
              </w:rPr>
              <w:t>a</w:t>
            </w:r>
            <w:r w:rsidR="0084195D" w:rsidRPr="005B5418">
              <w:rPr>
                <w:rFonts w:eastAsia="Arial Unicode MS" w:cs="Arial"/>
                <w:szCs w:val="22"/>
              </w:rPr>
              <w:t xml:space="preserve">. 52; A-136, sections II.3.2.3 </w:t>
            </w:r>
            <w:r w:rsidR="00483983" w:rsidRPr="005B5418">
              <w:rPr>
                <w:rFonts w:eastAsia="Arial Unicode MS" w:cs="Arial"/>
                <w:szCs w:val="22"/>
              </w:rPr>
              <w:t xml:space="preserve">and </w:t>
            </w:r>
            <w:r w:rsidR="0084195D" w:rsidRPr="005B5418">
              <w:rPr>
                <w:rFonts w:eastAsia="Arial Unicode MS" w:cs="Arial"/>
                <w:szCs w:val="22"/>
              </w:rPr>
              <w:t>II.3.8.7)</w:t>
            </w:r>
          </w:p>
        </w:tc>
        <w:tc>
          <w:tcPr>
            <w:tcW w:w="965" w:type="dxa"/>
          </w:tcPr>
          <w:p w14:paraId="6DB106B7" w14:textId="77777777" w:rsidR="0084195D" w:rsidRPr="005B5418" w:rsidRDefault="0084195D" w:rsidP="008848DA">
            <w:pPr>
              <w:pStyle w:val="Table-Cell-CenterBoldBefore6ptAfter6pt"/>
              <w:spacing w:before="60" w:after="60"/>
              <w:rPr>
                <w:rFonts w:cs="Arial"/>
              </w:rPr>
            </w:pPr>
          </w:p>
        </w:tc>
        <w:tc>
          <w:tcPr>
            <w:tcW w:w="3211" w:type="dxa"/>
          </w:tcPr>
          <w:p w14:paraId="3B5B8567" w14:textId="77777777" w:rsidR="0084195D" w:rsidRPr="005B5418" w:rsidRDefault="0084195D" w:rsidP="008848DA">
            <w:pPr>
              <w:spacing w:before="60" w:after="60" w:line="240" w:lineRule="auto"/>
              <w:rPr>
                <w:rFonts w:cs="Arial"/>
              </w:rPr>
            </w:pPr>
          </w:p>
        </w:tc>
      </w:tr>
    </w:tbl>
    <w:p w14:paraId="0F6A9A34" w14:textId="77777777" w:rsidR="005B43CC" w:rsidRPr="005B5418" w:rsidRDefault="005B43CC" w:rsidP="003B61E9">
      <w:pPr>
        <w:spacing w:line="240" w:lineRule="auto"/>
        <w:rPr>
          <w:rFonts w:cs="Arial"/>
        </w:rPr>
      </w:pPr>
    </w:p>
    <w:p w14:paraId="07AA6954" w14:textId="77777777" w:rsidR="00BC1CB7" w:rsidRPr="005B5418" w:rsidRDefault="00BC1CB7">
      <w:pPr>
        <w:rPr>
          <w:rFonts w:cs="Arial"/>
        </w:rPr>
      </w:pPr>
      <w:r w:rsidRPr="005B5418">
        <w:rPr>
          <w:rFonts w:cs="Arial"/>
        </w:rPr>
        <w:br w:type="page"/>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5"/>
        <w:gridCol w:w="965"/>
        <w:gridCol w:w="3211"/>
      </w:tblGrid>
      <w:tr w:rsidR="00BC1CB7" w:rsidRPr="005B5418" w14:paraId="1160C8C2" w14:textId="77777777" w:rsidTr="001C22E3">
        <w:trPr>
          <w:tblHeader/>
        </w:trPr>
        <w:tc>
          <w:tcPr>
            <w:tcW w:w="5405" w:type="dxa"/>
          </w:tcPr>
          <w:p w14:paraId="2F9763FA" w14:textId="713C1A7B" w:rsidR="00BC1CB7" w:rsidRPr="005B5418" w:rsidRDefault="00BC1CB7" w:rsidP="008848DA">
            <w:pPr>
              <w:pStyle w:val="Heading4"/>
              <w:spacing w:before="60" w:after="60" w:line="240" w:lineRule="auto"/>
              <w:jc w:val="left"/>
              <w:rPr>
                <w:rFonts w:cstheme="majorHAnsi"/>
                <w:b/>
                <w:i/>
                <w:szCs w:val="24"/>
                <w:u w:val="none"/>
              </w:rPr>
            </w:pPr>
            <w:bookmarkStart w:id="139" w:name="_II.3.8.8_Direct_Loans_1"/>
            <w:bookmarkEnd w:id="139"/>
            <w:r w:rsidRPr="005B5418">
              <w:rPr>
                <w:rFonts w:cstheme="majorHAnsi"/>
                <w:b/>
                <w:szCs w:val="24"/>
                <w:u w:val="none"/>
              </w:rPr>
              <w:lastRenderedPageBreak/>
              <w:t>II.3.8.8 Loans</w:t>
            </w:r>
            <w:r w:rsidR="00E74F5A" w:rsidRPr="005B5418">
              <w:rPr>
                <w:rFonts w:cstheme="majorHAnsi"/>
                <w:b/>
                <w:szCs w:val="24"/>
                <w:u w:val="none"/>
              </w:rPr>
              <w:t xml:space="preserve"> Receivable, Net</w:t>
            </w:r>
            <w:r w:rsidRPr="005B5418">
              <w:rPr>
                <w:rFonts w:cstheme="majorHAnsi"/>
                <w:b/>
                <w:szCs w:val="24"/>
                <w:u w:val="none"/>
              </w:rPr>
              <w:t xml:space="preserve"> and Loan Guarantee </w:t>
            </w:r>
            <w:r w:rsidR="00E74F5A" w:rsidRPr="005B5418">
              <w:rPr>
                <w:rFonts w:cstheme="majorHAnsi"/>
                <w:b/>
                <w:szCs w:val="24"/>
                <w:u w:val="none"/>
              </w:rPr>
              <w:t xml:space="preserve">Liabilities </w:t>
            </w:r>
            <w:r w:rsidRPr="005B5418">
              <w:rPr>
                <w:rFonts w:cstheme="majorHAnsi"/>
                <w:b/>
                <w:szCs w:val="24"/>
                <w:u w:val="none"/>
              </w:rPr>
              <w:t xml:space="preserve">  </w:t>
            </w:r>
          </w:p>
        </w:tc>
        <w:tc>
          <w:tcPr>
            <w:tcW w:w="965" w:type="dxa"/>
          </w:tcPr>
          <w:p w14:paraId="5DE34AF4" w14:textId="77777777" w:rsidR="00BC1CB7" w:rsidRPr="005B5418" w:rsidRDefault="00BC1CB7" w:rsidP="008848DA">
            <w:pPr>
              <w:pStyle w:val="TableCellCenter"/>
              <w:spacing w:before="60" w:after="60"/>
              <w:jc w:val="left"/>
              <w:rPr>
                <w:szCs w:val="22"/>
              </w:rPr>
            </w:pPr>
            <w:r w:rsidRPr="005B5418">
              <w:rPr>
                <w:szCs w:val="22"/>
              </w:rPr>
              <w:t>Yes, No, or N/A</w:t>
            </w:r>
          </w:p>
        </w:tc>
        <w:tc>
          <w:tcPr>
            <w:tcW w:w="3211" w:type="dxa"/>
          </w:tcPr>
          <w:p w14:paraId="73BF6A60" w14:textId="6C887CFB" w:rsidR="00BC1CB7" w:rsidRPr="005B5418" w:rsidRDefault="00BC1CB7" w:rsidP="008848DA">
            <w:pPr>
              <w:pStyle w:val="TableCellCenter"/>
              <w:spacing w:before="60" w:after="60"/>
              <w:jc w:val="left"/>
              <w:rPr>
                <w:szCs w:val="22"/>
              </w:rPr>
            </w:pPr>
            <w:r w:rsidRPr="005B5418">
              <w:rPr>
                <w:szCs w:val="22"/>
              </w:rPr>
              <w:t xml:space="preserve">Explanation </w:t>
            </w:r>
            <w:r w:rsidR="004B11C1" w:rsidRPr="005B5418">
              <w:rPr>
                <w:szCs w:val="22"/>
              </w:rPr>
              <w:t xml:space="preserve">and </w:t>
            </w:r>
            <w:r w:rsidRPr="005B5418">
              <w:rPr>
                <w:szCs w:val="22"/>
              </w:rPr>
              <w:t>Reference</w:t>
            </w:r>
          </w:p>
        </w:tc>
      </w:tr>
      <w:tr w:rsidR="00BC1CB7" w:rsidRPr="005B5418" w14:paraId="7DFEB2C6" w14:textId="77777777" w:rsidTr="001C22E3">
        <w:tc>
          <w:tcPr>
            <w:tcW w:w="9581" w:type="dxa"/>
            <w:gridSpan w:val="3"/>
          </w:tcPr>
          <w:p w14:paraId="096BD547" w14:textId="6EF23C5A" w:rsidR="00BC1CB7" w:rsidRPr="005B5418" w:rsidRDefault="00BC1CB7" w:rsidP="006F5AAD">
            <w:pPr>
              <w:pStyle w:val="Table-Note"/>
              <w:spacing w:before="60" w:after="60" w:line="240" w:lineRule="auto"/>
              <w:ind w:left="-21"/>
              <w:jc w:val="left"/>
              <w:rPr>
                <w:rFonts w:cs="Arial"/>
                <w:i w:val="0"/>
                <w:sz w:val="22"/>
                <w:szCs w:val="22"/>
              </w:rPr>
            </w:pPr>
            <w:r w:rsidRPr="005B5418">
              <w:rPr>
                <w:rFonts w:cs="Arial"/>
                <w:i w:val="0"/>
                <w:sz w:val="22"/>
                <w:szCs w:val="22"/>
              </w:rPr>
              <w:t xml:space="preserve">The Federal Credit Reform Act </w:t>
            </w:r>
            <w:r w:rsidR="000B26DB" w:rsidRPr="005B5418">
              <w:rPr>
                <w:rFonts w:cs="Arial"/>
                <w:i w:val="0"/>
                <w:sz w:val="22"/>
                <w:szCs w:val="22"/>
              </w:rPr>
              <w:t xml:space="preserve">of 1990 </w:t>
            </w:r>
            <w:r w:rsidRPr="005B5418">
              <w:rPr>
                <w:rFonts w:cs="Arial"/>
                <w:i w:val="0"/>
                <w:sz w:val="22"/>
                <w:szCs w:val="22"/>
              </w:rPr>
              <w:t>divides direct loans and loan guarantees into two groups: (</w:t>
            </w:r>
            <w:r w:rsidR="00056524" w:rsidRPr="005B5418">
              <w:rPr>
                <w:rFonts w:cs="Arial"/>
                <w:i w:val="0"/>
                <w:sz w:val="22"/>
                <w:szCs w:val="22"/>
              </w:rPr>
              <w:t>1</w:t>
            </w:r>
            <w:r w:rsidRPr="005B5418">
              <w:rPr>
                <w:rFonts w:cs="Arial"/>
                <w:i w:val="0"/>
                <w:sz w:val="22"/>
                <w:szCs w:val="22"/>
              </w:rPr>
              <w:t xml:space="preserve">) </w:t>
            </w:r>
            <w:r w:rsidR="00056524" w:rsidRPr="005B5418">
              <w:rPr>
                <w:rFonts w:cs="Arial"/>
                <w:i w:val="0"/>
                <w:sz w:val="22"/>
                <w:szCs w:val="22"/>
              </w:rPr>
              <w:t>pre</w:t>
            </w:r>
            <w:r w:rsidRPr="005B5418">
              <w:rPr>
                <w:rFonts w:cs="Arial"/>
                <w:i w:val="0"/>
                <w:sz w:val="22"/>
                <w:szCs w:val="22"/>
              </w:rPr>
              <w:t>-1992 refers to the direct loan obligations or loan guarantees committed before October 1, 1991, and (</w:t>
            </w:r>
            <w:r w:rsidR="00056524" w:rsidRPr="005B5418">
              <w:rPr>
                <w:rFonts w:cs="Arial"/>
                <w:i w:val="0"/>
                <w:sz w:val="22"/>
                <w:szCs w:val="22"/>
              </w:rPr>
              <w:t>2</w:t>
            </w:r>
            <w:r w:rsidRPr="005B5418">
              <w:rPr>
                <w:rFonts w:cs="Arial"/>
                <w:i w:val="0"/>
                <w:sz w:val="22"/>
                <w:szCs w:val="22"/>
              </w:rPr>
              <w:t xml:space="preserve">) </w:t>
            </w:r>
            <w:r w:rsidR="00056524" w:rsidRPr="005B5418">
              <w:rPr>
                <w:rFonts w:cs="Arial"/>
                <w:i w:val="0"/>
                <w:sz w:val="22"/>
                <w:szCs w:val="22"/>
              </w:rPr>
              <w:t>post</w:t>
            </w:r>
            <w:r w:rsidRPr="005B5418">
              <w:rPr>
                <w:rFonts w:cs="Arial"/>
                <w:i w:val="0"/>
                <w:sz w:val="22"/>
                <w:szCs w:val="22"/>
              </w:rPr>
              <w:t>-1991 refers to the direct loan obligations or loan</w:t>
            </w:r>
            <w:r w:rsidR="00056524" w:rsidRPr="005B5418">
              <w:rPr>
                <w:rFonts w:cs="Arial"/>
                <w:i w:val="0"/>
                <w:sz w:val="22"/>
                <w:szCs w:val="22"/>
              </w:rPr>
              <w:t xml:space="preserve"> </w:t>
            </w:r>
            <w:r w:rsidRPr="005B5418">
              <w:rPr>
                <w:rFonts w:cs="Arial"/>
                <w:i w:val="0"/>
                <w:sz w:val="22"/>
                <w:szCs w:val="22"/>
              </w:rPr>
              <w:t>guarantee</w:t>
            </w:r>
            <w:r w:rsidR="00056524" w:rsidRPr="005B5418">
              <w:rPr>
                <w:rFonts w:cs="Arial"/>
                <w:i w:val="0"/>
                <w:sz w:val="22"/>
                <w:szCs w:val="22"/>
              </w:rPr>
              <w:t>s</w:t>
            </w:r>
            <w:r w:rsidRPr="005B5418">
              <w:rPr>
                <w:rFonts w:cs="Arial"/>
                <w:i w:val="0"/>
                <w:sz w:val="22"/>
                <w:szCs w:val="22"/>
              </w:rPr>
              <w:t xml:space="preserve"> committed after September 30, 1991</w:t>
            </w:r>
            <w:r w:rsidR="00056524" w:rsidRPr="005B5418">
              <w:rPr>
                <w:rFonts w:cs="Arial"/>
                <w:i w:val="0"/>
                <w:sz w:val="22"/>
                <w:szCs w:val="22"/>
              </w:rPr>
              <w:t>,</w:t>
            </w:r>
            <w:r w:rsidRPr="005B5418">
              <w:rPr>
                <w:rFonts w:cs="Arial"/>
                <w:i w:val="0"/>
                <w:sz w:val="22"/>
                <w:szCs w:val="22"/>
              </w:rPr>
              <w:t xml:space="preserve"> and the resulting direct loans or guarantees. </w:t>
            </w:r>
          </w:p>
          <w:p w14:paraId="490272E6" w14:textId="24ED1104" w:rsidR="00606CBE" w:rsidRPr="005B5418" w:rsidRDefault="00606CBE" w:rsidP="006F5AAD">
            <w:pPr>
              <w:pStyle w:val="Table-Note"/>
              <w:spacing w:before="60" w:after="60" w:line="240" w:lineRule="auto"/>
              <w:ind w:left="-21"/>
              <w:jc w:val="left"/>
              <w:rPr>
                <w:rFonts w:cs="Arial"/>
                <w:i w:val="0"/>
                <w:sz w:val="22"/>
                <w:szCs w:val="22"/>
              </w:rPr>
            </w:pPr>
            <w:r w:rsidRPr="005B5418">
              <w:rPr>
                <w:rFonts w:cs="Arial"/>
                <w:i w:val="0"/>
                <w:sz w:val="22"/>
                <w:szCs w:val="22"/>
              </w:rPr>
              <w:t>Pre-1992 direct loans and loan guarantees may be immaterial, in which case detailed information regarding pre-1992 activity need not be disclosed</w:t>
            </w:r>
            <w:r w:rsidR="00643402" w:rsidRPr="005B5418">
              <w:rPr>
                <w:rFonts w:cs="Arial"/>
                <w:i w:val="0"/>
                <w:sz w:val="22"/>
                <w:szCs w:val="22"/>
              </w:rPr>
              <w:t>. H</w:t>
            </w:r>
            <w:r w:rsidRPr="005B5418">
              <w:rPr>
                <w:rFonts w:cs="Arial"/>
                <w:i w:val="0"/>
                <w:sz w:val="22"/>
                <w:szCs w:val="22"/>
              </w:rPr>
              <w:t xml:space="preserve">owever, summarized information may be needed to be disclosed to show the composition of amounts reported on the </w:t>
            </w:r>
            <w:r w:rsidR="001B5C17" w:rsidRPr="005B5418">
              <w:rPr>
                <w:rFonts w:cs="Arial"/>
                <w:i w:val="0"/>
                <w:sz w:val="22"/>
                <w:szCs w:val="22"/>
              </w:rPr>
              <w:t>balance sheet</w:t>
            </w:r>
            <w:r w:rsidRPr="005B5418">
              <w:rPr>
                <w:rFonts w:cs="Arial"/>
                <w:i w:val="0"/>
                <w:sz w:val="22"/>
                <w:szCs w:val="22"/>
              </w:rPr>
              <w:t>. (A-136, section II.3.8.8)</w:t>
            </w:r>
          </w:p>
        </w:tc>
      </w:tr>
      <w:tr w:rsidR="00BC1CB7" w:rsidRPr="005B5418" w14:paraId="05D6999D" w14:textId="77777777" w:rsidTr="001C22E3">
        <w:trPr>
          <w:trHeight w:val="1214"/>
        </w:trPr>
        <w:tc>
          <w:tcPr>
            <w:tcW w:w="5405" w:type="dxa"/>
          </w:tcPr>
          <w:p w14:paraId="2F1D523D" w14:textId="6246C435" w:rsidR="00BC1CB7" w:rsidRPr="005B5418" w:rsidRDefault="00BC1CB7" w:rsidP="00825C76">
            <w:pPr>
              <w:pStyle w:val="FAM-Table-outline"/>
              <w:numPr>
                <w:ilvl w:val="0"/>
                <w:numId w:val="71"/>
              </w:numPr>
              <w:spacing w:line="240" w:lineRule="auto"/>
              <w:rPr>
                <w:rFonts w:eastAsia="Arial Unicode MS" w:cs="Arial"/>
              </w:rPr>
            </w:pPr>
            <w:r w:rsidRPr="005B5418">
              <w:rPr>
                <w:rFonts w:eastAsia="Arial Unicode MS" w:cs="Arial"/>
              </w:rPr>
              <w:t>Is this topic applicable to the entity’s financial statements? (Answer Y if applicable, N/A if not applicable, or N</w:t>
            </w:r>
            <w:r w:rsidR="00E81C43" w:rsidRPr="005B5418">
              <w:rPr>
                <w:rFonts w:eastAsia="Arial Unicode MS" w:cs="Arial"/>
              </w:rPr>
              <w:t>/</w:t>
            </w:r>
            <w:r w:rsidRPr="005B5418">
              <w:rPr>
                <w:rFonts w:eastAsia="Arial Unicode MS" w:cs="Arial"/>
              </w:rPr>
              <w:t>S if not significant. If N/A or N</w:t>
            </w:r>
            <w:r w:rsidR="00E81C43" w:rsidRPr="005B5418">
              <w:rPr>
                <w:rFonts w:eastAsia="Arial Unicode MS" w:cs="Arial"/>
              </w:rPr>
              <w:t>/</w:t>
            </w:r>
            <w:r w:rsidRPr="005B5418">
              <w:rPr>
                <w:rFonts w:eastAsia="Arial Unicode MS" w:cs="Arial"/>
              </w:rPr>
              <w:t>S, skip to the next topic</w:t>
            </w:r>
            <w:r w:rsidR="00672F24" w:rsidRPr="005B5418">
              <w:rPr>
                <w:rFonts w:eastAsia="Arial Unicode MS" w:cs="Arial"/>
              </w:rPr>
              <w:t>.</w:t>
            </w:r>
            <w:r w:rsidRPr="005B5418">
              <w:rPr>
                <w:rFonts w:eastAsia="Arial Unicode MS" w:cs="Arial"/>
              </w:rPr>
              <w:t>)</w:t>
            </w:r>
          </w:p>
        </w:tc>
        <w:tc>
          <w:tcPr>
            <w:tcW w:w="965" w:type="dxa"/>
          </w:tcPr>
          <w:p w14:paraId="12E8AED4" w14:textId="77777777" w:rsidR="00BC1CB7" w:rsidRPr="005B5418" w:rsidRDefault="00BC1CB7" w:rsidP="008848DA">
            <w:pPr>
              <w:pStyle w:val="Table-Cell-CenterBoldBefore6ptAfter6pt"/>
              <w:spacing w:before="60" w:after="60"/>
              <w:rPr>
                <w:rFonts w:cs="Arial"/>
              </w:rPr>
            </w:pPr>
          </w:p>
        </w:tc>
        <w:tc>
          <w:tcPr>
            <w:tcW w:w="3211" w:type="dxa"/>
          </w:tcPr>
          <w:p w14:paraId="0387A521" w14:textId="77777777" w:rsidR="00BC1CB7" w:rsidRPr="005B5418" w:rsidRDefault="00BC1CB7" w:rsidP="008848DA">
            <w:pPr>
              <w:spacing w:before="60" w:after="60" w:line="240" w:lineRule="auto"/>
              <w:rPr>
                <w:rFonts w:cs="Arial"/>
              </w:rPr>
            </w:pPr>
          </w:p>
        </w:tc>
      </w:tr>
      <w:tr w:rsidR="00BC1CB7" w:rsidRPr="005B5418" w14:paraId="05BCEAB8" w14:textId="77777777" w:rsidTr="001C22E3">
        <w:trPr>
          <w:cantSplit/>
          <w:trHeight w:val="422"/>
        </w:trPr>
        <w:tc>
          <w:tcPr>
            <w:tcW w:w="9581" w:type="dxa"/>
            <w:gridSpan w:val="3"/>
          </w:tcPr>
          <w:p w14:paraId="14CFDF79" w14:textId="2D451235" w:rsidR="00BC1CB7" w:rsidRPr="005B5418" w:rsidRDefault="00BC1CB7" w:rsidP="00697720">
            <w:pPr>
              <w:tabs>
                <w:tab w:val="left" w:pos="1891"/>
              </w:tabs>
              <w:spacing w:before="60" w:after="60" w:line="240" w:lineRule="auto"/>
              <w:rPr>
                <w:rFonts w:ascii="Arial" w:hAnsi="Arial" w:cs="Arial"/>
                <w:b/>
              </w:rPr>
            </w:pPr>
            <w:r w:rsidRPr="005B5418">
              <w:rPr>
                <w:rFonts w:ascii="Arial" w:hAnsi="Arial" w:cs="Arial"/>
                <w:b/>
              </w:rPr>
              <w:t>Accounting</w:t>
            </w:r>
            <w:r w:rsidR="00697720" w:rsidRPr="005B5418">
              <w:rPr>
                <w:rFonts w:ascii="Arial" w:hAnsi="Arial" w:cs="Arial"/>
                <w:b/>
              </w:rPr>
              <w:tab/>
            </w:r>
          </w:p>
        </w:tc>
      </w:tr>
      <w:tr w:rsidR="00BC1CB7" w:rsidRPr="005B5418" w14:paraId="03D25C5A" w14:textId="77777777" w:rsidTr="001C22E3">
        <w:trPr>
          <w:cantSplit/>
          <w:trHeight w:val="422"/>
        </w:trPr>
        <w:tc>
          <w:tcPr>
            <w:tcW w:w="9581" w:type="dxa"/>
            <w:gridSpan w:val="3"/>
          </w:tcPr>
          <w:p w14:paraId="3B854C71" w14:textId="77777777" w:rsidR="00BC1CB7" w:rsidRPr="005B5418" w:rsidRDefault="00BC1CB7" w:rsidP="008848DA">
            <w:pPr>
              <w:spacing w:before="60" w:after="60" w:line="240" w:lineRule="auto"/>
              <w:rPr>
                <w:rFonts w:ascii="Arial" w:hAnsi="Arial" w:cs="Arial"/>
                <w:i/>
              </w:rPr>
            </w:pPr>
            <w:r w:rsidRPr="005B5418">
              <w:rPr>
                <w:rFonts w:ascii="Arial" w:hAnsi="Arial" w:cs="Arial"/>
                <w:i/>
              </w:rPr>
              <w:t>Credit Program Receivables</w:t>
            </w:r>
          </w:p>
        </w:tc>
      </w:tr>
      <w:tr w:rsidR="00BC1CB7" w:rsidRPr="005B5418" w14:paraId="488E90E7" w14:textId="77777777" w:rsidTr="001C22E3">
        <w:trPr>
          <w:trHeight w:val="2160"/>
        </w:trPr>
        <w:tc>
          <w:tcPr>
            <w:tcW w:w="5405" w:type="dxa"/>
          </w:tcPr>
          <w:p w14:paraId="382D9F3E" w14:textId="77777777" w:rsidR="00BC1CB7" w:rsidRPr="005B5418" w:rsidRDefault="00BC1CB7" w:rsidP="00825C76">
            <w:pPr>
              <w:pStyle w:val="FAM-Table-outline"/>
              <w:numPr>
                <w:ilvl w:val="0"/>
                <w:numId w:val="71"/>
              </w:numPr>
              <w:rPr>
                <w:rFonts w:eastAsia="Arial Unicode MS" w:cs="Arial"/>
                <w:szCs w:val="22"/>
              </w:rPr>
            </w:pPr>
            <w:r w:rsidRPr="005B5418">
              <w:rPr>
                <w:rFonts w:eastAsia="Arial Unicode MS" w:cs="Arial"/>
                <w:szCs w:val="22"/>
              </w:rPr>
              <w:t>Is the net value of credit program receivables and related foreclosed property considered an entity asset if</w:t>
            </w:r>
          </w:p>
          <w:p w14:paraId="4942F05B" w14:textId="2DF57EC1"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entity has the authority to determine the use of the funds collected,</w:t>
            </w:r>
            <w:r w:rsidR="00A029D2" w:rsidRPr="005B5418">
              <w:rPr>
                <w:rFonts w:eastAsia="Arial Unicode MS" w:cs="Arial"/>
                <w:szCs w:val="22"/>
              </w:rPr>
              <w:t xml:space="preserve"> </w:t>
            </w:r>
            <w:r w:rsidRPr="005B5418">
              <w:rPr>
                <w:rFonts w:eastAsia="Arial Unicode MS" w:cs="Arial"/>
                <w:szCs w:val="22"/>
              </w:rPr>
              <w:t>or</w:t>
            </w:r>
          </w:p>
          <w:p w14:paraId="280B9CF1" w14:textId="7B2B801D" w:rsidR="00BC1CB7" w:rsidRPr="005B5418" w:rsidRDefault="00BC1CB7" w:rsidP="0047584E">
            <w:pPr>
              <w:pStyle w:val="FAM-Table-outline2"/>
              <w:tabs>
                <w:tab w:val="num" w:pos="576"/>
              </w:tabs>
              <w:spacing w:line="240" w:lineRule="auto"/>
              <w:ind w:left="1155" w:hanging="458"/>
              <w:rPr>
                <w:rFonts w:eastAsia="Arial Unicode MS"/>
                <w:szCs w:val="22"/>
              </w:rPr>
            </w:pPr>
            <w:r w:rsidRPr="005B5418">
              <w:rPr>
                <w:rFonts w:eastAsia="Arial Unicode MS" w:cs="Arial"/>
                <w:szCs w:val="22"/>
              </w:rPr>
              <w:t>the entity is obligated to use the funds to meet its entity obligations (e.g., loans payable to Treasury)?</w:t>
            </w:r>
            <w:r w:rsidRPr="005B5418">
              <w:rPr>
                <w:rFonts w:eastAsia="Arial Unicode MS"/>
                <w:szCs w:val="22"/>
              </w:rPr>
              <w:t xml:space="preserve"> (A-136, section II.3.2.3)</w:t>
            </w:r>
          </w:p>
        </w:tc>
        <w:tc>
          <w:tcPr>
            <w:tcW w:w="965" w:type="dxa"/>
          </w:tcPr>
          <w:p w14:paraId="609080C5" w14:textId="77777777" w:rsidR="00BC1CB7" w:rsidRPr="005B5418" w:rsidRDefault="00BC1CB7" w:rsidP="008848DA">
            <w:pPr>
              <w:pStyle w:val="Table-Cell-CenterBoldBefore6ptAfter6pt"/>
              <w:spacing w:before="60" w:after="60"/>
              <w:rPr>
                <w:rFonts w:cs="Arial"/>
              </w:rPr>
            </w:pPr>
          </w:p>
        </w:tc>
        <w:tc>
          <w:tcPr>
            <w:tcW w:w="3211" w:type="dxa"/>
          </w:tcPr>
          <w:p w14:paraId="22A900C0" w14:textId="77777777" w:rsidR="00BC1CB7" w:rsidRPr="005B5418" w:rsidRDefault="00BC1CB7" w:rsidP="008848DA">
            <w:pPr>
              <w:spacing w:before="60" w:after="60" w:line="240" w:lineRule="auto"/>
              <w:rPr>
                <w:rFonts w:cs="Arial"/>
              </w:rPr>
            </w:pPr>
          </w:p>
        </w:tc>
      </w:tr>
      <w:tr w:rsidR="00BC1CB7" w:rsidRPr="005B5418" w14:paraId="123575A8" w14:textId="77777777" w:rsidTr="001C22E3">
        <w:trPr>
          <w:trHeight w:val="1871"/>
        </w:trPr>
        <w:tc>
          <w:tcPr>
            <w:tcW w:w="5405" w:type="dxa"/>
          </w:tcPr>
          <w:p w14:paraId="2059CEE1" w14:textId="6BF5BFE6" w:rsidR="00BC1CB7" w:rsidRPr="005B5418" w:rsidRDefault="00BC1CB7" w:rsidP="008848DA">
            <w:pPr>
              <w:pStyle w:val="FAM-Table-outline"/>
              <w:spacing w:line="240" w:lineRule="auto"/>
              <w:rPr>
                <w:rFonts w:cs="Arial"/>
              </w:rPr>
            </w:pPr>
            <w:r w:rsidRPr="005B5418">
              <w:rPr>
                <w:rFonts w:eastAsia="Arial Unicode MS"/>
              </w:rPr>
              <w:t>If a loan guarantee program is generating a negative subsidy and the lender has not disbursed the loan as of the balance sheet date, does the entity include this amount as part of total undelivered orders</w:t>
            </w:r>
            <w:r w:rsidR="00CE251B" w:rsidRPr="005B5418">
              <w:rPr>
                <w:rFonts w:eastAsia="Arial Unicode MS"/>
              </w:rPr>
              <w:t>, which is recorded to obligate the funds and the borrowing authority or unobligated balances to support the undelivered order</w:t>
            </w:r>
            <w:r w:rsidRPr="005B5418">
              <w:rPr>
                <w:rFonts w:eastAsia="Arial Unicode MS"/>
              </w:rPr>
              <w:t>?</w:t>
            </w:r>
            <w:r w:rsidRPr="005B5418">
              <w:rPr>
                <w:rStyle w:val="FootnoteReference"/>
                <w:rFonts w:eastAsia="Arial Unicode MS" w:cs="Arial"/>
                <w:szCs w:val="22"/>
              </w:rPr>
              <w:footnoteReference w:id="88"/>
            </w:r>
            <w:r w:rsidRPr="005B5418">
              <w:rPr>
                <w:rFonts w:eastAsia="Arial Unicode MS"/>
              </w:rPr>
              <w:t xml:space="preserve"> (A-136, section II.3.2.3) </w:t>
            </w:r>
          </w:p>
        </w:tc>
        <w:tc>
          <w:tcPr>
            <w:tcW w:w="965" w:type="dxa"/>
          </w:tcPr>
          <w:p w14:paraId="306242DD" w14:textId="77777777" w:rsidR="00BC1CB7" w:rsidRPr="005B5418" w:rsidRDefault="00BC1CB7" w:rsidP="008848DA">
            <w:pPr>
              <w:pStyle w:val="Table-Cell-CenterBoldBefore6ptAfter6pt"/>
              <w:spacing w:before="60" w:after="60"/>
              <w:rPr>
                <w:rFonts w:cs="Arial"/>
              </w:rPr>
            </w:pPr>
          </w:p>
        </w:tc>
        <w:tc>
          <w:tcPr>
            <w:tcW w:w="3211" w:type="dxa"/>
          </w:tcPr>
          <w:p w14:paraId="44ABE9CF" w14:textId="77777777" w:rsidR="00BC1CB7" w:rsidRPr="005B5418" w:rsidRDefault="00BC1CB7" w:rsidP="008848DA">
            <w:pPr>
              <w:spacing w:before="60" w:after="60" w:line="240" w:lineRule="auto"/>
              <w:rPr>
                <w:rFonts w:cs="Arial"/>
              </w:rPr>
            </w:pPr>
          </w:p>
        </w:tc>
      </w:tr>
      <w:tr w:rsidR="00BC1CB7" w:rsidRPr="005B5418" w14:paraId="24FB2FB8" w14:textId="77777777" w:rsidTr="001C22E3">
        <w:trPr>
          <w:cantSplit/>
          <w:trHeight w:val="422"/>
        </w:trPr>
        <w:tc>
          <w:tcPr>
            <w:tcW w:w="9581" w:type="dxa"/>
            <w:gridSpan w:val="3"/>
          </w:tcPr>
          <w:p w14:paraId="27EF5E23" w14:textId="1BF3EED0" w:rsidR="00BC1CB7" w:rsidRPr="005B5418" w:rsidRDefault="00BC1CB7" w:rsidP="008848DA">
            <w:pPr>
              <w:spacing w:before="60" w:after="60" w:line="240" w:lineRule="auto"/>
              <w:rPr>
                <w:rFonts w:ascii="Arial" w:hAnsi="Arial" w:cs="Arial"/>
              </w:rPr>
            </w:pPr>
            <w:r w:rsidRPr="005B5418">
              <w:rPr>
                <w:rFonts w:ascii="Arial" w:hAnsi="Arial" w:cs="Arial"/>
              </w:rPr>
              <w:t>For post-1991 direct loans and guarantees, a subsidy expense is recognized in the year they are disbursed. For pre-1992 direct loans and guarantees, disclosure of a loss and liability is not recognized until it is more likely than not that a loan (either direct or guaranteed) will go into default. (SFFAS 2, par</w:t>
            </w:r>
            <w:r w:rsidR="003E3B8D" w:rsidRPr="005B5418">
              <w:rPr>
                <w:rFonts w:ascii="Arial" w:hAnsi="Arial" w:cs="Arial"/>
              </w:rPr>
              <w:t>as</w:t>
            </w:r>
            <w:r w:rsidRPr="005B5418">
              <w:rPr>
                <w:rFonts w:ascii="Arial" w:hAnsi="Arial" w:cs="Arial"/>
              </w:rPr>
              <w:t xml:space="preserve">. 24 </w:t>
            </w:r>
            <w:r w:rsidR="003E3B8D" w:rsidRPr="005B5418">
              <w:rPr>
                <w:rFonts w:ascii="Arial" w:hAnsi="Arial" w:cs="Arial"/>
              </w:rPr>
              <w:t xml:space="preserve">and </w:t>
            </w:r>
            <w:r w:rsidRPr="005B5418">
              <w:rPr>
                <w:rFonts w:ascii="Arial" w:hAnsi="Arial" w:cs="Arial"/>
              </w:rPr>
              <w:t>39)</w:t>
            </w:r>
          </w:p>
        </w:tc>
      </w:tr>
      <w:tr w:rsidR="00BC1CB7" w:rsidRPr="005B5418" w14:paraId="2FF6EF91" w14:textId="77777777" w:rsidTr="001C22E3">
        <w:trPr>
          <w:trHeight w:val="1781"/>
        </w:trPr>
        <w:tc>
          <w:tcPr>
            <w:tcW w:w="5405" w:type="dxa"/>
          </w:tcPr>
          <w:p w14:paraId="536278DD" w14:textId="3AE0BA1C"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lastRenderedPageBreak/>
              <w:t xml:space="preserve">Are post-1991 direct loans disbursed and outstanding recognized as assets at the present value (discounted </w:t>
            </w:r>
            <w:r w:rsidR="00BB7718" w:rsidRPr="005B5418">
              <w:rPr>
                <w:rFonts w:eastAsia="Arial Unicode MS"/>
              </w:rPr>
              <w:t>with a similar maturity to the cash flows of the direct loan or loan guarantee for which the estimate is being made</w:t>
            </w:r>
            <w:r w:rsidRPr="005B5418">
              <w:rPr>
                <w:rFonts w:eastAsia="Arial Unicode MS"/>
              </w:rPr>
              <w:t>) of their estimated net cash inflows? (SFFAS 2, par</w:t>
            </w:r>
            <w:r w:rsidR="00E47D83" w:rsidRPr="005B5418">
              <w:rPr>
                <w:rFonts w:eastAsia="Arial Unicode MS"/>
              </w:rPr>
              <w:t>a</w:t>
            </w:r>
            <w:r w:rsidRPr="005B5418">
              <w:rPr>
                <w:rFonts w:eastAsia="Arial Unicode MS"/>
              </w:rPr>
              <w:t>. 22 and app.</w:t>
            </w:r>
            <w:r w:rsidR="004709AB" w:rsidRPr="005B5418">
              <w:rPr>
                <w:rFonts w:eastAsia="Arial Unicode MS"/>
              </w:rPr>
              <w:t xml:space="preserve"> </w:t>
            </w:r>
            <w:r w:rsidRPr="005B5418">
              <w:rPr>
                <w:rFonts w:eastAsia="Arial Unicode MS"/>
              </w:rPr>
              <w:t>B, part I.A)</w:t>
            </w:r>
          </w:p>
        </w:tc>
        <w:tc>
          <w:tcPr>
            <w:tcW w:w="965" w:type="dxa"/>
          </w:tcPr>
          <w:p w14:paraId="03C39A05" w14:textId="77777777" w:rsidR="00BC1CB7" w:rsidRPr="005B5418" w:rsidRDefault="00BC1CB7" w:rsidP="008848DA">
            <w:pPr>
              <w:pStyle w:val="Table-Cell-CenterBoldBefore6ptAfter6pt"/>
              <w:spacing w:before="60" w:after="60"/>
              <w:rPr>
                <w:rFonts w:cs="Arial"/>
              </w:rPr>
            </w:pPr>
          </w:p>
        </w:tc>
        <w:tc>
          <w:tcPr>
            <w:tcW w:w="3211" w:type="dxa"/>
          </w:tcPr>
          <w:p w14:paraId="01F85C3B" w14:textId="77777777" w:rsidR="00BC1CB7" w:rsidRPr="005B5418" w:rsidRDefault="00BC1CB7" w:rsidP="008848DA">
            <w:pPr>
              <w:spacing w:before="60" w:after="60" w:line="240" w:lineRule="auto"/>
              <w:rPr>
                <w:rFonts w:cs="Arial"/>
              </w:rPr>
            </w:pPr>
          </w:p>
        </w:tc>
      </w:tr>
      <w:tr w:rsidR="00BC1CB7" w:rsidRPr="005B5418" w14:paraId="04CA2C32" w14:textId="77777777" w:rsidTr="001C22E3">
        <w:trPr>
          <w:trHeight w:val="1565"/>
        </w:trPr>
        <w:tc>
          <w:tcPr>
            <w:tcW w:w="5405" w:type="dxa"/>
          </w:tcPr>
          <w:p w14:paraId="2F5166FE" w14:textId="2BC65439"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Is the difference between the outstanding principal of post-1991 direct loans and the present value of their net cash inflows recognized as a subsidy cost allowance? (SFFAS 2, par</w:t>
            </w:r>
            <w:r w:rsidR="00E47D83" w:rsidRPr="005B5418">
              <w:rPr>
                <w:rFonts w:eastAsia="Arial Unicode MS"/>
              </w:rPr>
              <w:t>a</w:t>
            </w:r>
            <w:r w:rsidRPr="005B5418">
              <w:rPr>
                <w:rFonts w:eastAsia="Arial Unicode MS"/>
              </w:rPr>
              <w:t>. 22 and app.</w:t>
            </w:r>
            <w:r w:rsidR="004709AB" w:rsidRPr="005B5418">
              <w:rPr>
                <w:rFonts w:eastAsia="Arial Unicode MS"/>
              </w:rPr>
              <w:t xml:space="preserve"> </w:t>
            </w:r>
            <w:r w:rsidRPr="005B5418">
              <w:rPr>
                <w:rFonts w:eastAsia="Arial Unicode MS"/>
              </w:rPr>
              <w:t>B, part I.A)</w:t>
            </w:r>
          </w:p>
        </w:tc>
        <w:tc>
          <w:tcPr>
            <w:tcW w:w="965" w:type="dxa"/>
          </w:tcPr>
          <w:p w14:paraId="60E8FC88" w14:textId="77777777" w:rsidR="00BC1CB7" w:rsidRPr="005B5418" w:rsidRDefault="00BC1CB7" w:rsidP="008848DA">
            <w:pPr>
              <w:pStyle w:val="Table-Cell-CenterBoldBefore6ptAfter6pt"/>
              <w:spacing w:before="60" w:after="60"/>
              <w:rPr>
                <w:rFonts w:cs="Arial"/>
              </w:rPr>
            </w:pPr>
          </w:p>
        </w:tc>
        <w:tc>
          <w:tcPr>
            <w:tcW w:w="3211" w:type="dxa"/>
          </w:tcPr>
          <w:p w14:paraId="652CDA93" w14:textId="77777777" w:rsidR="00BC1CB7" w:rsidRPr="005B5418" w:rsidRDefault="00BC1CB7" w:rsidP="008848DA">
            <w:pPr>
              <w:spacing w:before="60" w:after="60" w:line="240" w:lineRule="auto"/>
              <w:rPr>
                <w:rFonts w:cs="Arial"/>
              </w:rPr>
            </w:pPr>
          </w:p>
        </w:tc>
      </w:tr>
      <w:tr w:rsidR="00BC1CB7" w:rsidRPr="005B5418" w14:paraId="4D041C31" w14:textId="77777777" w:rsidTr="001C22E3">
        <w:trPr>
          <w:trHeight w:val="1385"/>
        </w:trPr>
        <w:tc>
          <w:tcPr>
            <w:tcW w:w="5405" w:type="dxa"/>
          </w:tcPr>
          <w:p w14:paraId="5B0E3821" w14:textId="625AE8CE"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When post-1991 direct loans are written off, is the unpaid principal removed from unpaid loans receivable and charged against the allowance for subsidy costs? (SFFAS 2, par</w:t>
            </w:r>
            <w:r w:rsidR="00E47D83" w:rsidRPr="005B5418">
              <w:rPr>
                <w:rFonts w:eastAsia="Arial Unicode MS"/>
              </w:rPr>
              <w:t>a</w:t>
            </w:r>
            <w:r w:rsidRPr="005B5418">
              <w:rPr>
                <w:rFonts w:eastAsia="Arial Unicode MS"/>
              </w:rPr>
              <w:t>. 61)</w:t>
            </w:r>
          </w:p>
        </w:tc>
        <w:tc>
          <w:tcPr>
            <w:tcW w:w="965" w:type="dxa"/>
          </w:tcPr>
          <w:p w14:paraId="4B8C2C25" w14:textId="77777777" w:rsidR="00BC1CB7" w:rsidRPr="005B5418" w:rsidRDefault="00BC1CB7" w:rsidP="008848DA">
            <w:pPr>
              <w:pStyle w:val="Table-Cell-CenterBoldBefore6ptAfter6pt"/>
              <w:spacing w:before="60" w:after="60"/>
              <w:rPr>
                <w:rFonts w:cs="Arial"/>
              </w:rPr>
            </w:pPr>
          </w:p>
        </w:tc>
        <w:tc>
          <w:tcPr>
            <w:tcW w:w="3211" w:type="dxa"/>
          </w:tcPr>
          <w:p w14:paraId="5B865F55" w14:textId="77777777" w:rsidR="00BC1CB7" w:rsidRPr="005B5418" w:rsidRDefault="00BC1CB7" w:rsidP="008848DA">
            <w:pPr>
              <w:spacing w:before="60" w:after="60" w:line="240" w:lineRule="auto"/>
              <w:rPr>
                <w:rFonts w:cs="Arial"/>
              </w:rPr>
            </w:pPr>
          </w:p>
        </w:tc>
      </w:tr>
      <w:tr w:rsidR="00BC1CB7" w:rsidRPr="005B5418" w14:paraId="54C21918" w14:textId="77777777" w:rsidTr="001C22E3">
        <w:trPr>
          <w:trHeight w:val="1394"/>
        </w:trPr>
        <w:tc>
          <w:tcPr>
            <w:tcW w:w="5405" w:type="dxa"/>
          </w:tcPr>
          <w:p w14:paraId="31BA5540" w14:textId="05A3D60B"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 xml:space="preserve">Are losses of pre-1992 direct loans recognized (and a corresponding allowance amount set up) when it is more likely than not that the direct loans </w:t>
            </w:r>
            <w:r w:rsidR="00E47D83" w:rsidRPr="005B5418">
              <w:rPr>
                <w:rFonts w:eastAsia="Arial Unicode MS"/>
              </w:rPr>
              <w:t xml:space="preserve">will </w:t>
            </w:r>
            <w:r w:rsidRPr="005B5418">
              <w:rPr>
                <w:rFonts w:eastAsia="Arial Unicode MS"/>
              </w:rPr>
              <w:t>not be totally collected? (SFFAS 2, par</w:t>
            </w:r>
            <w:r w:rsidR="00E47D83" w:rsidRPr="005B5418">
              <w:rPr>
                <w:rFonts w:eastAsia="Arial Unicode MS"/>
              </w:rPr>
              <w:t>a</w:t>
            </w:r>
            <w:r w:rsidRPr="005B5418">
              <w:rPr>
                <w:rFonts w:eastAsia="Arial Unicode MS"/>
              </w:rPr>
              <w:t>. 39 and app.</w:t>
            </w:r>
            <w:r w:rsidR="004709AB" w:rsidRPr="005B5418">
              <w:rPr>
                <w:rFonts w:eastAsia="Arial Unicode MS"/>
              </w:rPr>
              <w:t xml:space="preserve"> </w:t>
            </w:r>
            <w:r w:rsidRPr="005B5418">
              <w:rPr>
                <w:rFonts w:eastAsia="Arial Unicode MS"/>
              </w:rPr>
              <w:t>B, part II.A)</w:t>
            </w:r>
          </w:p>
        </w:tc>
        <w:tc>
          <w:tcPr>
            <w:tcW w:w="965" w:type="dxa"/>
          </w:tcPr>
          <w:p w14:paraId="54653CBC" w14:textId="77777777" w:rsidR="00BC1CB7" w:rsidRPr="005B5418" w:rsidRDefault="00BC1CB7" w:rsidP="008848DA">
            <w:pPr>
              <w:pStyle w:val="Table-Cell-CenterBoldBefore6ptAfter6pt"/>
              <w:spacing w:before="60" w:after="60"/>
              <w:rPr>
                <w:rFonts w:cs="Arial"/>
              </w:rPr>
            </w:pPr>
          </w:p>
        </w:tc>
        <w:tc>
          <w:tcPr>
            <w:tcW w:w="3211" w:type="dxa"/>
          </w:tcPr>
          <w:p w14:paraId="4AD7D2E3" w14:textId="77777777" w:rsidR="00BC1CB7" w:rsidRPr="005B5418" w:rsidRDefault="00BC1CB7" w:rsidP="008848DA">
            <w:pPr>
              <w:spacing w:before="60" w:after="60" w:line="240" w:lineRule="auto"/>
              <w:rPr>
                <w:rFonts w:cs="Arial"/>
              </w:rPr>
            </w:pPr>
          </w:p>
        </w:tc>
      </w:tr>
      <w:tr w:rsidR="00BC1CB7" w:rsidRPr="005B5418" w14:paraId="3043D079" w14:textId="77777777" w:rsidTr="001C22E3">
        <w:trPr>
          <w:trHeight w:val="872"/>
        </w:trPr>
        <w:tc>
          <w:tcPr>
            <w:tcW w:w="5405" w:type="dxa"/>
          </w:tcPr>
          <w:p w14:paraId="35498443" w14:textId="1E92707C"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Are allowances for uncollectible pre-1992 loans reestimated each year? (SFFAS 2, par</w:t>
            </w:r>
            <w:r w:rsidR="00E47D83" w:rsidRPr="005B5418">
              <w:rPr>
                <w:rFonts w:eastAsia="Arial Unicode MS"/>
              </w:rPr>
              <w:t>a</w:t>
            </w:r>
            <w:r w:rsidRPr="005B5418">
              <w:rPr>
                <w:rFonts w:eastAsia="Arial Unicode MS"/>
              </w:rPr>
              <w:t>. 39)</w:t>
            </w:r>
          </w:p>
        </w:tc>
        <w:tc>
          <w:tcPr>
            <w:tcW w:w="965" w:type="dxa"/>
          </w:tcPr>
          <w:p w14:paraId="6063D04F" w14:textId="77777777" w:rsidR="00BC1CB7" w:rsidRPr="005B5418" w:rsidRDefault="00BC1CB7" w:rsidP="008848DA">
            <w:pPr>
              <w:pStyle w:val="Table-Cell-CenterBoldBefore6ptAfter6pt"/>
              <w:spacing w:before="60" w:after="60"/>
              <w:rPr>
                <w:rFonts w:cs="Arial"/>
              </w:rPr>
            </w:pPr>
          </w:p>
        </w:tc>
        <w:tc>
          <w:tcPr>
            <w:tcW w:w="3211" w:type="dxa"/>
          </w:tcPr>
          <w:p w14:paraId="703B5BF6" w14:textId="77777777" w:rsidR="00BC1CB7" w:rsidRPr="005B5418" w:rsidRDefault="00BC1CB7" w:rsidP="008848DA">
            <w:pPr>
              <w:spacing w:before="60" w:after="60" w:line="240" w:lineRule="auto"/>
              <w:rPr>
                <w:rFonts w:cs="Arial"/>
              </w:rPr>
            </w:pPr>
          </w:p>
        </w:tc>
      </w:tr>
      <w:tr w:rsidR="00BC1CB7" w:rsidRPr="005B5418" w14:paraId="319BB485" w14:textId="77777777" w:rsidTr="001C22E3">
        <w:trPr>
          <w:cantSplit/>
          <w:trHeight w:val="422"/>
        </w:trPr>
        <w:tc>
          <w:tcPr>
            <w:tcW w:w="9581" w:type="dxa"/>
            <w:gridSpan w:val="3"/>
          </w:tcPr>
          <w:p w14:paraId="34A17F36" w14:textId="2A3B1E23" w:rsidR="00BC1CB7" w:rsidRPr="005B5418" w:rsidRDefault="00BC1CB7" w:rsidP="008848DA">
            <w:pPr>
              <w:spacing w:before="60" w:after="60" w:line="240" w:lineRule="auto"/>
              <w:rPr>
                <w:rFonts w:ascii="Arial" w:hAnsi="Arial" w:cs="Arial"/>
              </w:rPr>
            </w:pPr>
            <w:r w:rsidRPr="005B5418">
              <w:rPr>
                <w:rFonts w:ascii="Arial" w:hAnsi="Arial" w:cs="Arial"/>
              </w:rPr>
              <w:lastRenderedPageBreak/>
              <w:t>The term modification, as it applies to direct loans and loan guarantees, means a federal government action, including new legislation or administrative action that directly or indirectly alters the estimated subsidy cost and the present value of outstanding direct loans, or the liability of loan guarantees. The cost of the modification is the excess of the premodification value of a direct loan (or postmodification liability of loan guarantees) over the postmodification value of a direct loan (or premodification liability of loan guarantees), both of which have been discounted at the Treasury rate in effect when the modification occurred. (SFFAS 2, par</w:t>
            </w:r>
            <w:r w:rsidR="00027C63" w:rsidRPr="005B5418">
              <w:rPr>
                <w:rFonts w:ascii="Arial" w:hAnsi="Arial" w:cs="Arial"/>
              </w:rPr>
              <w:t>a</w:t>
            </w:r>
            <w:r w:rsidRPr="005B5418">
              <w:rPr>
                <w:rFonts w:ascii="Arial" w:hAnsi="Arial" w:cs="Arial"/>
              </w:rPr>
              <w:t>. 41; SFFAS 2, par</w:t>
            </w:r>
            <w:r w:rsidR="00027C63" w:rsidRPr="005B5418">
              <w:rPr>
                <w:rFonts w:ascii="Arial" w:hAnsi="Arial" w:cs="Arial"/>
              </w:rPr>
              <w:t>a</w:t>
            </w:r>
            <w:r w:rsidRPr="005B5418">
              <w:rPr>
                <w:rFonts w:ascii="Arial" w:hAnsi="Arial" w:cs="Arial"/>
              </w:rPr>
              <w:t xml:space="preserve">. 45, </w:t>
            </w:r>
            <w:r w:rsidR="00027C63" w:rsidRPr="005B5418">
              <w:rPr>
                <w:rFonts w:ascii="Arial" w:hAnsi="Arial" w:cs="Arial"/>
              </w:rPr>
              <w:t xml:space="preserve">fns </w:t>
            </w:r>
            <w:r w:rsidRPr="005B5418">
              <w:rPr>
                <w:rFonts w:ascii="Arial" w:hAnsi="Arial" w:cs="Arial"/>
              </w:rPr>
              <w:t>3 and 4, and par</w:t>
            </w:r>
            <w:r w:rsidR="00027C63" w:rsidRPr="005B5418">
              <w:rPr>
                <w:rFonts w:ascii="Arial" w:hAnsi="Arial" w:cs="Arial"/>
              </w:rPr>
              <w:t>a</w:t>
            </w:r>
            <w:r w:rsidRPr="005B5418">
              <w:rPr>
                <w:rFonts w:ascii="Arial" w:hAnsi="Arial" w:cs="Arial"/>
              </w:rPr>
              <w:t xml:space="preserve">. 49, </w:t>
            </w:r>
            <w:r w:rsidR="00027C63" w:rsidRPr="005B5418">
              <w:rPr>
                <w:rFonts w:ascii="Arial" w:hAnsi="Arial" w:cs="Arial"/>
              </w:rPr>
              <w:t xml:space="preserve">fns </w:t>
            </w:r>
            <w:r w:rsidRPr="005B5418">
              <w:rPr>
                <w:rFonts w:ascii="Arial" w:hAnsi="Arial" w:cs="Arial"/>
              </w:rPr>
              <w:t xml:space="preserve">6 and 7;) </w:t>
            </w:r>
          </w:p>
          <w:p w14:paraId="3299F882" w14:textId="50F620B7" w:rsidR="00BC1CB7" w:rsidRPr="005B5418" w:rsidRDefault="00BC1CB7" w:rsidP="008848DA">
            <w:pPr>
              <w:spacing w:before="60" w:after="60" w:line="240" w:lineRule="auto"/>
              <w:rPr>
                <w:rFonts w:ascii="Arial" w:hAnsi="Arial" w:cs="Arial"/>
              </w:rPr>
            </w:pPr>
            <w:r w:rsidRPr="005B5418">
              <w:rPr>
                <w:rFonts w:ascii="Arial" w:hAnsi="Arial" w:cs="Arial"/>
              </w:rPr>
              <w:t>The book value of the loan or guarantee is discounted at the Treasury rate originally used to calculate the present value of the direct loan or loan guarantee liability when the loan was originally disbursed. (SFFAS 2, par</w:t>
            </w:r>
            <w:r w:rsidR="00F16F42" w:rsidRPr="005B5418">
              <w:rPr>
                <w:rFonts w:ascii="Arial" w:hAnsi="Arial" w:cs="Arial"/>
              </w:rPr>
              <w:t>as</w:t>
            </w:r>
            <w:r w:rsidRPr="005B5418">
              <w:rPr>
                <w:rFonts w:ascii="Arial" w:hAnsi="Arial" w:cs="Arial"/>
              </w:rPr>
              <w:t>. 48</w:t>
            </w:r>
            <w:r w:rsidR="00F16F42" w:rsidRPr="005B5418">
              <w:rPr>
                <w:rFonts w:ascii="Arial" w:hAnsi="Arial" w:cs="Arial"/>
              </w:rPr>
              <w:t xml:space="preserve"> and </w:t>
            </w:r>
            <w:r w:rsidRPr="005B5418">
              <w:rPr>
                <w:rFonts w:ascii="Arial" w:hAnsi="Arial" w:cs="Arial"/>
              </w:rPr>
              <w:t>50</w:t>
            </w:r>
            <w:r w:rsidR="006A7016" w:rsidRPr="005B5418">
              <w:rPr>
                <w:rFonts w:ascii="Arial" w:hAnsi="Arial" w:cs="Arial"/>
              </w:rPr>
              <w:t xml:space="preserve"> and</w:t>
            </w:r>
            <w:r w:rsidRPr="005B5418">
              <w:rPr>
                <w:rFonts w:ascii="Arial" w:hAnsi="Arial" w:cs="Arial"/>
              </w:rPr>
              <w:t xml:space="preserve"> app. B</w:t>
            </w:r>
            <w:r w:rsidR="00F16F42" w:rsidRPr="005B5418">
              <w:rPr>
                <w:rFonts w:ascii="Arial" w:hAnsi="Arial" w:cs="Arial"/>
              </w:rPr>
              <w:t>,</w:t>
            </w:r>
            <w:r w:rsidRPr="005B5418">
              <w:rPr>
                <w:rFonts w:ascii="Arial" w:hAnsi="Arial" w:cs="Arial"/>
              </w:rPr>
              <w:t xml:space="preserve"> parts I D (4 and 5), II B (4), III B (4), and IV B (4)) </w:t>
            </w:r>
          </w:p>
          <w:p w14:paraId="57DF6E6A" w14:textId="2AB38D9B" w:rsidR="00BC1CB7" w:rsidRPr="005B5418" w:rsidRDefault="00BC1CB7" w:rsidP="008848DA">
            <w:pPr>
              <w:spacing w:before="60" w:after="60" w:line="240" w:lineRule="auto"/>
              <w:rPr>
                <w:rFonts w:ascii="Arial" w:hAnsi="Arial" w:cs="Arial"/>
              </w:rPr>
            </w:pPr>
            <w:r w:rsidRPr="005B5418">
              <w:rPr>
                <w:rFonts w:ascii="Arial" w:hAnsi="Arial" w:cs="Arial"/>
              </w:rPr>
              <w:t>The sale of post-1991 and pre-1992 direct loans is treated as a direct modification of the loans sold if the sale proceeds were not included in the cash flow estimates for the initial subsidy calculation. The cost of modification is determined on the basis of the premodification value of the loans sold. However, if sale proceeds were included in the cash flow estimates for the initial subsidy calculation, the effect of the loan sale on the cost of the program is recognized in the reestimates. (SFFAS 2, par</w:t>
            </w:r>
            <w:r w:rsidR="00EE4622" w:rsidRPr="005B5418">
              <w:rPr>
                <w:rFonts w:ascii="Arial" w:hAnsi="Arial" w:cs="Arial"/>
              </w:rPr>
              <w:t>a</w:t>
            </w:r>
            <w:r w:rsidRPr="005B5418">
              <w:rPr>
                <w:rFonts w:ascii="Arial" w:hAnsi="Arial" w:cs="Arial"/>
              </w:rPr>
              <w:t>. 53</w:t>
            </w:r>
            <w:r w:rsidR="006A7016" w:rsidRPr="005B5418">
              <w:rPr>
                <w:rFonts w:ascii="Arial" w:hAnsi="Arial" w:cs="Arial"/>
              </w:rPr>
              <w:t xml:space="preserve"> and</w:t>
            </w:r>
            <w:r w:rsidRPr="005B5418">
              <w:rPr>
                <w:rFonts w:ascii="Arial" w:hAnsi="Arial" w:cs="Arial"/>
              </w:rPr>
              <w:t xml:space="preserve"> </w:t>
            </w:r>
            <w:r w:rsidR="006A7016" w:rsidRPr="005B5418">
              <w:rPr>
                <w:rFonts w:ascii="Arial" w:hAnsi="Arial" w:cs="Arial"/>
              </w:rPr>
              <w:t>a</w:t>
            </w:r>
            <w:r w:rsidRPr="005B5418">
              <w:rPr>
                <w:rFonts w:ascii="Arial" w:hAnsi="Arial" w:cs="Arial"/>
              </w:rPr>
              <w:t>pp. B</w:t>
            </w:r>
            <w:r w:rsidR="00EE4622" w:rsidRPr="005B5418">
              <w:rPr>
                <w:rFonts w:ascii="Arial" w:hAnsi="Arial" w:cs="Arial"/>
              </w:rPr>
              <w:t>,</w:t>
            </w:r>
            <w:r w:rsidRPr="005B5418">
              <w:rPr>
                <w:rFonts w:ascii="Arial" w:hAnsi="Arial" w:cs="Arial"/>
              </w:rPr>
              <w:t xml:space="preserve"> par</w:t>
            </w:r>
            <w:r w:rsidR="006A7016" w:rsidRPr="005B5418">
              <w:rPr>
                <w:rFonts w:ascii="Arial" w:hAnsi="Arial" w:cs="Arial"/>
              </w:rPr>
              <w:t>t</w:t>
            </w:r>
            <w:r w:rsidRPr="005B5418">
              <w:rPr>
                <w:rFonts w:ascii="Arial" w:hAnsi="Arial" w:cs="Arial"/>
              </w:rPr>
              <w:t xml:space="preserve"> 1</w:t>
            </w:r>
            <w:r w:rsidR="006A7016" w:rsidRPr="005B5418">
              <w:rPr>
                <w:rFonts w:ascii="Arial" w:hAnsi="Arial" w:cs="Arial"/>
              </w:rPr>
              <w:t xml:space="preserve"> </w:t>
            </w:r>
            <w:r w:rsidRPr="005B5418">
              <w:rPr>
                <w:rFonts w:ascii="Arial" w:hAnsi="Arial" w:cs="Arial"/>
              </w:rPr>
              <w:t>F)</w:t>
            </w:r>
          </w:p>
        </w:tc>
      </w:tr>
      <w:tr w:rsidR="00BC1CB7" w:rsidRPr="005B5418" w14:paraId="550B1E0F" w14:textId="77777777" w:rsidTr="001C22E3">
        <w:trPr>
          <w:trHeight w:val="2160"/>
        </w:trPr>
        <w:tc>
          <w:tcPr>
            <w:tcW w:w="5405" w:type="dxa"/>
          </w:tcPr>
          <w:p w14:paraId="3D692E41" w14:textId="6A4EB5F4"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When post-1991 loans are modified, is the existing book amount changed to an amount equal to the present value of the loa</w:t>
            </w:r>
            <w:r w:rsidR="00FD5782" w:rsidRPr="005B5418">
              <w:rPr>
                <w:rFonts w:eastAsia="Arial Unicode MS"/>
              </w:rPr>
              <w:t>ns’</w:t>
            </w:r>
            <w:r w:rsidRPr="005B5418">
              <w:rPr>
                <w:rFonts w:eastAsia="Arial Unicode MS"/>
              </w:rPr>
              <w:t xml:space="preserve"> net cash inflows that are projected under the modified terms from the time of the modification to the loan</w:t>
            </w:r>
            <w:r w:rsidR="00FD5782" w:rsidRPr="005B5418">
              <w:rPr>
                <w:rFonts w:eastAsia="Arial Unicode MS"/>
              </w:rPr>
              <w:t>s’</w:t>
            </w:r>
            <w:r w:rsidRPr="005B5418">
              <w:rPr>
                <w:rFonts w:eastAsia="Arial Unicode MS"/>
              </w:rPr>
              <w:t xml:space="preserve"> maturity and discounted at the original rate? (SFFAS 2, par</w:t>
            </w:r>
            <w:r w:rsidR="00A27AAB" w:rsidRPr="005B5418">
              <w:rPr>
                <w:rFonts w:eastAsia="Arial Unicode MS"/>
              </w:rPr>
              <w:t>a</w:t>
            </w:r>
            <w:r w:rsidRPr="005B5418">
              <w:rPr>
                <w:rFonts w:eastAsia="Arial Unicode MS"/>
              </w:rPr>
              <w:t>. 46 and app.</w:t>
            </w:r>
            <w:r w:rsidR="006A7016" w:rsidRPr="005B5418">
              <w:rPr>
                <w:rFonts w:eastAsia="Arial Unicode MS"/>
              </w:rPr>
              <w:t xml:space="preserve"> </w:t>
            </w:r>
            <w:r w:rsidRPr="005B5418">
              <w:rPr>
                <w:rFonts w:eastAsia="Arial Unicode MS"/>
              </w:rPr>
              <w:t>B, part I</w:t>
            </w:r>
            <w:r w:rsidR="006A7016" w:rsidRPr="005B5418">
              <w:rPr>
                <w:rFonts w:eastAsia="Arial Unicode MS"/>
              </w:rPr>
              <w:t xml:space="preserve"> </w:t>
            </w:r>
            <w:r w:rsidRPr="005B5418">
              <w:rPr>
                <w:rFonts w:eastAsia="Arial Unicode MS"/>
              </w:rPr>
              <w:t>D</w:t>
            </w:r>
            <w:r w:rsidR="006A7016" w:rsidRPr="005B5418">
              <w:rPr>
                <w:rFonts w:eastAsia="Arial Unicode MS"/>
              </w:rPr>
              <w:t xml:space="preserve"> </w:t>
            </w:r>
            <w:r w:rsidRPr="005B5418">
              <w:rPr>
                <w:rFonts w:eastAsia="Arial Unicode MS"/>
              </w:rPr>
              <w:t>(4))</w:t>
            </w:r>
          </w:p>
        </w:tc>
        <w:tc>
          <w:tcPr>
            <w:tcW w:w="965" w:type="dxa"/>
          </w:tcPr>
          <w:p w14:paraId="07204896" w14:textId="77777777" w:rsidR="00BC1CB7" w:rsidRPr="005B5418" w:rsidRDefault="00BC1CB7" w:rsidP="008848DA">
            <w:pPr>
              <w:pStyle w:val="Table-Cell-CenterBoldBefore6ptAfter6pt"/>
              <w:spacing w:before="60" w:after="60"/>
              <w:rPr>
                <w:rFonts w:cs="Arial"/>
              </w:rPr>
            </w:pPr>
          </w:p>
        </w:tc>
        <w:tc>
          <w:tcPr>
            <w:tcW w:w="3211" w:type="dxa"/>
          </w:tcPr>
          <w:p w14:paraId="7C8D5537" w14:textId="77777777" w:rsidR="00BC1CB7" w:rsidRPr="005B5418" w:rsidRDefault="00BC1CB7" w:rsidP="008848DA">
            <w:pPr>
              <w:spacing w:before="60" w:after="60" w:line="240" w:lineRule="auto"/>
              <w:rPr>
                <w:rFonts w:cs="Arial"/>
              </w:rPr>
            </w:pPr>
          </w:p>
        </w:tc>
      </w:tr>
      <w:tr w:rsidR="00BC1CB7" w:rsidRPr="005B5418" w14:paraId="7B0E1B69" w14:textId="77777777" w:rsidTr="001C22E3">
        <w:trPr>
          <w:trHeight w:val="2160"/>
        </w:trPr>
        <w:tc>
          <w:tcPr>
            <w:tcW w:w="5405" w:type="dxa"/>
          </w:tcPr>
          <w:p w14:paraId="268D01B0"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When pre-1992 loans are directly modified, are they</w:t>
            </w:r>
          </w:p>
          <w:p w14:paraId="0A86876B" w14:textId="713B1622"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transferred from the liquidating account to a financing account, </w:t>
            </w:r>
          </w:p>
          <w:p w14:paraId="6605DC7A" w14:textId="62FF1086"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recorded at their postmodification value</w:t>
            </w:r>
            <w:r w:rsidR="00A27AAB" w:rsidRPr="005B5418">
              <w:rPr>
                <w:rFonts w:eastAsia="Arial Unicode MS" w:cs="Arial"/>
                <w:szCs w:val="22"/>
              </w:rPr>
              <w:t>,</w:t>
            </w:r>
            <w:r w:rsidRPr="005B5418">
              <w:rPr>
                <w:rFonts w:eastAsia="Arial Unicode MS" w:cs="Arial"/>
                <w:szCs w:val="22"/>
              </w:rPr>
              <w:t xml:space="preserve"> (SFFAS 2, par</w:t>
            </w:r>
            <w:r w:rsidR="00A27AAB" w:rsidRPr="005B5418">
              <w:rPr>
                <w:rFonts w:eastAsia="Arial Unicode MS" w:cs="Arial"/>
                <w:szCs w:val="22"/>
              </w:rPr>
              <w:t>a</w:t>
            </w:r>
            <w:r w:rsidRPr="005B5418">
              <w:rPr>
                <w:rFonts w:eastAsia="Arial Unicode MS" w:cs="Arial"/>
                <w:szCs w:val="22"/>
              </w:rPr>
              <w:t>. 47 and app.</w:t>
            </w:r>
            <w:r w:rsidR="006A7016" w:rsidRPr="005B5418">
              <w:rPr>
                <w:rFonts w:eastAsia="Arial Unicode MS" w:cs="Arial"/>
                <w:szCs w:val="22"/>
              </w:rPr>
              <w:t xml:space="preserve"> </w:t>
            </w:r>
            <w:r w:rsidRPr="005B5418">
              <w:rPr>
                <w:rFonts w:eastAsia="Arial Unicode MS" w:cs="Arial"/>
                <w:szCs w:val="22"/>
              </w:rPr>
              <w:t>B, part II</w:t>
            </w:r>
            <w:r w:rsidR="006A7016" w:rsidRPr="005B5418">
              <w:rPr>
                <w:rFonts w:eastAsia="Arial Unicode MS" w:cs="Arial"/>
                <w:szCs w:val="22"/>
              </w:rPr>
              <w:t xml:space="preserve"> </w:t>
            </w:r>
            <w:r w:rsidRPr="005B5418">
              <w:rPr>
                <w:rFonts w:eastAsia="Arial Unicode MS" w:cs="Arial"/>
                <w:szCs w:val="22"/>
              </w:rPr>
              <w:t>B</w:t>
            </w:r>
            <w:r w:rsidR="006A7016" w:rsidRPr="005B5418">
              <w:rPr>
                <w:rFonts w:eastAsia="Arial Unicode MS" w:cs="Arial"/>
                <w:szCs w:val="22"/>
              </w:rPr>
              <w:t xml:space="preserve"> </w:t>
            </w:r>
            <w:r w:rsidRPr="005B5418">
              <w:rPr>
                <w:rFonts w:eastAsia="Arial Unicode MS" w:cs="Arial"/>
                <w:szCs w:val="22"/>
              </w:rPr>
              <w:t>(4))</w:t>
            </w:r>
            <w:r w:rsidR="00A27AAB" w:rsidRPr="005B5418">
              <w:rPr>
                <w:rFonts w:eastAsia="Arial Unicode MS" w:cs="Arial"/>
                <w:szCs w:val="22"/>
              </w:rPr>
              <w:t xml:space="preserve"> and</w:t>
            </w:r>
          </w:p>
          <w:p w14:paraId="09E80E8A" w14:textId="6D9A9D60" w:rsidR="00BB7718" w:rsidRPr="005B5418" w:rsidRDefault="00BB7718" w:rsidP="0047584E">
            <w:pPr>
              <w:pStyle w:val="FAM-Table-outline2"/>
              <w:tabs>
                <w:tab w:val="num" w:pos="576"/>
              </w:tabs>
              <w:spacing w:line="240" w:lineRule="auto"/>
              <w:ind w:left="1155" w:hanging="458"/>
              <w:rPr>
                <w:rFonts w:eastAsia="Arial Unicode MS"/>
              </w:rPr>
            </w:pPr>
            <w:r w:rsidRPr="005B5418">
              <w:rPr>
                <w:rFonts w:eastAsia="Arial Unicode MS" w:cs="Arial"/>
                <w:szCs w:val="22"/>
              </w:rPr>
              <w:t>treated as a modification of post-1991 loans?</w:t>
            </w:r>
            <w:r w:rsidRPr="005B5418">
              <w:rPr>
                <w:rFonts w:eastAsia="Arial Unicode MS"/>
              </w:rPr>
              <w:t xml:space="preserve"> (SFFAS 2, par</w:t>
            </w:r>
            <w:r w:rsidR="00A27AAB" w:rsidRPr="005B5418">
              <w:rPr>
                <w:rFonts w:eastAsia="Arial Unicode MS"/>
              </w:rPr>
              <w:t>a</w:t>
            </w:r>
            <w:r w:rsidRPr="005B5418">
              <w:rPr>
                <w:rFonts w:eastAsia="Arial Unicode MS"/>
              </w:rPr>
              <w:t>. 47)</w:t>
            </w:r>
          </w:p>
        </w:tc>
        <w:tc>
          <w:tcPr>
            <w:tcW w:w="965" w:type="dxa"/>
          </w:tcPr>
          <w:p w14:paraId="26826BEC" w14:textId="77777777" w:rsidR="00BC1CB7" w:rsidRPr="005B5418" w:rsidRDefault="00BC1CB7" w:rsidP="008848DA">
            <w:pPr>
              <w:pStyle w:val="Table-Cell-CenterBoldBefore6ptAfter6pt"/>
              <w:spacing w:before="60" w:after="60"/>
              <w:rPr>
                <w:rFonts w:cs="Arial"/>
              </w:rPr>
            </w:pPr>
          </w:p>
        </w:tc>
        <w:tc>
          <w:tcPr>
            <w:tcW w:w="3211" w:type="dxa"/>
          </w:tcPr>
          <w:p w14:paraId="74730184" w14:textId="77777777" w:rsidR="00BC1CB7" w:rsidRPr="005B5418" w:rsidRDefault="00BC1CB7" w:rsidP="008848DA">
            <w:pPr>
              <w:spacing w:before="60" w:after="60" w:line="240" w:lineRule="auto"/>
              <w:rPr>
                <w:rFonts w:cs="Arial"/>
              </w:rPr>
            </w:pPr>
          </w:p>
        </w:tc>
      </w:tr>
      <w:tr w:rsidR="00BC1CB7" w:rsidRPr="005B5418" w14:paraId="2AAAAF59" w14:textId="77777777" w:rsidTr="001C22E3">
        <w:trPr>
          <w:trHeight w:val="1907"/>
        </w:trPr>
        <w:tc>
          <w:tcPr>
            <w:tcW w:w="5405" w:type="dxa"/>
          </w:tcPr>
          <w:p w14:paraId="673E9217"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When pre-1992 loans are indirectly modified, are they</w:t>
            </w:r>
          </w:p>
          <w:p w14:paraId="66775B70" w14:textId="5CE85B2B"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kept in a liquidating account and</w:t>
            </w:r>
          </w:p>
          <w:p w14:paraId="0BFBC4C9" w14:textId="175DC107" w:rsidR="00BC1CB7" w:rsidRPr="005B5418" w:rsidRDefault="00BC1CB7" w:rsidP="0047584E">
            <w:pPr>
              <w:pStyle w:val="FAM-Table-outline2"/>
              <w:tabs>
                <w:tab w:val="num" w:pos="576"/>
              </w:tabs>
              <w:spacing w:line="240" w:lineRule="auto"/>
              <w:ind w:left="1155" w:hanging="458"/>
              <w:rPr>
                <w:rFonts w:eastAsia="Arial Unicode MS"/>
              </w:rPr>
            </w:pPr>
            <w:r w:rsidRPr="005B5418">
              <w:rPr>
                <w:rFonts w:eastAsia="Arial Unicode MS" w:cs="Arial"/>
                <w:szCs w:val="22"/>
              </w:rPr>
              <w:t>reassessed and adjusted to reflect amounts that would not be collected due to the modification?</w:t>
            </w:r>
            <w:r w:rsidRPr="005B5418">
              <w:rPr>
                <w:rFonts w:eastAsia="Arial Unicode MS"/>
              </w:rPr>
              <w:t xml:space="preserve"> </w:t>
            </w:r>
            <w:r w:rsidRPr="005B5418">
              <w:rPr>
                <w:rFonts w:eastAsia="Arial Unicode MS" w:cs="Arial"/>
                <w:szCs w:val="22"/>
              </w:rPr>
              <w:t>(SFFAS 2, par</w:t>
            </w:r>
            <w:r w:rsidR="009D5D2F" w:rsidRPr="005B5418">
              <w:rPr>
                <w:rFonts w:eastAsia="Arial Unicode MS" w:cs="Arial"/>
                <w:szCs w:val="22"/>
              </w:rPr>
              <w:t>a</w:t>
            </w:r>
            <w:r w:rsidRPr="005B5418">
              <w:rPr>
                <w:rFonts w:eastAsia="Arial Unicode MS" w:cs="Arial"/>
                <w:szCs w:val="22"/>
              </w:rPr>
              <w:t>. 47)</w:t>
            </w:r>
          </w:p>
        </w:tc>
        <w:tc>
          <w:tcPr>
            <w:tcW w:w="965" w:type="dxa"/>
          </w:tcPr>
          <w:p w14:paraId="54B9187A" w14:textId="77777777" w:rsidR="00BC1CB7" w:rsidRPr="005B5418" w:rsidRDefault="00BC1CB7" w:rsidP="008848DA">
            <w:pPr>
              <w:pStyle w:val="Table-Cell-CenterBoldBefore6ptAfter6pt"/>
              <w:spacing w:before="60" w:after="60"/>
              <w:rPr>
                <w:rFonts w:cs="Arial"/>
              </w:rPr>
            </w:pPr>
          </w:p>
        </w:tc>
        <w:tc>
          <w:tcPr>
            <w:tcW w:w="3211" w:type="dxa"/>
          </w:tcPr>
          <w:p w14:paraId="5BECE8C5" w14:textId="77777777" w:rsidR="00BC1CB7" w:rsidRPr="005B5418" w:rsidRDefault="00BC1CB7" w:rsidP="008848DA">
            <w:pPr>
              <w:spacing w:before="60" w:after="60" w:line="240" w:lineRule="auto"/>
              <w:rPr>
                <w:rFonts w:cs="Arial"/>
              </w:rPr>
            </w:pPr>
          </w:p>
        </w:tc>
      </w:tr>
      <w:tr w:rsidR="00BC1CB7" w:rsidRPr="005B5418" w14:paraId="3E9DDFAA" w14:textId="77777777" w:rsidTr="001C22E3">
        <w:trPr>
          <w:trHeight w:val="1727"/>
        </w:trPr>
        <w:tc>
          <w:tcPr>
            <w:tcW w:w="5405" w:type="dxa"/>
          </w:tcPr>
          <w:p w14:paraId="7115C4BE" w14:textId="38FFF0EB"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lastRenderedPageBreak/>
              <w:t>When post-1991 and pre-1992 loans are sold, is the sale treated as a direct modification if the agency did not assume sales proceeds in the cash flow estimates for the initial subsidy calculation? (SFFAS 2, par</w:t>
            </w:r>
            <w:r w:rsidR="009D5D2F" w:rsidRPr="005B5418">
              <w:rPr>
                <w:rFonts w:eastAsia="Arial Unicode MS"/>
              </w:rPr>
              <w:t>a</w:t>
            </w:r>
            <w:r w:rsidRPr="005B5418">
              <w:rPr>
                <w:rFonts w:eastAsia="Arial Unicode MS"/>
              </w:rPr>
              <w:t xml:space="preserve">. 53 and </w:t>
            </w:r>
            <w:r w:rsidR="00DC3291" w:rsidRPr="005B5418">
              <w:rPr>
                <w:rFonts w:eastAsia="Arial Unicode MS"/>
              </w:rPr>
              <w:t>a</w:t>
            </w:r>
            <w:r w:rsidRPr="005B5418">
              <w:rPr>
                <w:rFonts w:eastAsia="Arial Unicode MS"/>
              </w:rPr>
              <w:t>pp.</w:t>
            </w:r>
            <w:r w:rsidR="00DC3291" w:rsidRPr="005B5418">
              <w:rPr>
                <w:rFonts w:eastAsia="Arial Unicode MS"/>
              </w:rPr>
              <w:t xml:space="preserve"> </w:t>
            </w:r>
            <w:r w:rsidRPr="005B5418">
              <w:rPr>
                <w:rFonts w:eastAsia="Arial Unicode MS"/>
              </w:rPr>
              <w:t xml:space="preserve">B, </w:t>
            </w:r>
            <w:r w:rsidR="00DC3291" w:rsidRPr="005B5418">
              <w:rPr>
                <w:rFonts w:eastAsia="Arial Unicode MS"/>
              </w:rPr>
              <w:t>p</w:t>
            </w:r>
            <w:r w:rsidRPr="005B5418">
              <w:rPr>
                <w:rFonts w:eastAsia="Arial Unicode MS"/>
              </w:rPr>
              <w:t>art I</w:t>
            </w:r>
            <w:r w:rsidR="00DC3291" w:rsidRPr="005B5418">
              <w:rPr>
                <w:rFonts w:eastAsia="Arial Unicode MS"/>
              </w:rPr>
              <w:t xml:space="preserve"> </w:t>
            </w:r>
            <w:r w:rsidRPr="005B5418">
              <w:rPr>
                <w:rFonts w:eastAsia="Arial Unicode MS"/>
              </w:rPr>
              <w:t xml:space="preserve">F, </w:t>
            </w:r>
            <w:r w:rsidR="00DE4350" w:rsidRPr="005B5418">
              <w:rPr>
                <w:rFonts w:eastAsia="Arial Unicode MS"/>
              </w:rPr>
              <w:t xml:space="preserve">fn </w:t>
            </w:r>
            <w:r w:rsidRPr="005B5418">
              <w:rPr>
                <w:rFonts w:eastAsia="Arial Unicode MS"/>
              </w:rPr>
              <w:t>23)</w:t>
            </w:r>
          </w:p>
        </w:tc>
        <w:tc>
          <w:tcPr>
            <w:tcW w:w="965" w:type="dxa"/>
          </w:tcPr>
          <w:p w14:paraId="6B299DF0" w14:textId="77777777" w:rsidR="00BC1CB7" w:rsidRPr="005B5418" w:rsidRDefault="00BC1CB7" w:rsidP="008848DA">
            <w:pPr>
              <w:pStyle w:val="Table-Cell-CenterBoldBefore6ptAfter6pt"/>
              <w:spacing w:before="60" w:after="60"/>
              <w:rPr>
                <w:rFonts w:cs="Arial"/>
              </w:rPr>
            </w:pPr>
          </w:p>
        </w:tc>
        <w:tc>
          <w:tcPr>
            <w:tcW w:w="3211" w:type="dxa"/>
          </w:tcPr>
          <w:p w14:paraId="369CF633" w14:textId="77777777" w:rsidR="00BC1CB7" w:rsidRPr="005B5418" w:rsidRDefault="00BC1CB7" w:rsidP="008848DA">
            <w:pPr>
              <w:spacing w:before="60" w:after="60" w:line="240" w:lineRule="auto"/>
              <w:rPr>
                <w:rFonts w:cs="Arial"/>
              </w:rPr>
            </w:pPr>
          </w:p>
        </w:tc>
      </w:tr>
      <w:tr w:rsidR="00BC1CB7" w:rsidRPr="005B5418" w14:paraId="3FB42BDE" w14:textId="77777777" w:rsidTr="001C22E3">
        <w:trPr>
          <w:cantSplit/>
          <w:trHeight w:val="422"/>
        </w:trPr>
        <w:tc>
          <w:tcPr>
            <w:tcW w:w="9581" w:type="dxa"/>
            <w:gridSpan w:val="3"/>
          </w:tcPr>
          <w:p w14:paraId="499A4E21" w14:textId="561C15F1" w:rsidR="00BC1CB7" w:rsidRPr="005B5418" w:rsidRDefault="00BC1CB7" w:rsidP="008848DA">
            <w:pPr>
              <w:spacing w:before="60" w:after="60" w:line="240" w:lineRule="auto"/>
              <w:ind w:left="-21"/>
              <w:rPr>
                <w:rFonts w:ascii="Arial" w:hAnsi="Arial" w:cs="Arial"/>
              </w:rPr>
            </w:pPr>
            <w:r w:rsidRPr="005B5418">
              <w:rPr>
                <w:rFonts w:ascii="Arial" w:hAnsi="Arial" w:cs="Arial"/>
              </w:rPr>
              <w:t>Foreclosed property is any asset, which is assumed to be held for sale, that is either received in satisfaction of a loan receivable or as a result of payment of a claim under a guaranteed or insured loan (excluding commodities acquired under price support programs). Pre-1992 foreclosed property refers to property associated with direct loans obligated or loan guarantees committed before October 1, 1991. Post-1991 foreclosed property refers to property associated with direct loans obligated or loan guarantees committed after September 30, 1991. (SFFAS 3, par</w:t>
            </w:r>
            <w:r w:rsidR="006B1ADD" w:rsidRPr="005B5418">
              <w:rPr>
                <w:rFonts w:ascii="Arial" w:hAnsi="Arial" w:cs="Arial"/>
              </w:rPr>
              <w:t>as</w:t>
            </w:r>
            <w:r w:rsidRPr="005B5418">
              <w:rPr>
                <w:rFonts w:ascii="Arial" w:hAnsi="Arial" w:cs="Arial"/>
              </w:rPr>
              <w:t>. 79</w:t>
            </w:r>
            <w:r w:rsidR="006B1ADD" w:rsidRPr="005B5418">
              <w:rPr>
                <w:rFonts w:ascii="Arial" w:hAnsi="Arial" w:cs="Arial"/>
              </w:rPr>
              <w:t>–</w:t>
            </w:r>
            <w:r w:rsidRPr="005B5418">
              <w:rPr>
                <w:rFonts w:ascii="Arial" w:hAnsi="Arial" w:cs="Arial"/>
              </w:rPr>
              <w:t>80)</w:t>
            </w:r>
          </w:p>
        </w:tc>
      </w:tr>
      <w:tr w:rsidR="00BC1CB7" w:rsidRPr="005B5418" w14:paraId="18B3D42B" w14:textId="77777777" w:rsidTr="001C22E3">
        <w:trPr>
          <w:trHeight w:val="1295"/>
        </w:trPr>
        <w:tc>
          <w:tcPr>
            <w:tcW w:w="5405" w:type="dxa"/>
          </w:tcPr>
          <w:p w14:paraId="7E03C25B" w14:textId="60771C3E"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Is post-1991 foreclosed property valued at the net present value of the projected future cash flows associated with the property? (SFFAS 3, par</w:t>
            </w:r>
            <w:r w:rsidR="00C72650" w:rsidRPr="005B5418">
              <w:rPr>
                <w:rFonts w:eastAsia="Arial Unicode MS"/>
              </w:rPr>
              <w:t>a</w:t>
            </w:r>
            <w:r w:rsidRPr="005B5418">
              <w:rPr>
                <w:rFonts w:eastAsia="Arial Unicode MS"/>
              </w:rPr>
              <w:t>. 81)</w:t>
            </w:r>
          </w:p>
        </w:tc>
        <w:tc>
          <w:tcPr>
            <w:tcW w:w="965" w:type="dxa"/>
          </w:tcPr>
          <w:p w14:paraId="71440DAC" w14:textId="77777777" w:rsidR="00BC1CB7" w:rsidRPr="005B5418" w:rsidRDefault="00BC1CB7" w:rsidP="008848DA">
            <w:pPr>
              <w:pStyle w:val="Table-Cell-CenterBoldBefore6ptAfter6pt"/>
              <w:spacing w:before="60" w:after="60"/>
              <w:rPr>
                <w:rFonts w:cs="Arial"/>
              </w:rPr>
            </w:pPr>
          </w:p>
        </w:tc>
        <w:tc>
          <w:tcPr>
            <w:tcW w:w="3211" w:type="dxa"/>
          </w:tcPr>
          <w:p w14:paraId="5ACD7FFC" w14:textId="77777777" w:rsidR="00BC1CB7" w:rsidRPr="005B5418" w:rsidRDefault="00BC1CB7" w:rsidP="008848DA">
            <w:pPr>
              <w:spacing w:before="60" w:after="60" w:line="240" w:lineRule="auto"/>
              <w:rPr>
                <w:rFonts w:cs="Arial"/>
              </w:rPr>
            </w:pPr>
          </w:p>
        </w:tc>
      </w:tr>
      <w:tr w:rsidR="00BC1CB7" w:rsidRPr="005B5418" w14:paraId="793A4DEF" w14:textId="77777777" w:rsidTr="001C22E3">
        <w:trPr>
          <w:trHeight w:val="1565"/>
        </w:trPr>
        <w:tc>
          <w:tcPr>
            <w:tcW w:w="5405" w:type="dxa"/>
          </w:tcPr>
          <w:p w14:paraId="45DF457F" w14:textId="7E4B2064"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Is pre-1992 foreclosed property recorded at cost and adjusted to the lower of cost or net realizable value with any difference between cost and net realizable value carried in a valuation allowance? (SFFAS 3, par</w:t>
            </w:r>
            <w:r w:rsidR="00C72650" w:rsidRPr="005B5418">
              <w:rPr>
                <w:rFonts w:eastAsia="Arial Unicode MS"/>
              </w:rPr>
              <w:t>a</w:t>
            </w:r>
            <w:r w:rsidRPr="005B5418">
              <w:rPr>
                <w:rFonts w:eastAsia="Arial Unicode MS"/>
              </w:rPr>
              <w:t>. 81)</w:t>
            </w:r>
          </w:p>
        </w:tc>
        <w:tc>
          <w:tcPr>
            <w:tcW w:w="965" w:type="dxa"/>
          </w:tcPr>
          <w:p w14:paraId="2179E4BE" w14:textId="77777777" w:rsidR="00BC1CB7" w:rsidRPr="005B5418" w:rsidRDefault="00BC1CB7" w:rsidP="008848DA">
            <w:pPr>
              <w:pStyle w:val="Table-Cell-CenterBoldBefore6ptAfter6pt"/>
              <w:spacing w:before="60" w:after="60"/>
              <w:rPr>
                <w:rFonts w:cs="Arial"/>
              </w:rPr>
            </w:pPr>
          </w:p>
        </w:tc>
        <w:tc>
          <w:tcPr>
            <w:tcW w:w="3211" w:type="dxa"/>
          </w:tcPr>
          <w:p w14:paraId="5C490B10" w14:textId="77777777" w:rsidR="00BC1CB7" w:rsidRPr="005B5418" w:rsidRDefault="00BC1CB7" w:rsidP="008848DA">
            <w:pPr>
              <w:spacing w:before="60" w:after="60" w:line="240" w:lineRule="auto"/>
              <w:rPr>
                <w:rFonts w:cs="Arial"/>
              </w:rPr>
            </w:pPr>
          </w:p>
        </w:tc>
      </w:tr>
      <w:tr w:rsidR="00BC1CB7" w:rsidRPr="005B5418" w14:paraId="38D72C3B" w14:textId="77777777" w:rsidTr="001C22E3">
        <w:trPr>
          <w:trHeight w:val="2160"/>
        </w:trPr>
        <w:tc>
          <w:tcPr>
            <w:tcW w:w="5405" w:type="dxa"/>
          </w:tcPr>
          <w:p w14:paraId="4CCCC3F5"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 xml:space="preserve">In determining net present value, does the entity project future cash flows to include estimates of </w:t>
            </w:r>
          </w:p>
          <w:p w14:paraId="66866AD7" w14:textId="623498BA"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sales proceeds</w:t>
            </w:r>
            <w:r w:rsidR="00C72650" w:rsidRPr="005B5418">
              <w:rPr>
                <w:rFonts w:eastAsia="Arial Unicode MS" w:cs="Arial"/>
                <w:szCs w:val="22"/>
              </w:rPr>
              <w:t>;</w:t>
            </w:r>
          </w:p>
          <w:p w14:paraId="4DBD95F8" w14:textId="03D19C96"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rent, management expense, and repair costs during the holding period</w:t>
            </w:r>
            <w:r w:rsidR="00C72650" w:rsidRPr="005B5418">
              <w:rPr>
                <w:rFonts w:eastAsia="Arial Unicode MS" w:cs="Arial"/>
                <w:szCs w:val="22"/>
              </w:rPr>
              <w:t>;</w:t>
            </w:r>
            <w:r w:rsidRPr="005B5418">
              <w:rPr>
                <w:rFonts w:eastAsia="Arial Unicode MS" w:cs="Arial"/>
                <w:szCs w:val="22"/>
              </w:rPr>
              <w:t xml:space="preserve"> and</w:t>
            </w:r>
          </w:p>
          <w:p w14:paraId="7D2F1917" w14:textId="75C8E27A" w:rsidR="00BC1CB7" w:rsidRPr="005B5418" w:rsidRDefault="00BC1CB7" w:rsidP="0047584E">
            <w:pPr>
              <w:pStyle w:val="FAM-Table-outline2"/>
              <w:tabs>
                <w:tab w:val="num" w:pos="576"/>
              </w:tabs>
              <w:spacing w:line="240" w:lineRule="auto"/>
              <w:ind w:left="1155" w:hanging="458"/>
              <w:rPr>
                <w:rFonts w:eastAsia="Arial Unicode MS"/>
              </w:rPr>
            </w:pPr>
            <w:r w:rsidRPr="005B5418">
              <w:rPr>
                <w:rFonts w:eastAsia="Arial Unicode MS" w:cs="Arial"/>
                <w:szCs w:val="22"/>
              </w:rPr>
              <w:t>selling expense (i.e., advertising and commissions)?</w:t>
            </w:r>
            <w:r w:rsidRPr="005B5418">
              <w:rPr>
                <w:rFonts w:eastAsia="Arial Unicode MS"/>
              </w:rPr>
              <w:t xml:space="preserve"> (SFFAS No. 3, par</w:t>
            </w:r>
            <w:r w:rsidR="00C72650" w:rsidRPr="005B5418">
              <w:rPr>
                <w:rFonts w:eastAsia="Arial Unicode MS"/>
              </w:rPr>
              <w:t>a</w:t>
            </w:r>
            <w:r w:rsidRPr="005B5418">
              <w:rPr>
                <w:rFonts w:eastAsia="Arial Unicode MS"/>
              </w:rPr>
              <w:t>. 82)</w:t>
            </w:r>
          </w:p>
        </w:tc>
        <w:tc>
          <w:tcPr>
            <w:tcW w:w="965" w:type="dxa"/>
          </w:tcPr>
          <w:p w14:paraId="12E28AEF" w14:textId="77777777" w:rsidR="00BC1CB7" w:rsidRPr="005B5418" w:rsidRDefault="00BC1CB7" w:rsidP="008848DA">
            <w:pPr>
              <w:pStyle w:val="Table-Cell-CenterBoldBefore6ptAfter6pt"/>
              <w:spacing w:before="60" w:after="60"/>
              <w:rPr>
                <w:rFonts w:cs="Arial"/>
              </w:rPr>
            </w:pPr>
          </w:p>
        </w:tc>
        <w:tc>
          <w:tcPr>
            <w:tcW w:w="3211" w:type="dxa"/>
          </w:tcPr>
          <w:p w14:paraId="17F8A4CE" w14:textId="77777777" w:rsidR="00BC1CB7" w:rsidRPr="005B5418" w:rsidRDefault="00BC1CB7" w:rsidP="008848DA">
            <w:pPr>
              <w:spacing w:before="60" w:after="60" w:line="240" w:lineRule="auto"/>
              <w:rPr>
                <w:rFonts w:cs="Arial"/>
              </w:rPr>
            </w:pPr>
          </w:p>
        </w:tc>
      </w:tr>
      <w:tr w:rsidR="00BC1CB7" w:rsidRPr="005B5418" w14:paraId="16073C3D" w14:textId="77777777" w:rsidTr="001C22E3">
        <w:trPr>
          <w:trHeight w:val="1754"/>
        </w:trPr>
        <w:tc>
          <w:tcPr>
            <w:tcW w:w="5405" w:type="dxa"/>
          </w:tcPr>
          <w:p w14:paraId="31C8B285" w14:textId="330B6EEB"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In estimating sales proceeds for projecting the future cash flows associated with the property in determining net present value, has the entity considered its historical experience in selling property as well as the nature of the sale? (SFFAS 3, par</w:t>
            </w:r>
            <w:r w:rsidR="001F7602" w:rsidRPr="005B5418">
              <w:rPr>
                <w:rFonts w:eastAsia="Arial Unicode MS"/>
              </w:rPr>
              <w:t>a</w:t>
            </w:r>
            <w:r w:rsidRPr="005B5418">
              <w:rPr>
                <w:rFonts w:eastAsia="Arial Unicode MS"/>
              </w:rPr>
              <w:t>. 82)</w:t>
            </w:r>
          </w:p>
        </w:tc>
        <w:tc>
          <w:tcPr>
            <w:tcW w:w="965" w:type="dxa"/>
          </w:tcPr>
          <w:p w14:paraId="7B755F0C" w14:textId="77777777" w:rsidR="00BC1CB7" w:rsidRPr="005B5418" w:rsidRDefault="00BC1CB7" w:rsidP="008848DA">
            <w:pPr>
              <w:pStyle w:val="Table-Cell-CenterBoldBefore6ptAfter6pt"/>
              <w:spacing w:before="60" w:after="60"/>
              <w:rPr>
                <w:rFonts w:cs="Arial"/>
              </w:rPr>
            </w:pPr>
          </w:p>
        </w:tc>
        <w:tc>
          <w:tcPr>
            <w:tcW w:w="3211" w:type="dxa"/>
          </w:tcPr>
          <w:p w14:paraId="60CC3B2E" w14:textId="77777777" w:rsidR="00BC1CB7" w:rsidRPr="005B5418" w:rsidRDefault="00BC1CB7" w:rsidP="008848DA">
            <w:pPr>
              <w:spacing w:before="60" w:after="60" w:line="240" w:lineRule="auto"/>
              <w:rPr>
                <w:rFonts w:cs="Arial"/>
              </w:rPr>
            </w:pPr>
          </w:p>
        </w:tc>
      </w:tr>
      <w:tr w:rsidR="00BC1CB7" w:rsidRPr="005B5418" w14:paraId="42C91E22" w14:textId="77777777" w:rsidTr="001C22E3">
        <w:trPr>
          <w:trHeight w:val="1583"/>
        </w:trPr>
        <w:tc>
          <w:tcPr>
            <w:tcW w:w="5405" w:type="dxa"/>
          </w:tcPr>
          <w:p w14:paraId="2E9EB28C" w14:textId="10D51F79"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lastRenderedPageBreak/>
              <w:t xml:space="preserve">Were the estimated future cash flows of post-1991 foreclosed property or acquired loans discounted at the original discount rate </w:t>
            </w:r>
            <w:r w:rsidR="00BB7718" w:rsidRPr="005B5418">
              <w:rPr>
                <w:rFonts w:eastAsia="Arial Unicode MS"/>
              </w:rPr>
              <w:t>adjusted for the interest rate reestimate</w:t>
            </w:r>
            <w:r w:rsidRPr="005B5418">
              <w:rPr>
                <w:rFonts w:eastAsia="Arial Unicode MS"/>
              </w:rPr>
              <w:t>? (SFFAS 2, par</w:t>
            </w:r>
            <w:r w:rsidR="001F7602" w:rsidRPr="005B5418">
              <w:rPr>
                <w:rFonts w:eastAsia="Arial Unicode MS"/>
              </w:rPr>
              <w:t>as</w:t>
            </w:r>
            <w:r w:rsidRPr="005B5418">
              <w:rPr>
                <w:rFonts w:eastAsia="Arial Unicode MS"/>
              </w:rPr>
              <w:t>. 57 and 59; SFFAS 3, par</w:t>
            </w:r>
            <w:r w:rsidR="001F7602" w:rsidRPr="005B5418">
              <w:rPr>
                <w:rFonts w:eastAsia="Arial Unicode MS"/>
              </w:rPr>
              <w:t>a</w:t>
            </w:r>
            <w:r w:rsidRPr="005B5418">
              <w:rPr>
                <w:rFonts w:eastAsia="Arial Unicode MS"/>
              </w:rPr>
              <w:t>. 83)</w:t>
            </w:r>
          </w:p>
        </w:tc>
        <w:tc>
          <w:tcPr>
            <w:tcW w:w="965" w:type="dxa"/>
          </w:tcPr>
          <w:p w14:paraId="19347C27" w14:textId="77777777" w:rsidR="00BC1CB7" w:rsidRPr="005B5418" w:rsidRDefault="00BC1CB7" w:rsidP="008848DA">
            <w:pPr>
              <w:pStyle w:val="Table-Cell-CenterBoldBefore6ptAfter6pt"/>
              <w:spacing w:before="60" w:after="60"/>
              <w:rPr>
                <w:rFonts w:cs="Arial"/>
              </w:rPr>
            </w:pPr>
          </w:p>
        </w:tc>
        <w:tc>
          <w:tcPr>
            <w:tcW w:w="3211" w:type="dxa"/>
          </w:tcPr>
          <w:p w14:paraId="0D8BAF1A" w14:textId="77777777" w:rsidR="00BC1CB7" w:rsidRPr="005B5418" w:rsidRDefault="00BC1CB7" w:rsidP="008848DA">
            <w:pPr>
              <w:spacing w:before="60" w:after="60" w:line="240" w:lineRule="auto"/>
              <w:rPr>
                <w:rFonts w:cs="Arial"/>
              </w:rPr>
            </w:pPr>
          </w:p>
        </w:tc>
      </w:tr>
      <w:tr w:rsidR="00BC1CB7" w:rsidRPr="005B5418" w14:paraId="67225279" w14:textId="77777777" w:rsidTr="001C22E3">
        <w:trPr>
          <w:trHeight w:val="1502"/>
        </w:trPr>
        <w:tc>
          <w:tcPr>
            <w:tcW w:w="5405" w:type="dxa"/>
          </w:tcPr>
          <w:p w14:paraId="3895E634" w14:textId="36BCBF6A"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Is the net present value of post-1991 foreclosed property adjusted periodically to recognize both changes in the expected future cash flows and accrual of interest due to the passage of time? (SFFAS 3, par</w:t>
            </w:r>
            <w:r w:rsidR="001F7602" w:rsidRPr="005B5418">
              <w:rPr>
                <w:rFonts w:eastAsia="Arial Unicode MS"/>
              </w:rPr>
              <w:t>a</w:t>
            </w:r>
            <w:r w:rsidRPr="005B5418">
              <w:rPr>
                <w:rFonts w:eastAsia="Arial Unicode MS"/>
              </w:rPr>
              <w:t>. 84)</w:t>
            </w:r>
          </w:p>
        </w:tc>
        <w:tc>
          <w:tcPr>
            <w:tcW w:w="965" w:type="dxa"/>
          </w:tcPr>
          <w:p w14:paraId="69AD2949" w14:textId="77777777" w:rsidR="00BC1CB7" w:rsidRPr="005B5418" w:rsidRDefault="00BC1CB7" w:rsidP="008848DA">
            <w:pPr>
              <w:pStyle w:val="Table-Cell-CenterBoldBefore6ptAfter6pt"/>
              <w:spacing w:before="60" w:after="60"/>
              <w:rPr>
                <w:rFonts w:cs="Arial"/>
              </w:rPr>
            </w:pPr>
          </w:p>
        </w:tc>
        <w:tc>
          <w:tcPr>
            <w:tcW w:w="3211" w:type="dxa"/>
          </w:tcPr>
          <w:p w14:paraId="3315D1E7" w14:textId="77777777" w:rsidR="00BC1CB7" w:rsidRPr="005B5418" w:rsidRDefault="00BC1CB7" w:rsidP="008848DA">
            <w:pPr>
              <w:spacing w:before="60" w:after="60" w:line="240" w:lineRule="auto"/>
              <w:rPr>
                <w:rFonts w:cs="Arial"/>
              </w:rPr>
            </w:pPr>
          </w:p>
        </w:tc>
      </w:tr>
      <w:tr w:rsidR="00BC1CB7" w:rsidRPr="005B5418" w14:paraId="01E5590D" w14:textId="77777777" w:rsidTr="001C22E3">
        <w:trPr>
          <w:trHeight w:val="1475"/>
        </w:trPr>
        <w:tc>
          <w:tcPr>
            <w:tcW w:w="5405" w:type="dxa"/>
          </w:tcPr>
          <w:p w14:paraId="2AC2D7B5" w14:textId="5DEE64B1"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Are any adjustments in the carrying amounts of post-1991 foreclosed property included in the presentation of</w:t>
            </w:r>
            <w:r w:rsidR="001F7602" w:rsidRPr="005B5418">
              <w:rPr>
                <w:rFonts w:eastAsia="Arial Unicode MS"/>
              </w:rPr>
              <w:t xml:space="preserve"> “i</w:t>
            </w:r>
            <w:r w:rsidRPr="005B5418">
              <w:rPr>
                <w:rFonts w:eastAsia="Arial Unicode MS"/>
              </w:rPr>
              <w:t>nterest incom</w:t>
            </w:r>
            <w:r w:rsidR="001F7602" w:rsidRPr="005B5418">
              <w:rPr>
                <w:rFonts w:eastAsia="Arial Unicode MS"/>
              </w:rPr>
              <w:t>e”</w:t>
            </w:r>
            <w:r w:rsidRPr="005B5418">
              <w:rPr>
                <w:rFonts w:eastAsia="Arial Unicode MS"/>
              </w:rPr>
              <w:t xml:space="preserve"> and the reestimate of </w:t>
            </w:r>
            <w:r w:rsidR="001F7602" w:rsidRPr="005B5418">
              <w:rPr>
                <w:rFonts w:eastAsia="Arial Unicode MS"/>
              </w:rPr>
              <w:t>“s</w:t>
            </w:r>
            <w:r w:rsidRPr="005B5418">
              <w:rPr>
                <w:rFonts w:eastAsia="Arial Unicode MS"/>
              </w:rPr>
              <w:t>ubsidy expens</w:t>
            </w:r>
            <w:r w:rsidR="001F7602" w:rsidRPr="005B5418">
              <w:rPr>
                <w:rFonts w:eastAsia="Arial Unicode MS"/>
              </w:rPr>
              <w:t>e”</w:t>
            </w:r>
            <w:r w:rsidRPr="005B5418">
              <w:rPr>
                <w:rFonts w:eastAsia="Arial Unicode MS"/>
              </w:rPr>
              <w:t>? (SFFAS 3, par</w:t>
            </w:r>
            <w:r w:rsidR="001F7602" w:rsidRPr="005B5418">
              <w:rPr>
                <w:rFonts w:eastAsia="Arial Unicode MS"/>
              </w:rPr>
              <w:t>a</w:t>
            </w:r>
            <w:r w:rsidRPr="005B5418">
              <w:rPr>
                <w:rFonts w:eastAsia="Arial Unicode MS"/>
              </w:rPr>
              <w:t>. 84)</w:t>
            </w:r>
          </w:p>
        </w:tc>
        <w:tc>
          <w:tcPr>
            <w:tcW w:w="965" w:type="dxa"/>
          </w:tcPr>
          <w:p w14:paraId="0FD9F5E0" w14:textId="77777777" w:rsidR="00BC1CB7" w:rsidRPr="005B5418" w:rsidRDefault="00BC1CB7" w:rsidP="008848DA">
            <w:pPr>
              <w:pStyle w:val="Table-Cell-CenterBoldBefore6ptAfter6pt"/>
              <w:spacing w:before="60" w:after="60"/>
              <w:rPr>
                <w:rFonts w:cs="Arial"/>
              </w:rPr>
            </w:pPr>
          </w:p>
        </w:tc>
        <w:tc>
          <w:tcPr>
            <w:tcW w:w="3211" w:type="dxa"/>
          </w:tcPr>
          <w:p w14:paraId="37BA51EA" w14:textId="77777777" w:rsidR="00BC1CB7" w:rsidRPr="005B5418" w:rsidRDefault="00BC1CB7" w:rsidP="008848DA">
            <w:pPr>
              <w:spacing w:before="60" w:after="60" w:line="240" w:lineRule="auto"/>
              <w:rPr>
                <w:rFonts w:cs="Arial"/>
              </w:rPr>
            </w:pPr>
          </w:p>
        </w:tc>
      </w:tr>
      <w:tr w:rsidR="00BC1CB7" w:rsidRPr="005B5418" w14:paraId="68261D28" w14:textId="77777777" w:rsidTr="001C22E3">
        <w:trPr>
          <w:trHeight w:val="575"/>
        </w:trPr>
        <w:tc>
          <w:tcPr>
            <w:tcW w:w="5405" w:type="dxa"/>
          </w:tcPr>
          <w:p w14:paraId="5695EF6F"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 xml:space="preserve">Is post-1991 foreclosed property accounted for by </w:t>
            </w:r>
          </w:p>
          <w:p w14:paraId="510F5981" w14:textId="3F277CD3"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recording third</w:t>
            </w:r>
            <w:r w:rsidR="001F7602" w:rsidRPr="005B5418">
              <w:rPr>
                <w:rFonts w:eastAsia="Arial Unicode MS" w:cs="Arial"/>
                <w:szCs w:val="22"/>
              </w:rPr>
              <w:t>-</w:t>
            </w:r>
            <w:r w:rsidRPr="005B5418">
              <w:rPr>
                <w:rFonts w:eastAsia="Arial Unicode MS" w:cs="Arial"/>
                <w:szCs w:val="22"/>
              </w:rPr>
              <w:t>party claims at their net present value at the time of the foreclosure, using the same discount rate that applies to related foreclosed property, and</w:t>
            </w:r>
          </w:p>
          <w:p w14:paraId="54E99516" w14:textId="3AB0F2CE" w:rsidR="00BC1CB7" w:rsidRPr="005B5418" w:rsidRDefault="00BC1CB7" w:rsidP="0047584E">
            <w:pPr>
              <w:pStyle w:val="FAM-Table-outline2"/>
              <w:tabs>
                <w:tab w:val="num" w:pos="576"/>
              </w:tabs>
              <w:spacing w:line="240" w:lineRule="auto"/>
              <w:ind w:left="1155" w:hanging="458"/>
              <w:rPr>
                <w:rFonts w:eastAsia="Arial Unicode MS"/>
              </w:rPr>
            </w:pPr>
            <w:r w:rsidRPr="005B5418">
              <w:rPr>
                <w:rFonts w:eastAsia="Arial Unicode MS" w:cs="Arial"/>
                <w:szCs w:val="22"/>
              </w:rPr>
              <w:t xml:space="preserve">including any periodic changes in net present value of the claim in </w:t>
            </w:r>
            <w:r w:rsidR="001F7602" w:rsidRPr="005B5418">
              <w:rPr>
                <w:rFonts w:eastAsia="Arial Unicode MS" w:cs="Arial"/>
                <w:szCs w:val="22"/>
              </w:rPr>
              <w:t>“i</w:t>
            </w:r>
            <w:r w:rsidRPr="005B5418">
              <w:rPr>
                <w:rFonts w:eastAsia="Arial Unicode MS" w:cs="Arial"/>
                <w:szCs w:val="22"/>
              </w:rPr>
              <w:t>nterest incom</w:t>
            </w:r>
            <w:r w:rsidR="001F7602" w:rsidRPr="005B5418">
              <w:rPr>
                <w:rFonts w:eastAsia="Arial Unicode MS" w:cs="Arial"/>
                <w:szCs w:val="22"/>
              </w:rPr>
              <w:t>e”</w:t>
            </w:r>
            <w:r w:rsidRPr="005B5418">
              <w:rPr>
                <w:rFonts w:eastAsia="Arial Unicode MS" w:cs="Arial"/>
                <w:szCs w:val="22"/>
              </w:rPr>
              <w:t xml:space="preserve"> and </w:t>
            </w:r>
            <w:r w:rsidR="001F7602" w:rsidRPr="005B5418">
              <w:rPr>
                <w:rFonts w:eastAsia="Arial Unicode MS" w:cs="Arial"/>
                <w:szCs w:val="22"/>
              </w:rPr>
              <w:t>“s</w:t>
            </w:r>
            <w:r w:rsidRPr="005B5418">
              <w:rPr>
                <w:rFonts w:eastAsia="Arial Unicode MS" w:cs="Arial"/>
                <w:szCs w:val="22"/>
              </w:rPr>
              <w:t xml:space="preserve">ubsidy </w:t>
            </w:r>
            <w:r w:rsidR="001F7602" w:rsidRPr="005B5418">
              <w:rPr>
                <w:rFonts w:eastAsia="Arial Unicode MS" w:cs="Arial"/>
                <w:szCs w:val="22"/>
              </w:rPr>
              <w:t>expense”</w:t>
            </w:r>
            <w:r w:rsidRPr="005B5418">
              <w:rPr>
                <w:rFonts w:eastAsia="Arial Unicode MS" w:cs="Arial"/>
                <w:szCs w:val="22"/>
              </w:rPr>
              <w:t>?</w:t>
            </w:r>
            <w:r w:rsidRPr="005B5418">
              <w:rPr>
                <w:rFonts w:eastAsia="Arial Unicode MS"/>
              </w:rPr>
              <w:t xml:space="preserve"> (SFFAS 3, par</w:t>
            </w:r>
            <w:r w:rsidR="001F7602" w:rsidRPr="005B5418">
              <w:rPr>
                <w:rFonts w:eastAsia="Arial Unicode MS"/>
              </w:rPr>
              <w:t>a</w:t>
            </w:r>
            <w:r w:rsidRPr="005B5418">
              <w:rPr>
                <w:rFonts w:eastAsia="Arial Unicode MS"/>
              </w:rPr>
              <w:t>. 87)</w:t>
            </w:r>
          </w:p>
        </w:tc>
        <w:tc>
          <w:tcPr>
            <w:tcW w:w="965" w:type="dxa"/>
          </w:tcPr>
          <w:p w14:paraId="20094410" w14:textId="77777777" w:rsidR="00BC1CB7" w:rsidRPr="005B5418" w:rsidRDefault="00BC1CB7" w:rsidP="008848DA">
            <w:pPr>
              <w:pStyle w:val="Table-Cell-CenterBoldBefore6ptAfter6pt"/>
              <w:spacing w:before="60" w:after="60"/>
              <w:rPr>
                <w:rFonts w:cs="Arial"/>
              </w:rPr>
            </w:pPr>
          </w:p>
        </w:tc>
        <w:tc>
          <w:tcPr>
            <w:tcW w:w="3211" w:type="dxa"/>
          </w:tcPr>
          <w:p w14:paraId="1E84CFD7" w14:textId="77777777" w:rsidR="00BC1CB7" w:rsidRPr="005B5418" w:rsidRDefault="00BC1CB7" w:rsidP="008848DA">
            <w:pPr>
              <w:spacing w:before="60" w:after="60" w:line="240" w:lineRule="auto"/>
              <w:rPr>
                <w:rFonts w:cs="Arial"/>
              </w:rPr>
            </w:pPr>
          </w:p>
        </w:tc>
      </w:tr>
      <w:tr w:rsidR="00BC1CB7" w:rsidRPr="005B5418" w14:paraId="14F13D56" w14:textId="77777777" w:rsidTr="001C22E3">
        <w:trPr>
          <w:trHeight w:val="1295"/>
        </w:trPr>
        <w:tc>
          <w:tcPr>
            <w:tcW w:w="5405" w:type="dxa"/>
          </w:tcPr>
          <w:p w14:paraId="19396E43" w14:textId="477B7E25"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Are receipts or disbursements associated with acquiring and holding post-1991 foreclosed property charged or credited to foreclosed property? (SFFAS 3, par</w:t>
            </w:r>
            <w:r w:rsidR="001F7602" w:rsidRPr="005B5418">
              <w:rPr>
                <w:rFonts w:eastAsia="Arial Unicode MS"/>
              </w:rPr>
              <w:t>a</w:t>
            </w:r>
            <w:r w:rsidRPr="005B5418">
              <w:rPr>
                <w:rFonts w:eastAsia="Arial Unicode MS"/>
              </w:rPr>
              <w:t>. 88)</w:t>
            </w:r>
          </w:p>
        </w:tc>
        <w:tc>
          <w:tcPr>
            <w:tcW w:w="965" w:type="dxa"/>
          </w:tcPr>
          <w:p w14:paraId="4B47B4F0" w14:textId="77777777" w:rsidR="00BC1CB7" w:rsidRPr="005B5418" w:rsidRDefault="00BC1CB7" w:rsidP="008848DA">
            <w:pPr>
              <w:pStyle w:val="Table-Cell-CenterBoldBefore6ptAfter6pt"/>
              <w:spacing w:before="60" w:after="60"/>
              <w:rPr>
                <w:rFonts w:cs="Arial"/>
              </w:rPr>
            </w:pPr>
          </w:p>
        </w:tc>
        <w:tc>
          <w:tcPr>
            <w:tcW w:w="3211" w:type="dxa"/>
          </w:tcPr>
          <w:p w14:paraId="18F548A9" w14:textId="77777777" w:rsidR="00BC1CB7" w:rsidRPr="005B5418" w:rsidRDefault="00BC1CB7" w:rsidP="008848DA">
            <w:pPr>
              <w:spacing w:before="60" w:after="60" w:line="240" w:lineRule="auto"/>
              <w:rPr>
                <w:rFonts w:cs="Arial"/>
              </w:rPr>
            </w:pPr>
          </w:p>
        </w:tc>
      </w:tr>
      <w:tr w:rsidR="00BC1CB7" w:rsidRPr="005B5418" w14:paraId="75B9A9F8" w14:textId="77777777" w:rsidTr="001C22E3">
        <w:trPr>
          <w:trHeight w:val="395"/>
        </w:trPr>
        <w:tc>
          <w:tcPr>
            <w:tcW w:w="5405" w:type="dxa"/>
          </w:tcPr>
          <w:p w14:paraId="05CAB9BA" w14:textId="5996E473"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When foreclosed assets are acquired in full or partial settlement of post-1991 direct loans or guarantees is the present value of the governmen</w:t>
            </w:r>
            <w:r w:rsidR="00C45C53" w:rsidRPr="005B5418">
              <w:rPr>
                <w:rFonts w:eastAsia="Arial Unicode MS"/>
              </w:rPr>
              <w:t>t’s</w:t>
            </w:r>
            <w:r w:rsidRPr="005B5418">
              <w:rPr>
                <w:rFonts w:eastAsia="Arial Unicode MS"/>
              </w:rPr>
              <w:t xml:space="preserve"> claim against the borrowers reduced by the amount settled as a result of the foreclosure? (SFFAS 2, par</w:t>
            </w:r>
            <w:r w:rsidR="00675C88" w:rsidRPr="005B5418">
              <w:rPr>
                <w:rFonts w:eastAsia="Arial Unicode MS"/>
              </w:rPr>
              <w:t>a</w:t>
            </w:r>
            <w:r w:rsidRPr="005B5418">
              <w:rPr>
                <w:rFonts w:eastAsia="Arial Unicode MS"/>
              </w:rPr>
              <w:t>. 60)</w:t>
            </w:r>
          </w:p>
        </w:tc>
        <w:tc>
          <w:tcPr>
            <w:tcW w:w="965" w:type="dxa"/>
          </w:tcPr>
          <w:p w14:paraId="4D43D1DC" w14:textId="77777777" w:rsidR="00BC1CB7" w:rsidRPr="005B5418" w:rsidRDefault="00BC1CB7" w:rsidP="008848DA">
            <w:pPr>
              <w:pStyle w:val="Table-Cell-CenterBoldBefore6ptAfter6pt"/>
              <w:spacing w:before="60" w:after="60"/>
              <w:rPr>
                <w:rFonts w:cs="Arial"/>
              </w:rPr>
            </w:pPr>
          </w:p>
        </w:tc>
        <w:tc>
          <w:tcPr>
            <w:tcW w:w="3211" w:type="dxa"/>
          </w:tcPr>
          <w:p w14:paraId="3DD6D517" w14:textId="77777777" w:rsidR="00BC1CB7" w:rsidRPr="005B5418" w:rsidRDefault="00BC1CB7" w:rsidP="008848DA">
            <w:pPr>
              <w:spacing w:before="60" w:after="60" w:line="240" w:lineRule="auto"/>
              <w:rPr>
                <w:rFonts w:cs="Arial"/>
              </w:rPr>
            </w:pPr>
          </w:p>
        </w:tc>
      </w:tr>
      <w:tr w:rsidR="00BC1CB7" w:rsidRPr="005B5418" w14:paraId="321EEF6A" w14:textId="77777777" w:rsidTr="001C22E3">
        <w:trPr>
          <w:trHeight w:val="1736"/>
        </w:trPr>
        <w:tc>
          <w:tcPr>
            <w:tcW w:w="5405" w:type="dxa"/>
          </w:tcPr>
          <w:p w14:paraId="6EBA8E65" w14:textId="0E4C847C"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lastRenderedPageBreak/>
              <w:t>If a lender, debtor, or other third party has a legitimate claim to a post-1991 foreclosed asset, is the net present value of the estimated claim recognized as a special contra-valuation allowance? (SFFAS 2, par</w:t>
            </w:r>
            <w:r w:rsidR="003C5BC5" w:rsidRPr="005B5418">
              <w:rPr>
                <w:rFonts w:eastAsia="Arial Unicode MS"/>
              </w:rPr>
              <w:t>a</w:t>
            </w:r>
            <w:r w:rsidRPr="005B5418">
              <w:rPr>
                <w:rFonts w:eastAsia="Arial Unicode MS"/>
              </w:rPr>
              <w:t>. 58; SFFAS 3, par</w:t>
            </w:r>
            <w:r w:rsidR="003C5BC5" w:rsidRPr="005B5418">
              <w:rPr>
                <w:rFonts w:eastAsia="Arial Unicode MS"/>
              </w:rPr>
              <w:t>a</w:t>
            </w:r>
            <w:r w:rsidRPr="005B5418">
              <w:rPr>
                <w:rFonts w:eastAsia="Arial Unicode MS"/>
              </w:rPr>
              <w:t>. 87)</w:t>
            </w:r>
          </w:p>
        </w:tc>
        <w:tc>
          <w:tcPr>
            <w:tcW w:w="965" w:type="dxa"/>
          </w:tcPr>
          <w:p w14:paraId="05F5A9E9" w14:textId="77777777" w:rsidR="00BC1CB7" w:rsidRPr="005B5418" w:rsidRDefault="00BC1CB7" w:rsidP="008848DA">
            <w:pPr>
              <w:pStyle w:val="Table-Cell-CenterBoldBefore6ptAfter6pt"/>
              <w:spacing w:before="60" w:after="60"/>
              <w:rPr>
                <w:rFonts w:cs="Arial"/>
              </w:rPr>
            </w:pPr>
          </w:p>
        </w:tc>
        <w:tc>
          <w:tcPr>
            <w:tcW w:w="3211" w:type="dxa"/>
          </w:tcPr>
          <w:p w14:paraId="3C8414CE" w14:textId="77777777" w:rsidR="00BC1CB7" w:rsidRPr="005B5418" w:rsidRDefault="00BC1CB7" w:rsidP="008848DA">
            <w:pPr>
              <w:spacing w:before="60" w:after="60" w:line="240" w:lineRule="auto"/>
              <w:rPr>
                <w:rFonts w:cs="Arial"/>
              </w:rPr>
            </w:pPr>
          </w:p>
        </w:tc>
      </w:tr>
      <w:tr w:rsidR="00BC1CB7" w:rsidRPr="005B5418" w14:paraId="12354AA1" w14:textId="77777777" w:rsidTr="001C22E3">
        <w:trPr>
          <w:trHeight w:val="1214"/>
        </w:trPr>
        <w:tc>
          <w:tcPr>
            <w:tcW w:w="5405" w:type="dxa"/>
          </w:tcPr>
          <w:p w14:paraId="67D38168" w14:textId="0B69B7CF"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Is pre-1992 foreclosed property recorded at cost and adjusted, if necessary, to the lower of cost or net realizable value? (SFFAS 3, par</w:t>
            </w:r>
            <w:r w:rsidR="003C5BC5" w:rsidRPr="005B5418">
              <w:rPr>
                <w:rFonts w:eastAsia="Arial Unicode MS"/>
              </w:rPr>
              <w:t>as</w:t>
            </w:r>
            <w:r w:rsidRPr="005B5418">
              <w:rPr>
                <w:rFonts w:eastAsia="Arial Unicode MS"/>
              </w:rPr>
              <w:t>. 81 and 85)</w:t>
            </w:r>
          </w:p>
        </w:tc>
        <w:tc>
          <w:tcPr>
            <w:tcW w:w="965" w:type="dxa"/>
          </w:tcPr>
          <w:p w14:paraId="3818730F" w14:textId="77777777" w:rsidR="00BC1CB7" w:rsidRPr="005B5418" w:rsidRDefault="00BC1CB7" w:rsidP="008848DA">
            <w:pPr>
              <w:pStyle w:val="Table-Cell-CenterBoldBefore6ptAfter6pt"/>
              <w:spacing w:before="60" w:after="60"/>
              <w:rPr>
                <w:rFonts w:cs="Arial"/>
              </w:rPr>
            </w:pPr>
          </w:p>
        </w:tc>
        <w:tc>
          <w:tcPr>
            <w:tcW w:w="3211" w:type="dxa"/>
          </w:tcPr>
          <w:p w14:paraId="1D02DF18" w14:textId="77777777" w:rsidR="00BC1CB7" w:rsidRPr="005B5418" w:rsidRDefault="00BC1CB7" w:rsidP="008848DA">
            <w:pPr>
              <w:spacing w:before="60" w:after="60" w:line="240" w:lineRule="auto"/>
              <w:rPr>
                <w:rFonts w:cs="Arial"/>
              </w:rPr>
            </w:pPr>
          </w:p>
        </w:tc>
      </w:tr>
      <w:tr w:rsidR="00BC1CB7" w:rsidRPr="005B5418" w14:paraId="0BA3C303" w14:textId="77777777" w:rsidTr="001C22E3">
        <w:trPr>
          <w:trHeight w:val="2015"/>
        </w:trPr>
        <w:tc>
          <w:tcPr>
            <w:tcW w:w="5405" w:type="dxa"/>
          </w:tcPr>
          <w:p w14:paraId="217CAABA" w14:textId="3263BF8C"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Is the net realizable value based on an estimate of the market value of the property adjusted for any expected losses consistent with historical experience, abnormal market conditions, and time limitations as well as any other costs of the sale? (SFFAS 3, par</w:t>
            </w:r>
            <w:r w:rsidR="003C5BC5" w:rsidRPr="005B5418">
              <w:rPr>
                <w:rFonts w:eastAsia="Arial Unicode MS"/>
              </w:rPr>
              <w:t>as</w:t>
            </w:r>
            <w:r w:rsidRPr="005B5418">
              <w:rPr>
                <w:rFonts w:eastAsia="Arial Unicode MS"/>
              </w:rPr>
              <w:t>. 85 and 86)</w:t>
            </w:r>
          </w:p>
        </w:tc>
        <w:tc>
          <w:tcPr>
            <w:tcW w:w="965" w:type="dxa"/>
          </w:tcPr>
          <w:p w14:paraId="46AE69CD" w14:textId="77777777" w:rsidR="00BC1CB7" w:rsidRPr="005B5418" w:rsidRDefault="00BC1CB7" w:rsidP="008848DA">
            <w:pPr>
              <w:pStyle w:val="Table-Cell-CenterBoldBefore6ptAfter6pt"/>
              <w:spacing w:before="60" w:after="60"/>
              <w:rPr>
                <w:rFonts w:cs="Arial"/>
              </w:rPr>
            </w:pPr>
          </w:p>
        </w:tc>
        <w:tc>
          <w:tcPr>
            <w:tcW w:w="3211" w:type="dxa"/>
          </w:tcPr>
          <w:p w14:paraId="2C1DBB36" w14:textId="77777777" w:rsidR="00BC1CB7" w:rsidRPr="005B5418" w:rsidRDefault="00BC1CB7" w:rsidP="008848DA">
            <w:pPr>
              <w:spacing w:before="60" w:after="60" w:line="240" w:lineRule="auto"/>
              <w:rPr>
                <w:rFonts w:cs="Arial"/>
              </w:rPr>
            </w:pPr>
          </w:p>
        </w:tc>
      </w:tr>
      <w:tr w:rsidR="00BC1CB7" w:rsidRPr="005B5418" w14:paraId="20618B6E" w14:textId="77777777" w:rsidTr="001C22E3">
        <w:trPr>
          <w:trHeight w:val="2160"/>
        </w:trPr>
        <w:tc>
          <w:tcPr>
            <w:tcW w:w="5405" w:type="dxa"/>
          </w:tcPr>
          <w:p w14:paraId="247D0D01"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the estimate of market value based on</w:t>
            </w:r>
          </w:p>
          <w:p w14:paraId="6C689AB4" w14:textId="475D4972"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market value of the property if an active market exists</w:t>
            </w:r>
            <w:r w:rsidR="003C5BC5" w:rsidRPr="005B5418">
              <w:rPr>
                <w:rFonts w:eastAsia="Arial Unicode MS" w:cs="Arial"/>
                <w:szCs w:val="22"/>
              </w:rPr>
              <w:t>;</w:t>
            </w:r>
          </w:p>
          <w:p w14:paraId="0403E634" w14:textId="30318518"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market value of similar properties if no active market exists</w:t>
            </w:r>
            <w:r w:rsidR="003C5BC5" w:rsidRPr="005B5418">
              <w:rPr>
                <w:rFonts w:eastAsia="Arial Unicode MS" w:cs="Arial"/>
                <w:szCs w:val="22"/>
              </w:rPr>
              <w:t>;</w:t>
            </w:r>
            <w:r w:rsidRPr="005B5418">
              <w:rPr>
                <w:rFonts w:eastAsia="Arial Unicode MS" w:cs="Arial"/>
                <w:szCs w:val="22"/>
              </w:rPr>
              <w:t xml:space="preserve"> or </w:t>
            </w:r>
          </w:p>
          <w:p w14:paraId="24A30147" w14:textId="4789FF13" w:rsidR="00BC1CB7" w:rsidRPr="005B5418" w:rsidRDefault="00BC1CB7" w:rsidP="0047584E">
            <w:pPr>
              <w:pStyle w:val="FAM-Table-outline2"/>
              <w:tabs>
                <w:tab w:val="num" w:pos="576"/>
              </w:tabs>
              <w:spacing w:line="240" w:lineRule="auto"/>
              <w:ind w:left="1155" w:hanging="458"/>
              <w:rPr>
                <w:rFonts w:eastAsia="Arial Unicode MS"/>
              </w:rPr>
            </w:pPr>
            <w:r w:rsidRPr="005B5418">
              <w:rPr>
                <w:rFonts w:eastAsia="Arial Unicode MS" w:cs="Arial"/>
                <w:szCs w:val="22"/>
              </w:rPr>
              <w:t>a reasonable forecast of expected cash flows adjusted for estimates of all holding costs, including any cost of capital?</w:t>
            </w:r>
            <w:r w:rsidRPr="005B5418">
              <w:rPr>
                <w:rFonts w:eastAsia="Arial Unicode MS"/>
              </w:rPr>
              <w:t xml:space="preserve"> (SFFAS 3, par</w:t>
            </w:r>
            <w:r w:rsidR="003C5BC5" w:rsidRPr="005B5418">
              <w:rPr>
                <w:rFonts w:eastAsia="Arial Unicode MS"/>
              </w:rPr>
              <w:t>a</w:t>
            </w:r>
            <w:r w:rsidRPr="005B5418">
              <w:rPr>
                <w:rFonts w:eastAsia="Arial Unicode MS"/>
              </w:rPr>
              <w:t>. 85)</w:t>
            </w:r>
          </w:p>
        </w:tc>
        <w:tc>
          <w:tcPr>
            <w:tcW w:w="965" w:type="dxa"/>
          </w:tcPr>
          <w:p w14:paraId="1C74D6F7" w14:textId="77777777" w:rsidR="00BC1CB7" w:rsidRPr="005B5418" w:rsidRDefault="00BC1CB7" w:rsidP="008848DA">
            <w:pPr>
              <w:pStyle w:val="Table-Cell-CenterBoldBefore6ptAfter6pt"/>
              <w:spacing w:before="60" w:after="60"/>
              <w:rPr>
                <w:rFonts w:cs="Arial"/>
              </w:rPr>
            </w:pPr>
          </w:p>
        </w:tc>
        <w:tc>
          <w:tcPr>
            <w:tcW w:w="3211" w:type="dxa"/>
          </w:tcPr>
          <w:p w14:paraId="496770DC" w14:textId="77777777" w:rsidR="00BC1CB7" w:rsidRPr="005B5418" w:rsidRDefault="00BC1CB7" w:rsidP="008848DA">
            <w:pPr>
              <w:spacing w:before="60" w:after="60" w:line="240" w:lineRule="auto"/>
              <w:rPr>
                <w:rFonts w:cs="Arial"/>
              </w:rPr>
            </w:pPr>
          </w:p>
        </w:tc>
      </w:tr>
      <w:tr w:rsidR="00BC1CB7" w:rsidRPr="005B5418" w14:paraId="04113A94" w14:textId="77777777" w:rsidTr="001C22E3">
        <w:trPr>
          <w:trHeight w:val="1169"/>
        </w:trPr>
        <w:tc>
          <w:tcPr>
            <w:tcW w:w="5405" w:type="dxa"/>
          </w:tcPr>
          <w:p w14:paraId="592EB6D4" w14:textId="21424BC3"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For pre-1992 foreclosed property, are third-party claims recorded at the expected amount of cash required to settle the claims? (SFFAS 3, par</w:t>
            </w:r>
            <w:r w:rsidR="003C5BC5" w:rsidRPr="005B5418">
              <w:rPr>
                <w:rFonts w:eastAsia="Arial Unicode MS"/>
              </w:rPr>
              <w:t>a</w:t>
            </w:r>
            <w:r w:rsidRPr="005B5418">
              <w:rPr>
                <w:rFonts w:eastAsia="Arial Unicode MS"/>
              </w:rPr>
              <w:t>. 87)</w:t>
            </w:r>
          </w:p>
        </w:tc>
        <w:tc>
          <w:tcPr>
            <w:tcW w:w="965" w:type="dxa"/>
          </w:tcPr>
          <w:p w14:paraId="7028C1DF" w14:textId="77777777" w:rsidR="00BC1CB7" w:rsidRPr="005B5418" w:rsidRDefault="00BC1CB7" w:rsidP="008848DA">
            <w:pPr>
              <w:pStyle w:val="Table-Cell-CenterBoldBefore6ptAfter6pt"/>
              <w:spacing w:before="60" w:after="60"/>
              <w:rPr>
                <w:rFonts w:cs="Arial"/>
              </w:rPr>
            </w:pPr>
          </w:p>
        </w:tc>
        <w:tc>
          <w:tcPr>
            <w:tcW w:w="3211" w:type="dxa"/>
          </w:tcPr>
          <w:p w14:paraId="66A28690" w14:textId="77777777" w:rsidR="00BC1CB7" w:rsidRPr="005B5418" w:rsidRDefault="00BC1CB7" w:rsidP="008848DA">
            <w:pPr>
              <w:spacing w:before="60" w:after="60" w:line="240" w:lineRule="auto"/>
              <w:rPr>
                <w:rFonts w:cs="Arial"/>
              </w:rPr>
            </w:pPr>
          </w:p>
        </w:tc>
      </w:tr>
      <w:tr w:rsidR="00BC1CB7" w:rsidRPr="005B5418" w14:paraId="18158B5A" w14:textId="77777777" w:rsidTr="001C22E3">
        <w:trPr>
          <w:trHeight w:val="989"/>
        </w:trPr>
        <w:tc>
          <w:tcPr>
            <w:tcW w:w="5405" w:type="dxa"/>
          </w:tcPr>
          <w:p w14:paraId="2400E156" w14:textId="6E342D59"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If foreclosed property is not sold but placed into operation, is the asset removed from foreclosed property? (SFFAS 3, par</w:t>
            </w:r>
            <w:r w:rsidR="003C5BC5" w:rsidRPr="005B5418">
              <w:rPr>
                <w:rFonts w:eastAsia="Arial Unicode MS"/>
              </w:rPr>
              <w:t>a</w:t>
            </w:r>
            <w:r w:rsidRPr="005B5418">
              <w:rPr>
                <w:rFonts w:eastAsia="Arial Unicode MS"/>
              </w:rPr>
              <w:t>. 90)</w:t>
            </w:r>
          </w:p>
        </w:tc>
        <w:tc>
          <w:tcPr>
            <w:tcW w:w="965" w:type="dxa"/>
          </w:tcPr>
          <w:p w14:paraId="50D1621A" w14:textId="77777777" w:rsidR="00BC1CB7" w:rsidRPr="005B5418" w:rsidRDefault="00BC1CB7" w:rsidP="008848DA">
            <w:pPr>
              <w:pStyle w:val="Table-Cell-CenterBoldBefore6ptAfter6pt"/>
              <w:spacing w:before="60" w:after="60"/>
              <w:rPr>
                <w:rFonts w:cs="Arial"/>
              </w:rPr>
            </w:pPr>
          </w:p>
        </w:tc>
        <w:tc>
          <w:tcPr>
            <w:tcW w:w="3211" w:type="dxa"/>
          </w:tcPr>
          <w:p w14:paraId="0BAD72B0" w14:textId="77777777" w:rsidR="00BC1CB7" w:rsidRPr="005B5418" w:rsidRDefault="00BC1CB7" w:rsidP="008848DA">
            <w:pPr>
              <w:spacing w:before="60" w:after="60" w:line="240" w:lineRule="auto"/>
              <w:rPr>
                <w:rFonts w:cs="Arial"/>
              </w:rPr>
            </w:pPr>
          </w:p>
        </w:tc>
      </w:tr>
      <w:tr w:rsidR="00BC1CB7" w:rsidRPr="005B5418" w14:paraId="1271D2E0" w14:textId="77777777" w:rsidTr="001C22E3">
        <w:trPr>
          <w:trHeight w:val="1502"/>
        </w:trPr>
        <w:tc>
          <w:tcPr>
            <w:tcW w:w="5405" w:type="dxa"/>
          </w:tcPr>
          <w:p w14:paraId="7853C5BE" w14:textId="77777777" w:rsidR="00BC1CB7" w:rsidRPr="005B5418" w:rsidRDefault="00BC1CB7" w:rsidP="008848DA">
            <w:pPr>
              <w:pStyle w:val="FAM-Table-outline"/>
              <w:widowControl/>
              <w:numPr>
                <w:ilvl w:val="0"/>
                <w:numId w:val="1"/>
              </w:numPr>
              <w:adjustRightInd/>
              <w:spacing w:line="240" w:lineRule="auto"/>
              <w:textAlignment w:val="auto"/>
              <w:rPr>
                <w:rFonts w:cs="Arial"/>
              </w:rPr>
            </w:pPr>
            <w:r w:rsidRPr="005B5418">
              <w:rPr>
                <w:rFonts w:eastAsia="Arial Unicode MS"/>
              </w:rPr>
              <w:t>If reimbursement for the transfer of assets from one program to another is made, are the proceeds from the transfer treated in the same manner as a sale to a third party? (SFFAS 3, par</w:t>
            </w:r>
            <w:r w:rsidR="00226B53" w:rsidRPr="005B5418">
              <w:rPr>
                <w:rFonts w:eastAsia="Arial Unicode MS"/>
              </w:rPr>
              <w:t>a</w:t>
            </w:r>
            <w:r w:rsidRPr="005B5418">
              <w:rPr>
                <w:rFonts w:eastAsia="Arial Unicode MS"/>
              </w:rPr>
              <w:t>. 90)</w:t>
            </w:r>
          </w:p>
          <w:p w14:paraId="0D8FC521" w14:textId="1FE03B68" w:rsidR="009A3F7D" w:rsidRPr="005B5418" w:rsidRDefault="009A3F7D" w:rsidP="009A3F7D">
            <w:pPr>
              <w:pStyle w:val="FAM-Table-outline"/>
              <w:widowControl/>
              <w:numPr>
                <w:ilvl w:val="0"/>
                <w:numId w:val="0"/>
              </w:numPr>
              <w:adjustRightInd/>
              <w:spacing w:line="240" w:lineRule="auto"/>
              <w:ind w:left="666"/>
              <w:textAlignment w:val="auto"/>
              <w:rPr>
                <w:rFonts w:cs="Arial"/>
              </w:rPr>
            </w:pPr>
          </w:p>
        </w:tc>
        <w:tc>
          <w:tcPr>
            <w:tcW w:w="965" w:type="dxa"/>
          </w:tcPr>
          <w:p w14:paraId="5F8A36C3" w14:textId="77777777" w:rsidR="00BC1CB7" w:rsidRPr="005B5418" w:rsidRDefault="00BC1CB7" w:rsidP="008848DA">
            <w:pPr>
              <w:pStyle w:val="Table-Cell-CenterBoldBefore6ptAfter6pt"/>
              <w:spacing w:before="60" w:after="60"/>
              <w:rPr>
                <w:rFonts w:cs="Arial"/>
              </w:rPr>
            </w:pPr>
          </w:p>
        </w:tc>
        <w:tc>
          <w:tcPr>
            <w:tcW w:w="3211" w:type="dxa"/>
          </w:tcPr>
          <w:p w14:paraId="5463C462" w14:textId="77777777" w:rsidR="00BC1CB7" w:rsidRPr="005B5418" w:rsidRDefault="00BC1CB7" w:rsidP="008848DA">
            <w:pPr>
              <w:spacing w:before="60" w:after="60" w:line="240" w:lineRule="auto"/>
              <w:rPr>
                <w:rFonts w:cs="Arial"/>
              </w:rPr>
            </w:pPr>
          </w:p>
        </w:tc>
      </w:tr>
      <w:tr w:rsidR="00BC1CB7" w:rsidRPr="005B5418" w14:paraId="08F80454" w14:textId="77777777" w:rsidTr="001C22E3">
        <w:trPr>
          <w:cantSplit/>
          <w:trHeight w:val="422"/>
        </w:trPr>
        <w:tc>
          <w:tcPr>
            <w:tcW w:w="9581" w:type="dxa"/>
            <w:gridSpan w:val="3"/>
          </w:tcPr>
          <w:p w14:paraId="33B384BD" w14:textId="77777777" w:rsidR="00BC1CB7" w:rsidRPr="005B5418" w:rsidRDefault="00BC1CB7" w:rsidP="008848DA">
            <w:pPr>
              <w:spacing w:before="60" w:after="60" w:line="240" w:lineRule="auto"/>
              <w:rPr>
                <w:rFonts w:ascii="Arial" w:hAnsi="Arial" w:cs="Arial"/>
                <w:i/>
              </w:rPr>
            </w:pPr>
            <w:r w:rsidRPr="005B5418">
              <w:rPr>
                <w:rFonts w:ascii="Arial" w:hAnsi="Arial" w:cs="Arial"/>
                <w:i/>
              </w:rPr>
              <w:lastRenderedPageBreak/>
              <w:t>Loan Guarantees</w:t>
            </w:r>
          </w:p>
        </w:tc>
      </w:tr>
      <w:tr w:rsidR="00BC1CB7" w:rsidRPr="005B5418" w14:paraId="4DD411DC" w14:textId="77777777" w:rsidTr="001C22E3">
        <w:trPr>
          <w:cantSplit/>
          <w:trHeight w:val="422"/>
        </w:trPr>
        <w:tc>
          <w:tcPr>
            <w:tcW w:w="9581" w:type="dxa"/>
            <w:gridSpan w:val="3"/>
          </w:tcPr>
          <w:p w14:paraId="2DCAD0CD" w14:textId="77777777" w:rsidR="00BC1CB7" w:rsidRPr="005B5418" w:rsidRDefault="00BC1CB7" w:rsidP="008848DA">
            <w:pPr>
              <w:pStyle w:val="Table-Cell-Left"/>
              <w:spacing w:before="60" w:after="60" w:line="240" w:lineRule="auto"/>
              <w:jc w:val="left"/>
              <w:rPr>
                <w:rFonts w:eastAsia="Arial Unicode MS" w:cs="Arial"/>
                <w:sz w:val="22"/>
                <w:szCs w:val="22"/>
              </w:rPr>
            </w:pPr>
            <w:r w:rsidRPr="005B5418">
              <w:rPr>
                <w:rFonts w:eastAsia="Arial Unicode MS" w:cs="Arial"/>
                <w:sz w:val="22"/>
                <w:szCs w:val="22"/>
              </w:rPr>
              <w:t>A loan guarantee is any guarantee, insurance (but not deposit insurance), or other pledge with respect to the payment of all or part of the principal or interest on any debt obligation of a non</w:t>
            </w:r>
            <w:r w:rsidR="001A3317" w:rsidRPr="005B5418">
              <w:rPr>
                <w:rFonts w:eastAsia="Arial Unicode MS" w:cs="Arial"/>
                <w:sz w:val="22"/>
                <w:szCs w:val="22"/>
              </w:rPr>
              <w:t>-</w:t>
            </w:r>
            <w:r w:rsidRPr="005B5418">
              <w:rPr>
                <w:rFonts w:eastAsia="Arial Unicode MS" w:cs="Arial"/>
                <w:sz w:val="22"/>
                <w:szCs w:val="22"/>
              </w:rPr>
              <w:t>federal borrower to a non</w:t>
            </w:r>
            <w:r w:rsidR="001A3317" w:rsidRPr="005B5418">
              <w:rPr>
                <w:rFonts w:eastAsia="Arial Unicode MS" w:cs="Arial"/>
                <w:sz w:val="22"/>
                <w:szCs w:val="22"/>
              </w:rPr>
              <w:t>-</w:t>
            </w:r>
            <w:r w:rsidRPr="005B5418">
              <w:rPr>
                <w:rFonts w:eastAsia="Arial Unicode MS" w:cs="Arial"/>
                <w:sz w:val="22"/>
                <w:szCs w:val="22"/>
              </w:rPr>
              <w:t>federal lender. (SFFAS 2, app. C)</w:t>
            </w:r>
          </w:p>
          <w:p w14:paraId="58B90A7C" w14:textId="51994D4A" w:rsidR="00BC1CB7" w:rsidRPr="005B5418" w:rsidRDefault="00BC1CB7" w:rsidP="006F5AAD">
            <w:pPr>
              <w:spacing w:before="60" w:after="60" w:line="240" w:lineRule="auto"/>
              <w:rPr>
                <w:rFonts w:ascii="Arial" w:hAnsi="Arial" w:cs="Arial"/>
              </w:rPr>
            </w:pPr>
            <w:r w:rsidRPr="005B5418">
              <w:rPr>
                <w:rFonts w:ascii="Arial" w:eastAsia="Arial Unicode MS" w:hAnsi="Arial" w:cs="Arial"/>
              </w:rPr>
              <w:t>The Federal Credit Reform Act</w:t>
            </w:r>
            <w:r w:rsidR="009B6367" w:rsidRPr="005B5418">
              <w:rPr>
                <w:rFonts w:ascii="Arial" w:eastAsia="Arial Unicode MS" w:hAnsi="Arial" w:cs="Arial"/>
              </w:rPr>
              <w:t xml:space="preserve"> of 1990</w:t>
            </w:r>
            <w:r w:rsidRPr="005B5418">
              <w:rPr>
                <w:rFonts w:ascii="Arial" w:eastAsia="Arial Unicode MS" w:hAnsi="Arial" w:cs="Arial"/>
              </w:rPr>
              <w:t xml:space="preserve"> requires federal entities to estimate and budget for the costs arising from default of guaranteed loans made after fiscal year 1991 (i.e., post</w:t>
            </w:r>
            <w:r w:rsidR="00BB7718" w:rsidRPr="005B5418">
              <w:rPr>
                <w:rFonts w:ascii="Arial" w:eastAsia="Arial Unicode MS" w:hAnsi="Arial" w:cs="Arial"/>
              </w:rPr>
              <w:t>-</w:t>
            </w:r>
            <w:r w:rsidRPr="005B5418">
              <w:rPr>
                <w:rFonts w:ascii="Arial" w:eastAsia="Arial Unicode MS" w:hAnsi="Arial" w:cs="Arial"/>
              </w:rPr>
              <w:t>1991). (SFFAS 2, par</w:t>
            </w:r>
            <w:r w:rsidR="00226B53" w:rsidRPr="005B5418">
              <w:rPr>
                <w:rFonts w:ascii="Arial" w:eastAsia="Arial Unicode MS" w:hAnsi="Arial" w:cs="Arial"/>
              </w:rPr>
              <w:t>a</w:t>
            </w:r>
            <w:r w:rsidRPr="005B5418">
              <w:rPr>
                <w:rFonts w:ascii="Arial" w:eastAsia="Arial Unicode MS" w:hAnsi="Arial" w:cs="Arial"/>
              </w:rPr>
              <w:t>. 7)</w:t>
            </w:r>
          </w:p>
        </w:tc>
      </w:tr>
      <w:tr w:rsidR="00BC1CB7" w:rsidRPr="005B5418" w14:paraId="294C5CD2" w14:textId="77777777" w:rsidTr="001C22E3">
        <w:trPr>
          <w:cantSplit/>
          <w:trHeight w:val="1268"/>
        </w:trPr>
        <w:tc>
          <w:tcPr>
            <w:tcW w:w="5405" w:type="dxa"/>
          </w:tcPr>
          <w:p w14:paraId="5BBE0474" w14:textId="713AE48C" w:rsidR="00BC1CB7" w:rsidRPr="005B5418" w:rsidRDefault="00BC1CB7" w:rsidP="008848DA">
            <w:pPr>
              <w:pStyle w:val="FAM-Table-outline"/>
              <w:numPr>
                <w:ilvl w:val="0"/>
                <w:numId w:val="1"/>
              </w:numPr>
              <w:spacing w:line="240" w:lineRule="auto"/>
            </w:pPr>
            <w:r w:rsidRPr="005B5418">
              <w:rPr>
                <w:rFonts w:eastAsia="Arial Unicode MS"/>
              </w:rPr>
              <w:t>Is the present value of estimated net cash outflows from post-1991 (i.e., committed after September 30, 1991) loan guarantees recognized as a liability? (SFFAS 2, par</w:t>
            </w:r>
            <w:r w:rsidR="00226B53" w:rsidRPr="005B5418">
              <w:rPr>
                <w:rFonts w:eastAsia="Arial Unicode MS"/>
              </w:rPr>
              <w:t>a</w:t>
            </w:r>
            <w:r w:rsidRPr="005B5418">
              <w:rPr>
                <w:rFonts w:eastAsia="Arial Unicode MS"/>
              </w:rPr>
              <w:t>. 23)</w:t>
            </w:r>
          </w:p>
        </w:tc>
        <w:tc>
          <w:tcPr>
            <w:tcW w:w="965" w:type="dxa"/>
          </w:tcPr>
          <w:p w14:paraId="23BDC6AF" w14:textId="77777777" w:rsidR="00BC1CB7" w:rsidRPr="005B5418" w:rsidRDefault="00BC1CB7" w:rsidP="008848DA">
            <w:pPr>
              <w:pStyle w:val="Table-Cell-CenterBoldBefore6ptAfter6pt"/>
              <w:spacing w:before="60" w:after="60"/>
              <w:rPr>
                <w:rFonts w:cs="Arial"/>
              </w:rPr>
            </w:pPr>
          </w:p>
        </w:tc>
        <w:tc>
          <w:tcPr>
            <w:tcW w:w="3211" w:type="dxa"/>
          </w:tcPr>
          <w:p w14:paraId="427BFAAB" w14:textId="77777777" w:rsidR="00BC1CB7" w:rsidRPr="005B5418" w:rsidRDefault="00BC1CB7" w:rsidP="008848DA">
            <w:pPr>
              <w:spacing w:before="60" w:after="60" w:line="240" w:lineRule="auto"/>
              <w:rPr>
                <w:rFonts w:cs="Arial"/>
              </w:rPr>
            </w:pPr>
          </w:p>
        </w:tc>
      </w:tr>
      <w:tr w:rsidR="00BC1CB7" w:rsidRPr="005B5418" w14:paraId="6751565F" w14:textId="77777777" w:rsidTr="001C22E3">
        <w:trPr>
          <w:cantSplit/>
          <w:trHeight w:val="1700"/>
        </w:trPr>
        <w:tc>
          <w:tcPr>
            <w:tcW w:w="5405" w:type="dxa"/>
          </w:tcPr>
          <w:p w14:paraId="7191B0F0" w14:textId="0F39EF4F" w:rsidR="00BC1CB7" w:rsidRPr="005B5418" w:rsidRDefault="00BC1CB7" w:rsidP="008848DA">
            <w:pPr>
              <w:pStyle w:val="FAM-Table-outline"/>
              <w:numPr>
                <w:ilvl w:val="0"/>
                <w:numId w:val="1"/>
              </w:numPr>
              <w:spacing w:line="240" w:lineRule="auto"/>
              <w:rPr>
                <w:rFonts w:eastAsia="Arial Unicode MS"/>
              </w:rPr>
            </w:pPr>
            <w:r w:rsidRPr="005B5418">
              <w:rPr>
                <w:rFonts w:eastAsia="Arial Unicode MS"/>
              </w:rPr>
              <w:t>Is a liability for a pre-1992 (i.e., committed before October 1, 1991) loan guarantee recognized when it is more likely than not that the loan guarantee will require a future cash outflow to pay a default claim? (SFFAS 2, par</w:t>
            </w:r>
            <w:r w:rsidR="00226B53" w:rsidRPr="005B5418">
              <w:rPr>
                <w:rFonts w:eastAsia="Arial Unicode MS"/>
              </w:rPr>
              <w:t>a</w:t>
            </w:r>
            <w:r w:rsidRPr="005B5418">
              <w:rPr>
                <w:rFonts w:eastAsia="Arial Unicode MS"/>
              </w:rPr>
              <w:t>. 39 and app.</w:t>
            </w:r>
            <w:r w:rsidR="001A3317" w:rsidRPr="005B5418">
              <w:rPr>
                <w:rFonts w:eastAsia="Arial Unicode MS"/>
              </w:rPr>
              <w:t xml:space="preserve"> B, part IV </w:t>
            </w:r>
            <w:r w:rsidRPr="005B5418">
              <w:rPr>
                <w:rFonts w:eastAsia="Arial Unicode MS"/>
              </w:rPr>
              <w:t>A)</w:t>
            </w:r>
          </w:p>
        </w:tc>
        <w:tc>
          <w:tcPr>
            <w:tcW w:w="965" w:type="dxa"/>
          </w:tcPr>
          <w:p w14:paraId="7D3DE06B" w14:textId="77777777" w:rsidR="00BC1CB7" w:rsidRPr="005B5418" w:rsidRDefault="00BC1CB7" w:rsidP="008848DA">
            <w:pPr>
              <w:pStyle w:val="Table-Cell-CenterBoldBefore6ptAfter6pt"/>
              <w:spacing w:before="60" w:after="60"/>
              <w:rPr>
                <w:rFonts w:cs="Arial"/>
              </w:rPr>
            </w:pPr>
          </w:p>
        </w:tc>
        <w:tc>
          <w:tcPr>
            <w:tcW w:w="3211" w:type="dxa"/>
          </w:tcPr>
          <w:p w14:paraId="49D7652D" w14:textId="77777777" w:rsidR="00BC1CB7" w:rsidRPr="005B5418" w:rsidRDefault="00BC1CB7" w:rsidP="008848DA">
            <w:pPr>
              <w:spacing w:before="60" w:after="60" w:line="240" w:lineRule="auto"/>
              <w:rPr>
                <w:rFonts w:cs="Arial"/>
              </w:rPr>
            </w:pPr>
          </w:p>
        </w:tc>
      </w:tr>
      <w:tr w:rsidR="00BC1CB7" w:rsidRPr="005B5418" w14:paraId="7AB76FD3" w14:textId="77777777" w:rsidTr="001C22E3">
        <w:trPr>
          <w:cantSplit/>
          <w:trHeight w:val="1286"/>
        </w:trPr>
        <w:tc>
          <w:tcPr>
            <w:tcW w:w="5405" w:type="dxa"/>
          </w:tcPr>
          <w:p w14:paraId="366B7159" w14:textId="2C91A27E" w:rsidR="00BC1CB7" w:rsidRPr="005B5418" w:rsidRDefault="00BC1CB7" w:rsidP="008848DA">
            <w:pPr>
              <w:pStyle w:val="FAM-Table-outline"/>
              <w:numPr>
                <w:ilvl w:val="0"/>
                <w:numId w:val="1"/>
              </w:numPr>
              <w:spacing w:line="240" w:lineRule="auto"/>
              <w:rPr>
                <w:rFonts w:eastAsia="Arial Unicode MS"/>
              </w:rPr>
            </w:pPr>
            <w:r w:rsidRPr="005B5418">
              <w:rPr>
                <w:rFonts w:eastAsia="Arial Unicode MS"/>
              </w:rPr>
              <w:t>Are the liabilities for the pre-1992 loan guarantees reestimated each year as of the date of the financial statements? (SFFAS 2, par</w:t>
            </w:r>
            <w:r w:rsidR="00226B53" w:rsidRPr="005B5418">
              <w:rPr>
                <w:rFonts w:eastAsia="Arial Unicode MS"/>
              </w:rPr>
              <w:t>a</w:t>
            </w:r>
            <w:r w:rsidRPr="005B5418">
              <w:rPr>
                <w:rFonts w:eastAsia="Arial Unicode MS"/>
              </w:rPr>
              <w:t>. 39)</w:t>
            </w:r>
          </w:p>
        </w:tc>
        <w:tc>
          <w:tcPr>
            <w:tcW w:w="965" w:type="dxa"/>
          </w:tcPr>
          <w:p w14:paraId="52E84051" w14:textId="77777777" w:rsidR="00BC1CB7" w:rsidRPr="005B5418" w:rsidRDefault="00BC1CB7" w:rsidP="008848DA">
            <w:pPr>
              <w:pStyle w:val="Table-Cell-CenterBoldBefore6ptAfter6pt"/>
              <w:spacing w:before="60" w:after="60"/>
              <w:rPr>
                <w:rFonts w:cs="Arial"/>
              </w:rPr>
            </w:pPr>
          </w:p>
        </w:tc>
        <w:tc>
          <w:tcPr>
            <w:tcW w:w="3211" w:type="dxa"/>
          </w:tcPr>
          <w:p w14:paraId="32F84D3A" w14:textId="77777777" w:rsidR="00BC1CB7" w:rsidRPr="005B5418" w:rsidRDefault="00BC1CB7" w:rsidP="008848DA">
            <w:pPr>
              <w:spacing w:before="60" w:after="60" w:line="240" w:lineRule="auto"/>
              <w:rPr>
                <w:rFonts w:cs="Arial"/>
              </w:rPr>
            </w:pPr>
          </w:p>
        </w:tc>
      </w:tr>
      <w:tr w:rsidR="00BC1CB7" w:rsidRPr="005B5418" w14:paraId="5C051BCF" w14:textId="77777777" w:rsidTr="001C22E3">
        <w:trPr>
          <w:cantSplit/>
          <w:trHeight w:val="2160"/>
        </w:trPr>
        <w:tc>
          <w:tcPr>
            <w:tcW w:w="5405" w:type="dxa"/>
          </w:tcPr>
          <w:p w14:paraId="6A49F5F9" w14:textId="22ABA801" w:rsidR="00BC1CB7" w:rsidRPr="005B5418" w:rsidRDefault="00BC1CB7" w:rsidP="008848DA">
            <w:pPr>
              <w:pStyle w:val="FAM-Table-outline"/>
              <w:numPr>
                <w:ilvl w:val="0"/>
                <w:numId w:val="1"/>
              </w:numPr>
              <w:spacing w:line="240" w:lineRule="auto"/>
              <w:rPr>
                <w:rFonts w:eastAsia="Arial Unicode MS"/>
              </w:rPr>
            </w:pPr>
            <w:r w:rsidRPr="005B5418">
              <w:rPr>
                <w:rFonts w:eastAsia="Arial Unicode MS"/>
              </w:rPr>
              <w:t xml:space="preserve">When post-1991 loan guarantees are modified, is the existing book </w:t>
            </w:r>
            <w:r w:rsidR="00BB7718" w:rsidRPr="005B5418">
              <w:rPr>
                <w:rFonts w:eastAsia="Arial Unicode MS"/>
              </w:rPr>
              <w:t>value</w:t>
            </w:r>
            <w:r w:rsidRPr="005B5418">
              <w:rPr>
                <w:rFonts w:eastAsia="Arial Unicode MS"/>
              </w:rPr>
              <w:t xml:space="preserve"> of the liability changed to an amount equal to the present value of net cash outflows that are projected under the modified terms from the time of the modification to the loan’s maturity, and discounted at the original discount rate?</w:t>
            </w:r>
            <w:r w:rsidRPr="005B5418">
              <w:rPr>
                <w:rFonts w:eastAsia="Arial Unicode MS"/>
                <w:vertAlign w:val="superscript"/>
              </w:rPr>
              <w:footnoteReference w:id="89"/>
            </w:r>
            <w:r w:rsidRPr="005B5418">
              <w:rPr>
                <w:rFonts w:eastAsia="Arial Unicode MS"/>
              </w:rPr>
              <w:t xml:space="preserve"> (SFFAS 2, par</w:t>
            </w:r>
            <w:r w:rsidR="00226B53" w:rsidRPr="005B5418">
              <w:rPr>
                <w:rFonts w:eastAsia="Arial Unicode MS"/>
              </w:rPr>
              <w:t>a</w:t>
            </w:r>
            <w:r w:rsidRPr="005B5418">
              <w:rPr>
                <w:rFonts w:eastAsia="Arial Unicode MS"/>
              </w:rPr>
              <w:t>. 50 and app.</w:t>
            </w:r>
            <w:r w:rsidR="001A3317" w:rsidRPr="005B5418">
              <w:rPr>
                <w:rFonts w:eastAsia="Arial Unicode MS"/>
              </w:rPr>
              <w:t xml:space="preserve"> </w:t>
            </w:r>
            <w:r w:rsidRPr="005B5418">
              <w:rPr>
                <w:rFonts w:eastAsia="Arial Unicode MS"/>
              </w:rPr>
              <w:t xml:space="preserve">B, part III D(4);) </w:t>
            </w:r>
          </w:p>
        </w:tc>
        <w:tc>
          <w:tcPr>
            <w:tcW w:w="965" w:type="dxa"/>
          </w:tcPr>
          <w:p w14:paraId="326E4945" w14:textId="77777777" w:rsidR="00BC1CB7" w:rsidRPr="005B5418" w:rsidRDefault="00BC1CB7" w:rsidP="008848DA">
            <w:pPr>
              <w:pStyle w:val="Table-Cell-CenterBoldBefore6ptAfter6pt"/>
              <w:spacing w:before="60" w:after="60"/>
              <w:rPr>
                <w:rFonts w:cs="Arial"/>
              </w:rPr>
            </w:pPr>
          </w:p>
        </w:tc>
        <w:tc>
          <w:tcPr>
            <w:tcW w:w="3211" w:type="dxa"/>
          </w:tcPr>
          <w:p w14:paraId="4BFDA08D" w14:textId="77777777" w:rsidR="00BC1CB7" w:rsidRPr="005B5418" w:rsidRDefault="00BC1CB7" w:rsidP="008848DA">
            <w:pPr>
              <w:spacing w:before="60" w:after="60" w:line="240" w:lineRule="auto"/>
              <w:rPr>
                <w:rFonts w:cs="Arial"/>
              </w:rPr>
            </w:pPr>
          </w:p>
        </w:tc>
      </w:tr>
      <w:tr w:rsidR="00BC1CB7" w:rsidRPr="005B5418" w14:paraId="6C6F2E5A" w14:textId="77777777" w:rsidTr="001C22E3">
        <w:trPr>
          <w:cantSplit/>
          <w:trHeight w:val="2160"/>
        </w:trPr>
        <w:tc>
          <w:tcPr>
            <w:tcW w:w="5405" w:type="dxa"/>
          </w:tcPr>
          <w:p w14:paraId="4B08C531"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When pre-1992 loan guarantees are directly modified, are</w:t>
            </w:r>
          </w:p>
          <w:p w14:paraId="2A81BF58" w14:textId="14F81282"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loan guarantees transferred from the liquidating account to a financing account and</w:t>
            </w:r>
          </w:p>
          <w:p w14:paraId="4E9664F1" w14:textId="62A7BF6C" w:rsidR="00BC1CB7" w:rsidRPr="005B5418" w:rsidRDefault="00BC1CB7" w:rsidP="0047584E">
            <w:pPr>
              <w:pStyle w:val="FAM-Table-outline2"/>
              <w:tabs>
                <w:tab w:val="num" w:pos="576"/>
              </w:tabs>
              <w:spacing w:line="240" w:lineRule="auto"/>
              <w:ind w:left="1155" w:hanging="458"/>
              <w:rPr>
                <w:rFonts w:eastAsia="Arial Unicode MS"/>
              </w:rPr>
            </w:pPr>
            <w:r w:rsidRPr="005B5418">
              <w:rPr>
                <w:rFonts w:eastAsia="Arial Unicode MS" w:cs="Arial"/>
                <w:szCs w:val="22"/>
              </w:rPr>
              <w:t>the existing book value of the liability of the modified loan guarantees changed to an amount equal to its postmodification liability (</w:t>
            </w:r>
            <w:r w:rsidR="00790514" w:rsidRPr="00790514">
              <w:rPr>
                <w:rFonts w:eastAsia="Arial Unicode MS" w:cs="Arial"/>
                <w:szCs w:val="22"/>
              </w:rPr>
              <w:t>Any subsequent modification is treated as a modification of post-1991 loan guarantees</w:t>
            </w:r>
            <w:r w:rsidRPr="005B5418">
              <w:rPr>
                <w:rFonts w:eastAsia="Arial Unicode MS" w:cs="Arial"/>
                <w:szCs w:val="22"/>
              </w:rPr>
              <w:t>)?</w:t>
            </w:r>
            <w:r w:rsidRPr="005B5418">
              <w:rPr>
                <w:rFonts w:eastAsia="Arial Unicode MS"/>
              </w:rPr>
              <w:t xml:space="preserve"> (SFFAS 2, par</w:t>
            </w:r>
            <w:r w:rsidR="00A116A3" w:rsidRPr="005B5418">
              <w:rPr>
                <w:rFonts w:eastAsia="Arial Unicode MS"/>
              </w:rPr>
              <w:t>a</w:t>
            </w:r>
            <w:r w:rsidRPr="005B5418">
              <w:rPr>
                <w:rFonts w:eastAsia="Arial Unicode MS"/>
              </w:rPr>
              <w:t>. 51 and app. B, part</w:t>
            </w:r>
            <w:r w:rsidR="00A116A3" w:rsidRPr="005B5418">
              <w:rPr>
                <w:rFonts w:eastAsia="Arial Unicode MS"/>
              </w:rPr>
              <w:t>s</w:t>
            </w:r>
            <w:r w:rsidRPr="005B5418">
              <w:rPr>
                <w:rFonts w:eastAsia="Arial Unicode MS"/>
              </w:rPr>
              <w:t xml:space="preserve"> IV B (2) and (4))</w:t>
            </w:r>
          </w:p>
        </w:tc>
        <w:tc>
          <w:tcPr>
            <w:tcW w:w="965" w:type="dxa"/>
          </w:tcPr>
          <w:p w14:paraId="7AAB4072" w14:textId="77777777" w:rsidR="00BC1CB7" w:rsidRPr="005B5418" w:rsidRDefault="00BC1CB7" w:rsidP="008848DA">
            <w:pPr>
              <w:pStyle w:val="Table-Cell-CenterBoldBefore6ptAfter6pt"/>
              <w:spacing w:before="60" w:after="60"/>
              <w:rPr>
                <w:rFonts w:cs="Arial"/>
              </w:rPr>
            </w:pPr>
          </w:p>
        </w:tc>
        <w:tc>
          <w:tcPr>
            <w:tcW w:w="3211" w:type="dxa"/>
          </w:tcPr>
          <w:p w14:paraId="16D45FE2" w14:textId="77777777" w:rsidR="00BC1CB7" w:rsidRPr="005B5418" w:rsidRDefault="00BC1CB7" w:rsidP="008848DA">
            <w:pPr>
              <w:spacing w:before="60" w:after="60" w:line="240" w:lineRule="auto"/>
              <w:rPr>
                <w:rFonts w:cs="Arial"/>
              </w:rPr>
            </w:pPr>
          </w:p>
        </w:tc>
      </w:tr>
      <w:tr w:rsidR="00BC1CB7" w:rsidRPr="005B5418" w14:paraId="6B7F93D6" w14:textId="77777777" w:rsidTr="001C22E3">
        <w:trPr>
          <w:cantSplit/>
          <w:trHeight w:val="2160"/>
        </w:trPr>
        <w:tc>
          <w:tcPr>
            <w:tcW w:w="5405" w:type="dxa"/>
          </w:tcPr>
          <w:p w14:paraId="005216F4" w14:textId="068ACDB8"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When pre-1992 loan guarantees are indirectly modified,</w:t>
            </w:r>
          </w:p>
          <w:p w14:paraId="6847439D" w14:textId="4D0B2FDF" w:rsidR="00BC1CB7" w:rsidRPr="005B5418" w:rsidRDefault="00A116A3"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are </w:t>
            </w:r>
            <w:r w:rsidR="00BC1CB7" w:rsidRPr="005B5418">
              <w:rPr>
                <w:rFonts w:eastAsia="Arial Unicode MS" w:cs="Arial"/>
                <w:szCs w:val="22"/>
              </w:rPr>
              <w:t xml:space="preserve">the loan guarantees kept in a liquidating account, </w:t>
            </w:r>
          </w:p>
          <w:p w14:paraId="10F9C7FD" w14:textId="4A94A5D1" w:rsidR="00BC1CB7" w:rsidRPr="005B5418" w:rsidRDefault="00A116A3"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is </w:t>
            </w:r>
            <w:r w:rsidR="00BC1CB7" w:rsidRPr="005B5418">
              <w:rPr>
                <w:rFonts w:eastAsia="Arial Unicode MS" w:cs="Arial"/>
                <w:szCs w:val="22"/>
              </w:rPr>
              <w:t>the related liability reassessed and adjusted to reflect any change in the liability resulting from the modification (SFFAS 2, par</w:t>
            </w:r>
            <w:r w:rsidR="000E19D4" w:rsidRPr="005B5418">
              <w:rPr>
                <w:rFonts w:eastAsia="Arial Unicode MS" w:cs="Arial"/>
                <w:szCs w:val="22"/>
              </w:rPr>
              <w:t>a</w:t>
            </w:r>
            <w:r w:rsidR="00BC1CB7" w:rsidRPr="005B5418">
              <w:rPr>
                <w:rFonts w:eastAsia="Arial Unicode MS" w:cs="Arial"/>
                <w:szCs w:val="22"/>
              </w:rPr>
              <w:t>. 51)</w:t>
            </w:r>
            <w:r w:rsidRPr="005B5418">
              <w:rPr>
                <w:rFonts w:eastAsia="Arial Unicode MS" w:cs="Arial"/>
                <w:szCs w:val="22"/>
              </w:rPr>
              <w:t>, and</w:t>
            </w:r>
          </w:p>
          <w:p w14:paraId="5979F0A0" w14:textId="7BDC381E" w:rsidR="00AE430E" w:rsidRPr="005B5418" w:rsidRDefault="00A116A3" w:rsidP="0047584E">
            <w:pPr>
              <w:pStyle w:val="FAM-Table-outline2"/>
              <w:tabs>
                <w:tab w:val="num" w:pos="576"/>
              </w:tabs>
              <w:spacing w:line="240" w:lineRule="auto"/>
              <w:ind w:left="1155" w:hanging="458"/>
              <w:rPr>
                <w:rFonts w:eastAsia="Arial Unicode MS"/>
              </w:rPr>
            </w:pPr>
            <w:r w:rsidRPr="005B5418">
              <w:rPr>
                <w:rFonts w:eastAsia="Arial Unicode MS" w:cs="Arial"/>
                <w:szCs w:val="22"/>
              </w:rPr>
              <w:t xml:space="preserve">are these </w:t>
            </w:r>
            <w:r w:rsidR="00AE430E" w:rsidRPr="005B5418">
              <w:rPr>
                <w:rFonts w:eastAsia="Arial Unicode MS" w:cs="Arial"/>
                <w:szCs w:val="22"/>
              </w:rPr>
              <w:t>treated as modifications of post-1991 loan guarantees</w:t>
            </w:r>
            <w:r w:rsidR="00AE430E" w:rsidRPr="005B5418">
              <w:rPr>
                <w:rFonts w:eastAsia="Arial Unicode MS"/>
              </w:rPr>
              <w:t>? (SFFAS 2, par</w:t>
            </w:r>
            <w:r w:rsidRPr="005B5418">
              <w:rPr>
                <w:rFonts w:eastAsia="Arial Unicode MS"/>
              </w:rPr>
              <w:t>a</w:t>
            </w:r>
            <w:r w:rsidR="00AE430E" w:rsidRPr="005B5418">
              <w:rPr>
                <w:rFonts w:eastAsia="Arial Unicode MS"/>
              </w:rPr>
              <w:t>. 51)</w:t>
            </w:r>
          </w:p>
        </w:tc>
        <w:tc>
          <w:tcPr>
            <w:tcW w:w="965" w:type="dxa"/>
          </w:tcPr>
          <w:p w14:paraId="36112169" w14:textId="77777777" w:rsidR="00BC1CB7" w:rsidRPr="005B5418" w:rsidRDefault="00BC1CB7" w:rsidP="008848DA">
            <w:pPr>
              <w:pStyle w:val="Table-Cell-CenterBoldBefore6ptAfter6pt"/>
              <w:spacing w:before="60" w:after="60"/>
              <w:rPr>
                <w:rFonts w:cs="Arial"/>
              </w:rPr>
            </w:pPr>
          </w:p>
        </w:tc>
        <w:tc>
          <w:tcPr>
            <w:tcW w:w="3211" w:type="dxa"/>
          </w:tcPr>
          <w:p w14:paraId="4A3B9994" w14:textId="77777777" w:rsidR="00BC1CB7" w:rsidRPr="005B5418" w:rsidRDefault="00BC1CB7" w:rsidP="008848DA">
            <w:pPr>
              <w:spacing w:before="60" w:after="60" w:line="240" w:lineRule="auto"/>
              <w:rPr>
                <w:rFonts w:cs="Arial"/>
              </w:rPr>
            </w:pPr>
          </w:p>
        </w:tc>
      </w:tr>
      <w:tr w:rsidR="00BC1CB7" w:rsidRPr="005B5418" w14:paraId="0B2981F6" w14:textId="77777777" w:rsidTr="001C22E3">
        <w:trPr>
          <w:cantSplit/>
          <w:trHeight w:val="1853"/>
        </w:trPr>
        <w:tc>
          <w:tcPr>
            <w:tcW w:w="5405" w:type="dxa"/>
          </w:tcPr>
          <w:p w14:paraId="1857671D" w14:textId="142EA557" w:rsidR="00BC1CB7" w:rsidRPr="005B5418" w:rsidRDefault="00BC1CB7" w:rsidP="007B5405">
            <w:pPr>
              <w:pStyle w:val="FAM-Table-outline"/>
              <w:numPr>
                <w:ilvl w:val="0"/>
                <w:numId w:val="1"/>
              </w:numPr>
              <w:spacing w:line="240" w:lineRule="auto"/>
              <w:rPr>
                <w:rFonts w:cs="Arial"/>
              </w:rPr>
            </w:pPr>
            <w:r w:rsidRPr="005B5418">
              <w:rPr>
                <w:rFonts w:eastAsia="Arial Unicode MS"/>
              </w:rPr>
              <w:t>If a post-1991 or pre-1992 loan is sold with a recourse provision, is the present value (discounted at the Treasury rate in effect at the time of the sale) of the estimated losses recognized as a subsidy expense and a loan guarantee liability? (SFFAS 2, par</w:t>
            </w:r>
            <w:r w:rsidR="00A116A3" w:rsidRPr="005B5418">
              <w:rPr>
                <w:rFonts w:eastAsia="Arial Unicode MS"/>
              </w:rPr>
              <w:t>a</w:t>
            </w:r>
            <w:r w:rsidRPr="005B5418">
              <w:rPr>
                <w:rFonts w:eastAsia="Arial Unicode MS"/>
              </w:rPr>
              <w:t>. 54 and app.</w:t>
            </w:r>
            <w:r w:rsidR="001A3317" w:rsidRPr="005B5418">
              <w:rPr>
                <w:rFonts w:eastAsia="Arial Unicode MS"/>
              </w:rPr>
              <w:t xml:space="preserve"> B, part I </w:t>
            </w:r>
            <w:r w:rsidRPr="005B5418">
              <w:rPr>
                <w:rFonts w:eastAsia="Arial Unicode MS"/>
              </w:rPr>
              <w:t>F(3))</w:t>
            </w:r>
          </w:p>
        </w:tc>
        <w:tc>
          <w:tcPr>
            <w:tcW w:w="965" w:type="dxa"/>
          </w:tcPr>
          <w:p w14:paraId="6C1B8C70" w14:textId="77777777" w:rsidR="00BC1CB7" w:rsidRPr="005B5418" w:rsidRDefault="00BC1CB7" w:rsidP="008848DA">
            <w:pPr>
              <w:pStyle w:val="Table-Cell-CenterBoldBefore6ptAfter6pt"/>
              <w:spacing w:before="60" w:after="60"/>
              <w:rPr>
                <w:rFonts w:cs="Arial"/>
              </w:rPr>
            </w:pPr>
          </w:p>
        </w:tc>
        <w:tc>
          <w:tcPr>
            <w:tcW w:w="3211" w:type="dxa"/>
          </w:tcPr>
          <w:p w14:paraId="77E79AC5" w14:textId="77777777" w:rsidR="00BC1CB7" w:rsidRPr="005B5418" w:rsidRDefault="00BC1CB7" w:rsidP="008848DA">
            <w:pPr>
              <w:spacing w:before="60" w:after="60" w:line="240" w:lineRule="auto"/>
              <w:rPr>
                <w:rFonts w:cs="Arial"/>
              </w:rPr>
            </w:pPr>
          </w:p>
        </w:tc>
      </w:tr>
      <w:tr w:rsidR="00BC1CB7" w:rsidRPr="005B5418" w14:paraId="0136288E" w14:textId="77777777" w:rsidTr="001C22E3">
        <w:trPr>
          <w:cantSplit/>
          <w:trHeight w:val="422"/>
        </w:trPr>
        <w:tc>
          <w:tcPr>
            <w:tcW w:w="9581" w:type="dxa"/>
            <w:gridSpan w:val="3"/>
          </w:tcPr>
          <w:p w14:paraId="526B80B9" w14:textId="77777777" w:rsidR="00BC1CB7" w:rsidRPr="005B5418" w:rsidRDefault="00BC1CB7" w:rsidP="008848DA">
            <w:pPr>
              <w:spacing w:before="60" w:after="60" w:line="240" w:lineRule="auto"/>
              <w:rPr>
                <w:rFonts w:ascii="Arial" w:hAnsi="Arial" w:cs="Arial"/>
                <w:i/>
              </w:rPr>
            </w:pPr>
            <w:r w:rsidRPr="005B5418">
              <w:rPr>
                <w:rFonts w:ascii="Arial" w:hAnsi="Arial" w:cs="Arial"/>
                <w:i/>
              </w:rPr>
              <w:t>Credit Program Costs</w:t>
            </w:r>
          </w:p>
        </w:tc>
      </w:tr>
      <w:tr w:rsidR="00BC1CB7" w:rsidRPr="005B5418" w14:paraId="483E13EB" w14:textId="77777777" w:rsidTr="001C22E3">
        <w:trPr>
          <w:cantSplit/>
          <w:trHeight w:val="422"/>
        </w:trPr>
        <w:tc>
          <w:tcPr>
            <w:tcW w:w="9581" w:type="dxa"/>
            <w:gridSpan w:val="3"/>
          </w:tcPr>
          <w:p w14:paraId="15BE7FEB" w14:textId="49ACF835" w:rsidR="00BC1CB7" w:rsidRPr="005B5418" w:rsidRDefault="00BC1CB7" w:rsidP="006F5AAD">
            <w:pPr>
              <w:spacing w:before="60" w:after="60" w:line="240" w:lineRule="auto"/>
              <w:ind w:left="-21"/>
              <w:rPr>
                <w:rFonts w:ascii="Arial" w:hAnsi="Arial" w:cs="Arial"/>
              </w:rPr>
            </w:pPr>
            <w:r w:rsidRPr="005B5418">
              <w:rPr>
                <w:rFonts w:ascii="Arial" w:eastAsia="Arial Unicode MS" w:hAnsi="Arial" w:cs="Arial"/>
              </w:rPr>
              <w:t>In accordance with the Federal Credit Reform Act</w:t>
            </w:r>
            <w:r w:rsidR="009B6367" w:rsidRPr="005B5418">
              <w:rPr>
                <w:rFonts w:ascii="Arial" w:eastAsia="Arial Unicode MS" w:hAnsi="Arial" w:cs="Arial"/>
              </w:rPr>
              <w:t xml:space="preserve"> of 1990</w:t>
            </w:r>
            <w:r w:rsidRPr="005B5418">
              <w:rPr>
                <w:rFonts w:ascii="Arial" w:eastAsia="Arial Unicode MS" w:hAnsi="Arial" w:cs="Arial"/>
              </w:rPr>
              <w:t>, a subsidy expense is recognized for direct or guaranteed loans disbursed during the fiscal year. The amount of the subsidy expense equals the present value of estimated cash outflows over the life of the loans minus the present value of the estimated cash inflows. The discount rate used to calculate the present value is the average interest rate on marketable Treasury securities of similar maturity to the cash flows of the direct loan or loan guarantee for which the estimate is being made. (SFFAS 2, par</w:t>
            </w:r>
            <w:r w:rsidR="00FD6033" w:rsidRPr="005B5418">
              <w:rPr>
                <w:rFonts w:ascii="Arial" w:eastAsia="Arial Unicode MS" w:hAnsi="Arial" w:cs="Arial"/>
              </w:rPr>
              <w:t>as</w:t>
            </w:r>
            <w:r w:rsidRPr="005B5418">
              <w:rPr>
                <w:rFonts w:ascii="Arial" w:eastAsia="Arial Unicode MS" w:hAnsi="Arial" w:cs="Arial"/>
              </w:rPr>
              <w:t>. 6, 7, 24, 30, and 31;)</w:t>
            </w:r>
          </w:p>
        </w:tc>
      </w:tr>
      <w:tr w:rsidR="00BC1CB7" w:rsidRPr="005B5418" w14:paraId="1C795CD2" w14:textId="77777777" w:rsidTr="001C22E3">
        <w:trPr>
          <w:cantSplit/>
          <w:trHeight w:val="1205"/>
        </w:trPr>
        <w:tc>
          <w:tcPr>
            <w:tcW w:w="5405" w:type="dxa"/>
            <w:vAlign w:val="center"/>
          </w:tcPr>
          <w:p w14:paraId="108EF088" w14:textId="78267CA2"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 xml:space="preserve">For post-1991 direct </w:t>
            </w:r>
            <w:r w:rsidR="00AC00AF" w:rsidRPr="005B5418">
              <w:rPr>
                <w:rFonts w:eastAsia="Arial Unicode MS"/>
              </w:rPr>
              <w:t xml:space="preserve">loan </w:t>
            </w:r>
            <w:r w:rsidRPr="005B5418">
              <w:rPr>
                <w:rFonts w:eastAsia="Arial Unicode MS"/>
              </w:rPr>
              <w:t>or loan guarantee programs, is the present value of estimated cash outflows over the life of the loans minus the present value of estimated cash inflows discounted at the interest rate of marketable Treasury securities with similar maturity to the cash flows? (SFFAS 2, par</w:t>
            </w:r>
            <w:r w:rsidR="00576137" w:rsidRPr="005B5418">
              <w:rPr>
                <w:rFonts w:eastAsia="Arial Unicode MS"/>
              </w:rPr>
              <w:t>a</w:t>
            </w:r>
            <w:r w:rsidRPr="005B5418">
              <w:rPr>
                <w:rFonts w:eastAsia="Arial Unicode MS"/>
              </w:rPr>
              <w:t>. 24)</w:t>
            </w:r>
          </w:p>
        </w:tc>
        <w:tc>
          <w:tcPr>
            <w:tcW w:w="965" w:type="dxa"/>
          </w:tcPr>
          <w:p w14:paraId="56AE5E95" w14:textId="77777777" w:rsidR="00BC1CB7" w:rsidRPr="005B5418" w:rsidRDefault="00BC1CB7" w:rsidP="008848DA">
            <w:pPr>
              <w:pStyle w:val="Table-Cell-CenterBoldBefore6ptAfter6pt"/>
              <w:spacing w:before="60" w:after="60"/>
              <w:rPr>
                <w:rFonts w:cs="Arial"/>
              </w:rPr>
            </w:pPr>
          </w:p>
        </w:tc>
        <w:tc>
          <w:tcPr>
            <w:tcW w:w="3211" w:type="dxa"/>
          </w:tcPr>
          <w:p w14:paraId="7A6F5769" w14:textId="77777777" w:rsidR="00BC1CB7" w:rsidRPr="005B5418" w:rsidRDefault="00BC1CB7" w:rsidP="008848DA">
            <w:pPr>
              <w:spacing w:before="60" w:after="60" w:line="240" w:lineRule="auto"/>
              <w:rPr>
                <w:rFonts w:cs="Arial"/>
              </w:rPr>
            </w:pPr>
          </w:p>
        </w:tc>
      </w:tr>
      <w:tr w:rsidR="00BC1CB7" w:rsidRPr="005B5418" w14:paraId="050C970A" w14:textId="77777777" w:rsidTr="001C22E3">
        <w:trPr>
          <w:cantSplit/>
          <w:trHeight w:val="710"/>
        </w:trPr>
        <w:tc>
          <w:tcPr>
            <w:tcW w:w="5405" w:type="dxa"/>
            <w:vAlign w:val="center"/>
          </w:tcPr>
          <w:p w14:paraId="76EA998F" w14:textId="4B822E84"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 xml:space="preserve">For post-1991 direct </w:t>
            </w:r>
            <w:r w:rsidR="00AC00AF" w:rsidRPr="005B5418">
              <w:rPr>
                <w:rFonts w:eastAsia="Arial Unicode MS"/>
              </w:rPr>
              <w:t xml:space="preserve">loan </w:t>
            </w:r>
            <w:r w:rsidRPr="005B5418">
              <w:rPr>
                <w:rFonts w:eastAsia="Arial Unicode MS"/>
              </w:rPr>
              <w:t>or loan guarantee programs, are the net present values recognized as subsidy expense in the year the loan is disbursed? (SFFAS 2, par</w:t>
            </w:r>
            <w:r w:rsidR="00576137" w:rsidRPr="005B5418">
              <w:rPr>
                <w:rFonts w:eastAsia="Arial Unicode MS"/>
              </w:rPr>
              <w:t>a</w:t>
            </w:r>
            <w:r w:rsidRPr="005B5418">
              <w:rPr>
                <w:rFonts w:eastAsia="Arial Unicode MS"/>
              </w:rPr>
              <w:t>. 24)</w:t>
            </w:r>
          </w:p>
        </w:tc>
        <w:tc>
          <w:tcPr>
            <w:tcW w:w="965" w:type="dxa"/>
          </w:tcPr>
          <w:p w14:paraId="211208C6" w14:textId="77777777" w:rsidR="00BC1CB7" w:rsidRPr="005B5418" w:rsidRDefault="00BC1CB7" w:rsidP="008848DA">
            <w:pPr>
              <w:pStyle w:val="Table-Cell-CenterBoldBefore6ptAfter6pt"/>
              <w:spacing w:before="60" w:after="60"/>
              <w:rPr>
                <w:rFonts w:cs="Arial"/>
              </w:rPr>
            </w:pPr>
          </w:p>
        </w:tc>
        <w:tc>
          <w:tcPr>
            <w:tcW w:w="3211" w:type="dxa"/>
          </w:tcPr>
          <w:p w14:paraId="4BE7574A" w14:textId="77777777" w:rsidR="00BC1CB7" w:rsidRPr="005B5418" w:rsidRDefault="00BC1CB7" w:rsidP="008848DA">
            <w:pPr>
              <w:spacing w:before="60" w:after="60" w:line="240" w:lineRule="auto"/>
              <w:rPr>
                <w:rFonts w:cs="Arial"/>
              </w:rPr>
            </w:pPr>
          </w:p>
        </w:tc>
      </w:tr>
      <w:tr w:rsidR="00BC1CB7" w:rsidRPr="005B5418" w14:paraId="10901E9E" w14:textId="77777777" w:rsidTr="001C22E3">
        <w:trPr>
          <w:cantSplit/>
          <w:trHeight w:val="710"/>
        </w:trPr>
        <w:tc>
          <w:tcPr>
            <w:tcW w:w="5405" w:type="dxa"/>
            <w:vAlign w:val="center"/>
          </w:tcPr>
          <w:p w14:paraId="4F0B165A" w14:textId="048D43A9"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 xml:space="preserve">Are the components of estimated subsidy costs (and offsetting receipts) of post-1991 </w:t>
            </w:r>
            <w:r w:rsidR="00AC00AF" w:rsidRPr="005B5418">
              <w:rPr>
                <w:rFonts w:eastAsia="Arial Unicode MS"/>
              </w:rPr>
              <w:t xml:space="preserve">direct </w:t>
            </w:r>
            <w:r w:rsidRPr="005B5418">
              <w:rPr>
                <w:rFonts w:eastAsia="Arial Unicode MS"/>
              </w:rPr>
              <w:t xml:space="preserve">loans and </w:t>
            </w:r>
            <w:r w:rsidR="00AC00AF" w:rsidRPr="005B5418">
              <w:rPr>
                <w:rFonts w:eastAsia="Arial Unicode MS"/>
              </w:rPr>
              <w:t xml:space="preserve">loan </w:t>
            </w:r>
            <w:r w:rsidRPr="005B5418">
              <w:rPr>
                <w:rFonts w:eastAsia="Arial Unicode MS"/>
              </w:rPr>
              <w:t>guarantees separately recognized for</w:t>
            </w:r>
          </w:p>
          <w:p w14:paraId="77654B9D" w14:textId="7777777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interest subsidy costs,</w:t>
            </w:r>
            <w:r w:rsidRPr="005B5418">
              <w:rPr>
                <w:rFonts w:eastAsia="Arial Unicode MS" w:cs="Arial"/>
                <w:szCs w:val="22"/>
                <w:vertAlign w:val="superscript"/>
              </w:rPr>
              <w:footnoteReference w:id="90"/>
            </w:r>
          </w:p>
          <w:p w14:paraId="0412CCD6" w14:textId="7777777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default costs,</w:t>
            </w:r>
            <w:r w:rsidRPr="005B5418">
              <w:rPr>
                <w:rFonts w:eastAsia="Arial Unicode MS" w:cs="Arial"/>
                <w:szCs w:val="22"/>
                <w:vertAlign w:val="superscript"/>
              </w:rPr>
              <w:footnoteReference w:id="91"/>
            </w:r>
          </w:p>
          <w:p w14:paraId="6048D886" w14:textId="7777777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fees and other collections, and</w:t>
            </w:r>
          </w:p>
          <w:p w14:paraId="65A78204" w14:textId="6CD27A53" w:rsidR="00BC1CB7" w:rsidRPr="005B5418" w:rsidRDefault="00BC1CB7" w:rsidP="0047584E">
            <w:pPr>
              <w:pStyle w:val="FAM-Table-outline2"/>
              <w:tabs>
                <w:tab w:val="num" w:pos="576"/>
              </w:tabs>
              <w:spacing w:line="240" w:lineRule="auto"/>
              <w:ind w:left="1155" w:hanging="458"/>
              <w:rPr>
                <w:rFonts w:eastAsia="Arial Unicode MS"/>
              </w:rPr>
            </w:pPr>
            <w:r w:rsidRPr="005B5418">
              <w:rPr>
                <w:rFonts w:eastAsia="Arial Unicode MS" w:cs="Arial"/>
                <w:szCs w:val="22"/>
              </w:rPr>
              <w:t>other subsidy costs?</w:t>
            </w:r>
            <w:r w:rsidR="00AE430E" w:rsidRPr="005B5418">
              <w:rPr>
                <w:rFonts w:eastAsia="Arial Unicode MS" w:cs="Arial"/>
                <w:szCs w:val="22"/>
                <w:vertAlign w:val="superscript"/>
              </w:rPr>
              <w:footnoteReference w:id="92"/>
            </w:r>
            <w:r w:rsidRPr="005B5418">
              <w:rPr>
                <w:rFonts w:eastAsia="Arial Unicode MS"/>
              </w:rPr>
              <w:t xml:space="preserve"> (SFFAS 2, par</w:t>
            </w:r>
            <w:r w:rsidR="00576137" w:rsidRPr="005B5418">
              <w:rPr>
                <w:rFonts w:eastAsia="Arial Unicode MS"/>
              </w:rPr>
              <w:t>as</w:t>
            </w:r>
            <w:r w:rsidRPr="005B5418">
              <w:rPr>
                <w:rFonts w:eastAsia="Arial Unicode MS"/>
              </w:rPr>
              <w:t>. 25</w:t>
            </w:r>
            <w:r w:rsidR="00576137" w:rsidRPr="005B5418">
              <w:rPr>
                <w:rFonts w:eastAsia="Arial Unicode MS"/>
              </w:rPr>
              <w:t>–</w:t>
            </w:r>
            <w:r w:rsidRPr="005B5418">
              <w:rPr>
                <w:rFonts w:eastAsia="Arial Unicode MS"/>
              </w:rPr>
              <w:t>29)</w:t>
            </w:r>
          </w:p>
        </w:tc>
        <w:tc>
          <w:tcPr>
            <w:tcW w:w="965" w:type="dxa"/>
          </w:tcPr>
          <w:p w14:paraId="6633BE86" w14:textId="77777777" w:rsidR="00BC1CB7" w:rsidRPr="005B5418" w:rsidRDefault="00BC1CB7" w:rsidP="008848DA">
            <w:pPr>
              <w:pStyle w:val="Table-Cell-CenterBoldBefore6ptAfter6pt"/>
              <w:spacing w:before="60" w:after="60"/>
              <w:rPr>
                <w:rFonts w:cs="Arial"/>
              </w:rPr>
            </w:pPr>
          </w:p>
        </w:tc>
        <w:tc>
          <w:tcPr>
            <w:tcW w:w="3211" w:type="dxa"/>
          </w:tcPr>
          <w:p w14:paraId="6A210A2C" w14:textId="77777777" w:rsidR="00BC1CB7" w:rsidRPr="005B5418" w:rsidRDefault="00BC1CB7" w:rsidP="008848DA">
            <w:pPr>
              <w:spacing w:before="60" w:after="60" w:line="240" w:lineRule="auto"/>
              <w:rPr>
                <w:rFonts w:cs="Arial"/>
              </w:rPr>
            </w:pPr>
          </w:p>
        </w:tc>
      </w:tr>
      <w:tr w:rsidR="00BC1CB7" w:rsidRPr="005B5418" w14:paraId="04478819" w14:textId="77777777" w:rsidTr="001C22E3">
        <w:trPr>
          <w:cantSplit/>
          <w:trHeight w:val="1052"/>
        </w:trPr>
        <w:tc>
          <w:tcPr>
            <w:tcW w:w="5405" w:type="dxa"/>
            <w:vAlign w:val="center"/>
          </w:tcPr>
          <w:p w14:paraId="03F344B5" w14:textId="55AE81D9"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the subsidy cost allowance for post-1991 direct loans amortized using the interest method?</w:t>
            </w:r>
            <w:r w:rsidRPr="005B5418">
              <w:rPr>
                <w:rFonts w:eastAsia="Arial Unicode MS"/>
                <w:vertAlign w:val="superscript"/>
              </w:rPr>
              <w:footnoteReference w:id="93"/>
            </w:r>
            <w:r w:rsidRPr="005B5418">
              <w:rPr>
                <w:rFonts w:eastAsia="Arial Unicode MS"/>
              </w:rPr>
              <w:t xml:space="preserve"> (SFFAS 2, par</w:t>
            </w:r>
            <w:r w:rsidR="000D1890" w:rsidRPr="005B5418">
              <w:rPr>
                <w:rFonts w:eastAsia="Arial Unicode MS"/>
              </w:rPr>
              <w:t>as</w:t>
            </w:r>
            <w:r w:rsidRPr="005B5418">
              <w:rPr>
                <w:rFonts w:eastAsia="Arial Unicode MS"/>
              </w:rPr>
              <w:t>. 30</w:t>
            </w:r>
            <w:r w:rsidR="000D1890" w:rsidRPr="005B5418">
              <w:rPr>
                <w:rFonts w:eastAsia="Arial Unicode MS"/>
              </w:rPr>
              <w:t xml:space="preserve"> and</w:t>
            </w:r>
            <w:r w:rsidRPr="005B5418">
              <w:rPr>
                <w:rFonts w:eastAsia="Arial Unicode MS"/>
              </w:rPr>
              <w:t xml:space="preserve"> 31 and app. B, part I B (2))</w:t>
            </w:r>
          </w:p>
        </w:tc>
        <w:tc>
          <w:tcPr>
            <w:tcW w:w="965" w:type="dxa"/>
          </w:tcPr>
          <w:p w14:paraId="269F74CD" w14:textId="77777777" w:rsidR="00BC1CB7" w:rsidRPr="005B5418" w:rsidRDefault="00BC1CB7" w:rsidP="008848DA">
            <w:pPr>
              <w:pStyle w:val="Table-Cell-CenterBoldBefore6ptAfter6pt"/>
              <w:spacing w:before="60" w:after="60"/>
              <w:rPr>
                <w:rFonts w:cs="Arial"/>
              </w:rPr>
            </w:pPr>
          </w:p>
        </w:tc>
        <w:tc>
          <w:tcPr>
            <w:tcW w:w="3211" w:type="dxa"/>
          </w:tcPr>
          <w:p w14:paraId="4E5093EB" w14:textId="77777777" w:rsidR="00BC1CB7" w:rsidRPr="005B5418" w:rsidRDefault="00BC1CB7" w:rsidP="008848DA">
            <w:pPr>
              <w:spacing w:before="60" w:after="60" w:line="240" w:lineRule="auto"/>
              <w:rPr>
                <w:rFonts w:cs="Arial"/>
              </w:rPr>
            </w:pPr>
          </w:p>
        </w:tc>
      </w:tr>
      <w:tr w:rsidR="00BC1CB7" w:rsidRPr="005B5418" w14:paraId="0EFD8704" w14:textId="77777777" w:rsidTr="001C22E3">
        <w:trPr>
          <w:cantSplit/>
          <w:trHeight w:val="1223"/>
        </w:trPr>
        <w:tc>
          <w:tcPr>
            <w:tcW w:w="5405" w:type="dxa"/>
            <w:vAlign w:val="center"/>
          </w:tcPr>
          <w:p w14:paraId="473CE5DF" w14:textId="051B9BDC"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the effective interest for post-1991 direct loans is less than the nominal interest, is the subsidy cost allowance increased by the difference and recognized as a reduction in interest income? (SFFAS 2, par</w:t>
            </w:r>
            <w:r w:rsidR="000D1890" w:rsidRPr="005B5418">
              <w:rPr>
                <w:rFonts w:eastAsia="Arial Unicode MS"/>
              </w:rPr>
              <w:t>a</w:t>
            </w:r>
            <w:r w:rsidRPr="005B5418">
              <w:rPr>
                <w:rFonts w:eastAsia="Arial Unicode MS"/>
              </w:rPr>
              <w:t>. 30 and app. B, part I B (2))</w:t>
            </w:r>
          </w:p>
        </w:tc>
        <w:tc>
          <w:tcPr>
            <w:tcW w:w="965" w:type="dxa"/>
          </w:tcPr>
          <w:p w14:paraId="064B7E19" w14:textId="77777777" w:rsidR="00BC1CB7" w:rsidRPr="005B5418" w:rsidRDefault="00BC1CB7" w:rsidP="008848DA">
            <w:pPr>
              <w:pStyle w:val="Table-Cell-CenterBoldBefore6ptAfter6pt"/>
              <w:spacing w:before="60" w:after="60"/>
              <w:rPr>
                <w:rFonts w:cs="Arial"/>
              </w:rPr>
            </w:pPr>
          </w:p>
        </w:tc>
        <w:tc>
          <w:tcPr>
            <w:tcW w:w="3211" w:type="dxa"/>
          </w:tcPr>
          <w:p w14:paraId="19312FA5" w14:textId="77777777" w:rsidR="00BC1CB7" w:rsidRPr="005B5418" w:rsidRDefault="00BC1CB7" w:rsidP="008848DA">
            <w:pPr>
              <w:spacing w:before="60" w:after="60" w:line="240" w:lineRule="auto"/>
              <w:rPr>
                <w:rFonts w:cs="Arial"/>
              </w:rPr>
            </w:pPr>
          </w:p>
        </w:tc>
      </w:tr>
      <w:tr w:rsidR="00BC1CB7" w:rsidRPr="005B5418" w14:paraId="6E1F3B86" w14:textId="77777777" w:rsidTr="001C22E3">
        <w:trPr>
          <w:cantSplit/>
          <w:trHeight w:val="980"/>
        </w:trPr>
        <w:tc>
          <w:tcPr>
            <w:tcW w:w="5405" w:type="dxa"/>
          </w:tcPr>
          <w:p w14:paraId="2F314F2A" w14:textId="68101C85"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If the effective interest for post-1991 direct loans is greater than the nominal interest, is the subsidy cost allowance decreased by the difference and recognized as an increase in interest income? (SFFAS 2, par</w:t>
            </w:r>
            <w:r w:rsidR="00C05AE6" w:rsidRPr="005B5418">
              <w:rPr>
                <w:rFonts w:eastAsia="Arial Unicode MS"/>
              </w:rPr>
              <w:t>a</w:t>
            </w:r>
            <w:r w:rsidRPr="005B5418">
              <w:rPr>
                <w:rFonts w:eastAsia="Arial Unicode MS"/>
              </w:rPr>
              <w:t>. 30 and app. B, part I B (2))</w:t>
            </w:r>
          </w:p>
        </w:tc>
        <w:tc>
          <w:tcPr>
            <w:tcW w:w="965" w:type="dxa"/>
          </w:tcPr>
          <w:p w14:paraId="11B6C644" w14:textId="77777777" w:rsidR="00BC1CB7" w:rsidRPr="005B5418" w:rsidRDefault="00BC1CB7" w:rsidP="008848DA">
            <w:pPr>
              <w:pStyle w:val="Table-Cell-CenterBoldBefore6ptAfter6pt"/>
              <w:spacing w:before="60" w:after="60"/>
              <w:rPr>
                <w:rFonts w:cs="Arial"/>
              </w:rPr>
            </w:pPr>
          </w:p>
        </w:tc>
        <w:tc>
          <w:tcPr>
            <w:tcW w:w="3211" w:type="dxa"/>
          </w:tcPr>
          <w:p w14:paraId="2BE0E789" w14:textId="77777777" w:rsidR="00BC1CB7" w:rsidRPr="005B5418" w:rsidRDefault="00BC1CB7" w:rsidP="008848DA">
            <w:pPr>
              <w:spacing w:before="60" w:after="60" w:line="240" w:lineRule="auto"/>
              <w:rPr>
                <w:rFonts w:cs="Arial"/>
              </w:rPr>
            </w:pPr>
          </w:p>
        </w:tc>
      </w:tr>
      <w:tr w:rsidR="00BC1CB7" w:rsidRPr="005B5418" w14:paraId="1681A1B6" w14:textId="77777777" w:rsidTr="001C22E3">
        <w:trPr>
          <w:cantSplit/>
          <w:trHeight w:val="1025"/>
        </w:trPr>
        <w:tc>
          <w:tcPr>
            <w:tcW w:w="5405" w:type="dxa"/>
          </w:tcPr>
          <w:p w14:paraId="3F3B6BD5" w14:textId="0C11B910"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interest accrued and compounded on the liabilities of post-1991 loan guarantees at the interest rate that was originally used to calculate the present value of the loan guarantee liabilities when the guaranteed loans were disbursed, after adjusting for the interest reestimate? (SFFAS 2, par</w:t>
            </w:r>
            <w:r w:rsidR="00C05AE6" w:rsidRPr="005B5418">
              <w:rPr>
                <w:rFonts w:eastAsia="Arial Unicode MS"/>
              </w:rPr>
              <w:t>a</w:t>
            </w:r>
            <w:r w:rsidRPr="005B5418">
              <w:rPr>
                <w:rFonts w:eastAsia="Arial Unicode MS"/>
              </w:rPr>
              <w:t>. 31 and app. B, part III B (2))</w:t>
            </w:r>
          </w:p>
        </w:tc>
        <w:tc>
          <w:tcPr>
            <w:tcW w:w="965" w:type="dxa"/>
          </w:tcPr>
          <w:p w14:paraId="65A4906F" w14:textId="77777777" w:rsidR="00BC1CB7" w:rsidRPr="005B5418" w:rsidRDefault="00BC1CB7" w:rsidP="008848DA">
            <w:pPr>
              <w:pStyle w:val="Table-Cell-CenterBoldBefore6ptAfter6pt"/>
              <w:spacing w:before="60" w:after="60"/>
              <w:rPr>
                <w:rFonts w:cs="Arial"/>
              </w:rPr>
            </w:pPr>
          </w:p>
        </w:tc>
        <w:tc>
          <w:tcPr>
            <w:tcW w:w="3211" w:type="dxa"/>
          </w:tcPr>
          <w:p w14:paraId="7545EC28" w14:textId="77777777" w:rsidR="00BC1CB7" w:rsidRPr="005B5418" w:rsidRDefault="00BC1CB7" w:rsidP="008848DA">
            <w:pPr>
              <w:spacing w:before="60" w:after="60" w:line="240" w:lineRule="auto"/>
              <w:rPr>
                <w:rFonts w:cs="Arial"/>
              </w:rPr>
            </w:pPr>
          </w:p>
        </w:tc>
      </w:tr>
      <w:tr w:rsidR="00BC1CB7" w:rsidRPr="005B5418" w14:paraId="6552B923" w14:textId="77777777" w:rsidTr="001C22E3">
        <w:trPr>
          <w:cantSplit/>
          <w:trHeight w:val="1250"/>
        </w:trPr>
        <w:tc>
          <w:tcPr>
            <w:tcW w:w="5405" w:type="dxa"/>
          </w:tcPr>
          <w:p w14:paraId="06257B3E" w14:textId="2E8116FC"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the interest accrued and compounded on the liabilities of post-1991 loan guarantees recognized as an interest expense? (SFFAS 2, par</w:t>
            </w:r>
            <w:r w:rsidR="00C05AE6" w:rsidRPr="005B5418">
              <w:rPr>
                <w:rFonts w:eastAsia="Arial Unicode MS"/>
              </w:rPr>
              <w:t>a</w:t>
            </w:r>
            <w:r w:rsidRPr="005B5418">
              <w:rPr>
                <w:rFonts w:eastAsia="Arial Unicode MS"/>
              </w:rPr>
              <w:t>. 31 and app. B, part III B (2))</w:t>
            </w:r>
          </w:p>
        </w:tc>
        <w:tc>
          <w:tcPr>
            <w:tcW w:w="965" w:type="dxa"/>
          </w:tcPr>
          <w:p w14:paraId="66F5AEDF" w14:textId="77777777" w:rsidR="00BC1CB7" w:rsidRPr="005B5418" w:rsidRDefault="00BC1CB7" w:rsidP="008848DA">
            <w:pPr>
              <w:pStyle w:val="Table-Cell-CenterBoldBefore6ptAfter6pt"/>
              <w:spacing w:before="60" w:after="60"/>
              <w:rPr>
                <w:rFonts w:cs="Arial"/>
              </w:rPr>
            </w:pPr>
          </w:p>
        </w:tc>
        <w:tc>
          <w:tcPr>
            <w:tcW w:w="3211" w:type="dxa"/>
          </w:tcPr>
          <w:p w14:paraId="7A42876F" w14:textId="77777777" w:rsidR="00BC1CB7" w:rsidRPr="005B5418" w:rsidRDefault="00BC1CB7" w:rsidP="008848DA">
            <w:pPr>
              <w:spacing w:before="60" w:after="60" w:line="240" w:lineRule="auto"/>
              <w:rPr>
                <w:rFonts w:cs="Arial"/>
              </w:rPr>
            </w:pPr>
          </w:p>
        </w:tc>
      </w:tr>
      <w:tr w:rsidR="00BC1CB7" w:rsidRPr="005B5418" w14:paraId="4D3C53AA" w14:textId="77777777" w:rsidTr="001C22E3">
        <w:trPr>
          <w:cantSplit/>
          <w:trHeight w:val="422"/>
        </w:trPr>
        <w:tc>
          <w:tcPr>
            <w:tcW w:w="9581" w:type="dxa"/>
            <w:gridSpan w:val="3"/>
          </w:tcPr>
          <w:p w14:paraId="319571D2" w14:textId="5D716979" w:rsidR="00BC1CB7" w:rsidRPr="005B5418" w:rsidRDefault="00BC1CB7" w:rsidP="008848DA">
            <w:pPr>
              <w:spacing w:before="60" w:after="60" w:line="240" w:lineRule="auto"/>
              <w:rPr>
                <w:rFonts w:ascii="Arial" w:hAnsi="Arial" w:cs="Arial"/>
              </w:rPr>
            </w:pPr>
            <w:r w:rsidRPr="005B5418">
              <w:rPr>
                <w:rFonts w:ascii="Arial" w:eastAsia="Arial Unicode MS" w:hAnsi="Arial" w:cs="Arial"/>
              </w:rPr>
              <w:t>Two kinds of reestimates for the subsidy cost allowance for outstanding direct loans and the liability for outstanding loan guarantees are (1) interest rate reestimates and (2) technical/default reestimates. An interest rate reestimate is due to a change in the interest rates from those that were assumed in budget preparation and used in calculating the subsidy expense to the interest rates that are prevailing during the periods in which the direct or guaranteed loans are disbursed. A technical/default reestimate is due to changes in projected cash flows of outstanding direct loans and loan guarantees after reevaluating the underlying assumptions and other factors (except for interest rate reestimates) that affect cash flow projections as of the financial statement date. (SFFAS 18, par</w:t>
            </w:r>
            <w:r w:rsidR="005E30FF" w:rsidRPr="005B5418">
              <w:rPr>
                <w:rFonts w:ascii="Arial" w:eastAsia="Arial Unicode MS" w:hAnsi="Arial" w:cs="Arial"/>
              </w:rPr>
              <w:t>a</w:t>
            </w:r>
            <w:r w:rsidRPr="005B5418">
              <w:rPr>
                <w:rFonts w:ascii="Arial" w:eastAsia="Arial Unicode MS" w:hAnsi="Arial" w:cs="Arial"/>
              </w:rPr>
              <w:t>. 9)</w:t>
            </w:r>
          </w:p>
        </w:tc>
      </w:tr>
      <w:tr w:rsidR="00BC1CB7" w:rsidRPr="005B5418" w14:paraId="0F638830" w14:textId="77777777" w:rsidTr="001C22E3">
        <w:trPr>
          <w:cantSplit/>
          <w:trHeight w:val="1745"/>
        </w:trPr>
        <w:tc>
          <w:tcPr>
            <w:tcW w:w="5405" w:type="dxa"/>
          </w:tcPr>
          <w:p w14:paraId="1E627A73" w14:textId="2BCDE5C4"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Does the entity measure reestimates of allowances for subsidy costs of post-1991 loans and liabilities for guarantees in two components separately, specifically</w:t>
            </w:r>
            <w:r w:rsidR="005E30FF" w:rsidRPr="005B5418">
              <w:rPr>
                <w:rFonts w:eastAsia="Arial Unicode MS"/>
              </w:rPr>
              <w:t>,</w:t>
            </w:r>
            <w:r w:rsidRPr="005B5418">
              <w:rPr>
                <w:rFonts w:eastAsia="Arial Unicode MS"/>
              </w:rPr>
              <w:t xml:space="preserve"> the interest rate reestimate and the technical/default reestimate? (</w:t>
            </w:r>
            <w:r w:rsidR="00243282" w:rsidRPr="005B5418">
              <w:rPr>
                <w:rFonts w:eastAsia="Arial Unicode MS"/>
              </w:rPr>
              <w:t>SFFAS 2, para. 32</w:t>
            </w:r>
            <w:r w:rsidRPr="005B5418">
              <w:rPr>
                <w:rFonts w:eastAsia="Arial Unicode MS"/>
              </w:rPr>
              <w:t>)</w:t>
            </w:r>
          </w:p>
        </w:tc>
        <w:tc>
          <w:tcPr>
            <w:tcW w:w="965" w:type="dxa"/>
          </w:tcPr>
          <w:p w14:paraId="43005183" w14:textId="77777777" w:rsidR="00BC1CB7" w:rsidRPr="005B5418" w:rsidRDefault="00BC1CB7" w:rsidP="008848DA">
            <w:pPr>
              <w:pStyle w:val="Table-Cell-CenterBoldBefore6ptAfter6pt"/>
              <w:spacing w:before="60" w:after="60"/>
              <w:rPr>
                <w:rFonts w:cs="Arial"/>
              </w:rPr>
            </w:pPr>
          </w:p>
        </w:tc>
        <w:tc>
          <w:tcPr>
            <w:tcW w:w="3211" w:type="dxa"/>
          </w:tcPr>
          <w:p w14:paraId="7E43F038" w14:textId="77777777" w:rsidR="00BC1CB7" w:rsidRPr="005B5418" w:rsidRDefault="00BC1CB7" w:rsidP="008848DA">
            <w:pPr>
              <w:spacing w:before="60" w:after="60" w:line="240" w:lineRule="auto"/>
              <w:rPr>
                <w:rFonts w:cs="Arial"/>
              </w:rPr>
            </w:pPr>
          </w:p>
        </w:tc>
      </w:tr>
      <w:tr w:rsidR="00BC1CB7" w:rsidRPr="005B5418" w14:paraId="79D87954" w14:textId="77777777" w:rsidTr="001C22E3">
        <w:trPr>
          <w:cantSplit/>
          <w:trHeight w:val="1727"/>
        </w:trPr>
        <w:tc>
          <w:tcPr>
            <w:tcW w:w="5405" w:type="dxa"/>
          </w:tcPr>
          <w:p w14:paraId="786C4604" w14:textId="09BE7B5E"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any increase (or decrease) in the subsidy cost allowance of post-1991 direct loans or loan guarantee liabilities resulting from the interest rate and technical/default reestimates recognized as a subsidy expense (or a reduction in subsidy expense)? (SFFAS 2, par</w:t>
            </w:r>
            <w:r w:rsidR="005E30FF" w:rsidRPr="005B5418">
              <w:rPr>
                <w:rFonts w:eastAsia="Arial Unicode MS"/>
              </w:rPr>
              <w:t>a</w:t>
            </w:r>
            <w:r w:rsidRPr="005B5418">
              <w:rPr>
                <w:rFonts w:eastAsia="Arial Unicode MS"/>
              </w:rPr>
              <w:t>. 32)</w:t>
            </w:r>
          </w:p>
        </w:tc>
        <w:tc>
          <w:tcPr>
            <w:tcW w:w="965" w:type="dxa"/>
          </w:tcPr>
          <w:p w14:paraId="6CC70A93" w14:textId="77777777" w:rsidR="00BC1CB7" w:rsidRPr="005B5418" w:rsidRDefault="00BC1CB7" w:rsidP="008848DA">
            <w:pPr>
              <w:pStyle w:val="Table-Cell-CenterBoldBefore6ptAfter6pt"/>
              <w:spacing w:before="60" w:after="60"/>
              <w:rPr>
                <w:rFonts w:cs="Arial"/>
              </w:rPr>
            </w:pPr>
          </w:p>
        </w:tc>
        <w:tc>
          <w:tcPr>
            <w:tcW w:w="3211" w:type="dxa"/>
          </w:tcPr>
          <w:p w14:paraId="2AEDA4D0" w14:textId="77777777" w:rsidR="00BC1CB7" w:rsidRPr="005B5418" w:rsidRDefault="00BC1CB7" w:rsidP="008848DA">
            <w:pPr>
              <w:spacing w:before="60" w:after="60" w:line="240" w:lineRule="auto"/>
              <w:rPr>
                <w:rFonts w:cs="Arial"/>
              </w:rPr>
            </w:pPr>
          </w:p>
        </w:tc>
      </w:tr>
      <w:tr w:rsidR="00BC1CB7" w:rsidRPr="005B5418" w14:paraId="0FE6CA24" w14:textId="77777777" w:rsidTr="001C22E3">
        <w:trPr>
          <w:cantSplit/>
          <w:trHeight w:val="2160"/>
        </w:trPr>
        <w:tc>
          <w:tcPr>
            <w:tcW w:w="5405" w:type="dxa"/>
          </w:tcPr>
          <w:p w14:paraId="00B38D72" w14:textId="047F95E5" w:rsidR="00BC1CB7" w:rsidRPr="005B5418" w:rsidRDefault="00BC1CB7" w:rsidP="008848DA">
            <w:pPr>
              <w:pStyle w:val="FAM-Table-outline"/>
              <w:spacing w:line="240" w:lineRule="auto"/>
              <w:rPr>
                <w:rFonts w:eastAsia="Arial Unicode MS"/>
              </w:rPr>
            </w:pPr>
            <w:r w:rsidRPr="005B5418">
              <w:rPr>
                <w:rFonts w:eastAsia="Arial Unicode MS"/>
              </w:rPr>
              <w:lastRenderedPageBreak/>
              <w:t>If the assumed interest rates used in calculating the subsidy expenses for cohorts</w:t>
            </w:r>
            <w:r w:rsidR="000E02B9" w:rsidRPr="005B5418">
              <w:t xml:space="preserve"> </w:t>
            </w:r>
            <w:r w:rsidR="000E02B9" w:rsidRPr="005B5418">
              <w:rPr>
                <w:rFonts w:eastAsia="Arial Unicode MS"/>
              </w:rPr>
              <w:t>from which direct or guaranteed loans are disbursed differ from the rates prevailing at the time of the loan disbursement,</w:t>
            </w:r>
            <w:r w:rsidRPr="005B5418">
              <w:rPr>
                <w:rFonts w:eastAsia="Arial Unicode MS"/>
                <w:vertAlign w:val="superscript"/>
              </w:rPr>
              <w:footnoteReference w:id="94"/>
            </w:r>
            <w:r w:rsidRPr="005B5418">
              <w:rPr>
                <w:rFonts w:eastAsia="Arial Unicode MS"/>
              </w:rPr>
              <w:t xml:space="preserve"> is an interest rate reestimate for those cohorts made as of the date of the financial statements? (SFFAS 2, par</w:t>
            </w:r>
            <w:r w:rsidR="000E02B9" w:rsidRPr="005B5418">
              <w:rPr>
                <w:rFonts w:eastAsia="Arial Unicode MS"/>
              </w:rPr>
              <w:t>a</w:t>
            </w:r>
            <w:r w:rsidRPr="005B5418">
              <w:rPr>
                <w:rFonts w:eastAsia="Arial Unicode MS"/>
              </w:rPr>
              <w:t>. 32 (A))</w:t>
            </w:r>
          </w:p>
        </w:tc>
        <w:tc>
          <w:tcPr>
            <w:tcW w:w="965" w:type="dxa"/>
          </w:tcPr>
          <w:p w14:paraId="034600B2" w14:textId="77777777" w:rsidR="00BC1CB7" w:rsidRPr="005B5418" w:rsidRDefault="00BC1CB7" w:rsidP="008848DA">
            <w:pPr>
              <w:pStyle w:val="Table-Cell-CenterBoldBefore6ptAfter6pt"/>
              <w:spacing w:before="60" w:after="60"/>
              <w:rPr>
                <w:rFonts w:cs="Arial"/>
              </w:rPr>
            </w:pPr>
          </w:p>
        </w:tc>
        <w:tc>
          <w:tcPr>
            <w:tcW w:w="3211" w:type="dxa"/>
          </w:tcPr>
          <w:p w14:paraId="2F955B92" w14:textId="77777777" w:rsidR="00BC1CB7" w:rsidRPr="005B5418" w:rsidRDefault="00BC1CB7" w:rsidP="008848DA">
            <w:pPr>
              <w:spacing w:before="60" w:after="60" w:line="240" w:lineRule="auto"/>
              <w:rPr>
                <w:rFonts w:cs="Arial"/>
              </w:rPr>
            </w:pPr>
          </w:p>
        </w:tc>
      </w:tr>
      <w:tr w:rsidR="00BC1CB7" w:rsidRPr="005B5418" w14:paraId="5E4769F8" w14:textId="77777777" w:rsidTr="001C22E3">
        <w:trPr>
          <w:cantSplit/>
          <w:trHeight w:val="1736"/>
        </w:trPr>
        <w:tc>
          <w:tcPr>
            <w:tcW w:w="5405" w:type="dxa"/>
          </w:tcPr>
          <w:p w14:paraId="23E586F5" w14:textId="5C41B3A0"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Do technical/default reestimates take into consideration all factors that may have affected various components of projected cash flows, including defaults, delinquencies, recoveries, and prepayments? (SFFAS 2, par</w:t>
            </w:r>
            <w:r w:rsidR="00325039" w:rsidRPr="005B5418">
              <w:rPr>
                <w:rFonts w:eastAsia="Arial Unicode MS"/>
              </w:rPr>
              <w:t>a</w:t>
            </w:r>
            <w:r w:rsidRPr="005B5418">
              <w:rPr>
                <w:rFonts w:eastAsia="Arial Unicode MS"/>
              </w:rPr>
              <w:t>. 32 (B))</w:t>
            </w:r>
          </w:p>
        </w:tc>
        <w:tc>
          <w:tcPr>
            <w:tcW w:w="965" w:type="dxa"/>
          </w:tcPr>
          <w:p w14:paraId="377725DB" w14:textId="77777777" w:rsidR="00BC1CB7" w:rsidRPr="005B5418" w:rsidRDefault="00BC1CB7" w:rsidP="008848DA">
            <w:pPr>
              <w:pStyle w:val="Table-Cell-CenterBoldBefore6ptAfter6pt"/>
              <w:spacing w:before="60" w:after="60"/>
              <w:rPr>
                <w:rFonts w:cs="Arial"/>
              </w:rPr>
            </w:pPr>
          </w:p>
        </w:tc>
        <w:tc>
          <w:tcPr>
            <w:tcW w:w="3211" w:type="dxa"/>
          </w:tcPr>
          <w:p w14:paraId="70F41145" w14:textId="77777777" w:rsidR="00BC1CB7" w:rsidRPr="005B5418" w:rsidRDefault="00BC1CB7" w:rsidP="008848DA">
            <w:pPr>
              <w:spacing w:before="60" w:after="60" w:line="240" w:lineRule="auto"/>
              <w:rPr>
                <w:rFonts w:cs="Arial"/>
              </w:rPr>
            </w:pPr>
          </w:p>
        </w:tc>
      </w:tr>
      <w:tr w:rsidR="00BC1CB7" w:rsidRPr="005B5418" w14:paraId="6B8D8354" w14:textId="77777777" w:rsidTr="001C22E3">
        <w:trPr>
          <w:cantSplit/>
          <w:trHeight w:val="872"/>
        </w:trPr>
        <w:tc>
          <w:tcPr>
            <w:tcW w:w="5405" w:type="dxa"/>
          </w:tcPr>
          <w:p w14:paraId="74B92A21" w14:textId="13C2C122"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Are technical/default reestimates made each year as of the date of the financial statements? (</w:t>
            </w:r>
            <w:r w:rsidR="00243282" w:rsidRPr="005B5418">
              <w:rPr>
                <w:rFonts w:eastAsia="Arial Unicode MS"/>
              </w:rPr>
              <w:t>SFFAS 2, para. 32 (B)</w:t>
            </w:r>
            <w:r w:rsidRPr="005B5418">
              <w:rPr>
                <w:rFonts w:eastAsia="Arial Unicode MS"/>
              </w:rPr>
              <w:t>)</w:t>
            </w:r>
          </w:p>
        </w:tc>
        <w:tc>
          <w:tcPr>
            <w:tcW w:w="965" w:type="dxa"/>
          </w:tcPr>
          <w:p w14:paraId="7E92286C" w14:textId="77777777" w:rsidR="00BC1CB7" w:rsidRPr="005B5418" w:rsidRDefault="00BC1CB7" w:rsidP="008848DA">
            <w:pPr>
              <w:pStyle w:val="Table-Cell-CenterBoldBefore6ptAfter6pt"/>
              <w:spacing w:before="60" w:after="60"/>
              <w:rPr>
                <w:rFonts w:cs="Arial"/>
              </w:rPr>
            </w:pPr>
          </w:p>
        </w:tc>
        <w:tc>
          <w:tcPr>
            <w:tcW w:w="3211" w:type="dxa"/>
          </w:tcPr>
          <w:p w14:paraId="4825C1ED" w14:textId="77777777" w:rsidR="00BC1CB7" w:rsidRPr="005B5418" w:rsidRDefault="00BC1CB7" w:rsidP="008848DA">
            <w:pPr>
              <w:spacing w:before="60" w:after="60" w:line="240" w:lineRule="auto"/>
              <w:rPr>
                <w:rFonts w:cs="Arial"/>
              </w:rPr>
            </w:pPr>
          </w:p>
        </w:tc>
      </w:tr>
      <w:tr w:rsidR="00BC1CB7" w:rsidRPr="005B5418" w14:paraId="743749BE" w14:textId="77777777" w:rsidTr="001C22E3">
        <w:trPr>
          <w:cantSplit/>
          <w:trHeight w:val="1520"/>
        </w:trPr>
        <w:tc>
          <w:tcPr>
            <w:tcW w:w="5405" w:type="dxa"/>
          </w:tcPr>
          <w:p w14:paraId="2EF40C60" w14:textId="30A1ADE6"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For direct loans, do other adjustments include loan modifications, fees received, loans written off, foreclosed property or other recoveries acquired, and subsidy allowance amortization? (SFFAS 18, par</w:t>
            </w:r>
            <w:r w:rsidR="00325039" w:rsidRPr="005B5418">
              <w:rPr>
                <w:rFonts w:eastAsia="Arial Unicode MS"/>
              </w:rPr>
              <w:t>a</w:t>
            </w:r>
            <w:r w:rsidRPr="005B5418">
              <w:rPr>
                <w:rFonts w:eastAsia="Arial Unicode MS"/>
              </w:rPr>
              <w:t>. 10)</w:t>
            </w:r>
          </w:p>
        </w:tc>
        <w:tc>
          <w:tcPr>
            <w:tcW w:w="965" w:type="dxa"/>
          </w:tcPr>
          <w:p w14:paraId="638B9737" w14:textId="77777777" w:rsidR="00BC1CB7" w:rsidRPr="005B5418" w:rsidRDefault="00BC1CB7" w:rsidP="008848DA">
            <w:pPr>
              <w:pStyle w:val="Table-Cell-CenterBoldBefore6ptAfter6pt"/>
              <w:spacing w:before="60" w:after="60"/>
              <w:rPr>
                <w:rFonts w:cs="Arial"/>
              </w:rPr>
            </w:pPr>
          </w:p>
        </w:tc>
        <w:tc>
          <w:tcPr>
            <w:tcW w:w="3211" w:type="dxa"/>
          </w:tcPr>
          <w:p w14:paraId="7D34F8BC" w14:textId="77777777" w:rsidR="00BC1CB7" w:rsidRPr="005B5418" w:rsidRDefault="00BC1CB7" w:rsidP="008848DA">
            <w:pPr>
              <w:spacing w:before="60" w:after="60" w:line="240" w:lineRule="auto"/>
              <w:rPr>
                <w:rFonts w:cs="Arial"/>
              </w:rPr>
            </w:pPr>
          </w:p>
        </w:tc>
      </w:tr>
      <w:tr w:rsidR="00BC1CB7" w:rsidRPr="005B5418" w14:paraId="4F90591F" w14:textId="77777777" w:rsidTr="001C22E3">
        <w:trPr>
          <w:cantSplit/>
          <w:trHeight w:val="1871"/>
        </w:trPr>
        <w:tc>
          <w:tcPr>
            <w:tcW w:w="5405" w:type="dxa"/>
          </w:tcPr>
          <w:p w14:paraId="0814EB33" w14:textId="469F30A1"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For loan guarantees, do other adjustments include loan guarantee modifications, fees received, interest supplements paid, claim payments made to lenders, foreclosed property or other recoveries acquired, and interest accumulated on the loan guarantee liability? (SFFAS 18, par</w:t>
            </w:r>
            <w:r w:rsidR="00325039" w:rsidRPr="005B5418">
              <w:rPr>
                <w:rFonts w:eastAsia="Arial Unicode MS"/>
              </w:rPr>
              <w:t>a</w:t>
            </w:r>
            <w:r w:rsidRPr="005B5418">
              <w:rPr>
                <w:rFonts w:eastAsia="Arial Unicode MS"/>
              </w:rPr>
              <w:t>. 10)</w:t>
            </w:r>
          </w:p>
        </w:tc>
        <w:tc>
          <w:tcPr>
            <w:tcW w:w="965" w:type="dxa"/>
          </w:tcPr>
          <w:p w14:paraId="258FA9AB" w14:textId="77777777" w:rsidR="00BC1CB7" w:rsidRPr="005B5418" w:rsidRDefault="00BC1CB7" w:rsidP="008848DA">
            <w:pPr>
              <w:pStyle w:val="Table-Cell-CenterBoldBefore6ptAfter6pt"/>
              <w:spacing w:before="60" w:after="60"/>
              <w:rPr>
                <w:rFonts w:cs="Arial"/>
              </w:rPr>
            </w:pPr>
          </w:p>
        </w:tc>
        <w:tc>
          <w:tcPr>
            <w:tcW w:w="3211" w:type="dxa"/>
          </w:tcPr>
          <w:p w14:paraId="136CCA0F" w14:textId="77777777" w:rsidR="00BC1CB7" w:rsidRPr="005B5418" w:rsidRDefault="00BC1CB7" w:rsidP="008848DA">
            <w:pPr>
              <w:spacing w:before="60" w:after="60" w:line="240" w:lineRule="auto"/>
              <w:rPr>
                <w:rFonts w:cs="Arial"/>
              </w:rPr>
            </w:pPr>
          </w:p>
        </w:tc>
      </w:tr>
      <w:tr w:rsidR="00BC1CB7" w:rsidRPr="005B5418" w14:paraId="66A6FBCB" w14:textId="77777777" w:rsidTr="001C22E3">
        <w:trPr>
          <w:cantSplit/>
          <w:trHeight w:val="1475"/>
        </w:trPr>
        <w:tc>
          <w:tcPr>
            <w:tcW w:w="5405" w:type="dxa"/>
          </w:tcPr>
          <w:p w14:paraId="6FB7D286" w14:textId="468F0E33"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Are default costs estimated and periodically reestimated for each post-1991 loan and loan guarantee program on the basis of separate cohorts and risk categories? (SFFAS 2, par</w:t>
            </w:r>
            <w:r w:rsidR="00325039" w:rsidRPr="005B5418">
              <w:rPr>
                <w:rFonts w:eastAsia="Arial Unicode MS"/>
              </w:rPr>
              <w:t>a</w:t>
            </w:r>
            <w:r w:rsidRPr="005B5418">
              <w:rPr>
                <w:rFonts w:eastAsia="Arial Unicode MS"/>
              </w:rPr>
              <w:t>. 33)</w:t>
            </w:r>
          </w:p>
        </w:tc>
        <w:tc>
          <w:tcPr>
            <w:tcW w:w="965" w:type="dxa"/>
          </w:tcPr>
          <w:p w14:paraId="7A145DD4" w14:textId="77777777" w:rsidR="00BC1CB7" w:rsidRPr="005B5418" w:rsidRDefault="00BC1CB7" w:rsidP="008848DA">
            <w:pPr>
              <w:pStyle w:val="Table-Cell-CenterBoldBefore6ptAfter6pt"/>
              <w:spacing w:before="60" w:after="60"/>
              <w:rPr>
                <w:rFonts w:cs="Arial"/>
              </w:rPr>
            </w:pPr>
          </w:p>
        </w:tc>
        <w:tc>
          <w:tcPr>
            <w:tcW w:w="3211" w:type="dxa"/>
          </w:tcPr>
          <w:p w14:paraId="7A6097A8" w14:textId="77777777" w:rsidR="00BC1CB7" w:rsidRPr="005B5418" w:rsidRDefault="00BC1CB7" w:rsidP="008848DA">
            <w:pPr>
              <w:spacing w:before="60" w:after="60" w:line="240" w:lineRule="auto"/>
              <w:rPr>
                <w:rFonts w:cs="Arial"/>
              </w:rPr>
            </w:pPr>
          </w:p>
        </w:tc>
      </w:tr>
      <w:tr w:rsidR="00BC1CB7" w:rsidRPr="005B5418" w14:paraId="5F432690" w14:textId="77777777" w:rsidTr="001C22E3">
        <w:trPr>
          <w:cantSplit/>
          <w:trHeight w:val="2160"/>
        </w:trPr>
        <w:tc>
          <w:tcPr>
            <w:tcW w:w="5405" w:type="dxa"/>
          </w:tcPr>
          <w:p w14:paraId="2F168D03"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In estimating default costs, did the entity evaluate</w:t>
            </w:r>
          </w:p>
          <w:p w14:paraId="0F2C8602" w14:textId="7777777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loan performance experience</w:t>
            </w:r>
            <w:r w:rsidR="00DC6E32" w:rsidRPr="005B5418">
              <w:rPr>
                <w:rFonts w:eastAsia="Arial Unicode MS" w:cs="Arial"/>
                <w:szCs w:val="22"/>
              </w:rPr>
              <w:t>;</w:t>
            </w:r>
          </w:p>
          <w:p w14:paraId="3A1DAD01" w14:textId="7777777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current and forecasted international, national, or regional economic conditions that may affe</w:t>
            </w:r>
            <w:r w:rsidR="00DC6E32" w:rsidRPr="005B5418">
              <w:rPr>
                <w:rFonts w:eastAsia="Arial Unicode MS" w:cs="Arial"/>
                <w:szCs w:val="22"/>
              </w:rPr>
              <w:t>ct the performance of the loans;</w:t>
            </w:r>
          </w:p>
          <w:p w14:paraId="1F82D4A2" w14:textId="7777777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financial and other relevant characteristics of borrowers</w:t>
            </w:r>
            <w:r w:rsidR="00DC6E32" w:rsidRPr="005B5418">
              <w:rPr>
                <w:rFonts w:eastAsia="Arial Unicode MS" w:cs="Arial"/>
                <w:szCs w:val="22"/>
              </w:rPr>
              <w:t>;</w:t>
            </w:r>
          </w:p>
          <w:p w14:paraId="79241973" w14:textId="7777777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valu</w:t>
            </w:r>
            <w:r w:rsidR="00DC6E32" w:rsidRPr="005B5418">
              <w:rPr>
                <w:rFonts w:eastAsia="Arial Unicode MS" w:cs="Arial"/>
                <w:szCs w:val="22"/>
              </w:rPr>
              <w:t>e of collateral to loan balance;</w:t>
            </w:r>
          </w:p>
          <w:p w14:paraId="78F13F5E" w14:textId="7777777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changes in </w:t>
            </w:r>
            <w:r w:rsidR="00DC6E32" w:rsidRPr="005B5418">
              <w:rPr>
                <w:rFonts w:eastAsia="Arial Unicode MS" w:cs="Arial"/>
                <w:szCs w:val="22"/>
              </w:rPr>
              <w:t>recoverable value of collateral;</w:t>
            </w:r>
          </w:p>
          <w:p w14:paraId="5A18FD3F" w14:textId="235874A3"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newly developed events that could affect the loan</w:t>
            </w:r>
            <w:r w:rsidR="00CD4633" w:rsidRPr="005B5418">
              <w:rPr>
                <w:rFonts w:eastAsia="Arial Unicode MS" w:cs="Arial"/>
                <w:szCs w:val="22"/>
              </w:rPr>
              <w:t>s’</w:t>
            </w:r>
            <w:r w:rsidRPr="005B5418">
              <w:rPr>
                <w:rFonts w:eastAsia="Arial Unicode MS" w:cs="Arial"/>
                <w:szCs w:val="22"/>
              </w:rPr>
              <w:t xml:space="preserve"> performanc</w:t>
            </w:r>
            <w:r w:rsidR="00DC6E32" w:rsidRPr="005B5418">
              <w:rPr>
                <w:rFonts w:eastAsia="Arial Unicode MS" w:cs="Arial"/>
                <w:szCs w:val="22"/>
              </w:rPr>
              <w:t>e;</w:t>
            </w:r>
            <w:r w:rsidRPr="005B5418">
              <w:rPr>
                <w:rFonts w:eastAsia="Arial Unicode MS" w:cs="Arial"/>
                <w:szCs w:val="22"/>
              </w:rPr>
              <w:t xml:space="preserve"> and</w:t>
            </w:r>
          </w:p>
          <w:p w14:paraId="0BB83CB8" w14:textId="0F5CE281" w:rsidR="00BC1CB7" w:rsidRPr="005B5418" w:rsidRDefault="00BC1CB7" w:rsidP="0047584E">
            <w:pPr>
              <w:pStyle w:val="FAM-Table-outline2"/>
              <w:tabs>
                <w:tab w:val="num" w:pos="576"/>
              </w:tabs>
              <w:spacing w:line="240" w:lineRule="auto"/>
              <w:ind w:left="1155" w:hanging="458"/>
              <w:rPr>
                <w:rFonts w:eastAsia="Arial Unicode MS"/>
              </w:rPr>
            </w:pPr>
            <w:r w:rsidRPr="005B5418">
              <w:rPr>
                <w:rFonts w:eastAsia="Arial Unicode MS" w:cs="Arial"/>
                <w:szCs w:val="22"/>
              </w:rPr>
              <w:t xml:space="preserve">improvements in methods </w:t>
            </w:r>
            <w:r w:rsidR="00CD4633" w:rsidRPr="005B5418">
              <w:rPr>
                <w:rFonts w:eastAsia="Arial Unicode MS" w:cs="Arial"/>
                <w:szCs w:val="22"/>
              </w:rPr>
              <w:t xml:space="preserve">for reestimating </w:t>
            </w:r>
            <w:r w:rsidRPr="005B5418">
              <w:rPr>
                <w:rFonts w:eastAsia="Arial Unicode MS" w:cs="Arial"/>
                <w:szCs w:val="22"/>
              </w:rPr>
              <w:t>defaults?</w:t>
            </w:r>
            <w:r w:rsidRPr="005B5418">
              <w:rPr>
                <w:rFonts w:eastAsia="Arial Unicode MS"/>
              </w:rPr>
              <w:t xml:space="preserve"> (SFFAS 2, par</w:t>
            </w:r>
            <w:r w:rsidR="00CD4633" w:rsidRPr="005B5418">
              <w:rPr>
                <w:rFonts w:eastAsia="Arial Unicode MS"/>
              </w:rPr>
              <w:t>a</w:t>
            </w:r>
            <w:r w:rsidRPr="005B5418">
              <w:rPr>
                <w:rFonts w:eastAsia="Arial Unicode MS"/>
              </w:rPr>
              <w:t>. 34)</w:t>
            </w:r>
          </w:p>
        </w:tc>
        <w:tc>
          <w:tcPr>
            <w:tcW w:w="965" w:type="dxa"/>
          </w:tcPr>
          <w:p w14:paraId="35FE28B9" w14:textId="77777777" w:rsidR="00BC1CB7" w:rsidRPr="005B5418" w:rsidRDefault="00BC1CB7" w:rsidP="008848DA">
            <w:pPr>
              <w:pStyle w:val="Table-Cell-CenterBoldBefore6ptAfter6pt"/>
              <w:spacing w:before="60" w:after="60"/>
              <w:rPr>
                <w:rFonts w:cs="Arial"/>
              </w:rPr>
            </w:pPr>
          </w:p>
        </w:tc>
        <w:tc>
          <w:tcPr>
            <w:tcW w:w="3211" w:type="dxa"/>
          </w:tcPr>
          <w:p w14:paraId="726D1ECA" w14:textId="77777777" w:rsidR="00BC1CB7" w:rsidRPr="005B5418" w:rsidRDefault="00BC1CB7" w:rsidP="008848DA">
            <w:pPr>
              <w:spacing w:before="60" w:after="60" w:line="240" w:lineRule="auto"/>
              <w:rPr>
                <w:rFonts w:cs="Arial"/>
              </w:rPr>
            </w:pPr>
          </w:p>
        </w:tc>
      </w:tr>
      <w:tr w:rsidR="00BC1CB7" w:rsidRPr="005B5418" w14:paraId="7E5BE06F" w14:textId="77777777" w:rsidTr="001C22E3">
        <w:trPr>
          <w:cantSplit/>
          <w:trHeight w:val="1097"/>
        </w:trPr>
        <w:tc>
          <w:tcPr>
            <w:tcW w:w="5405" w:type="dxa"/>
          </w:tcPr>
          <w:p w14:paraId="2E2B53D5" w14:textId="2F7789F6"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In estimating and reestimating future default costs, has the agency used a systematic methodology based on experience? (SFFAS 2, par</w:t>
            </w:r>
            <w:r w:rsidR="00ED1E2F" w:rsidRPr="005B5418">
              <w:rPr>
                <w:rFonts w:eastAsia="Arial Unicode MS"/>
              </w:rPr>
              <w:t>as</w:t>
            </w:r>
            <w:r w:rsidRPr="005B5418">
              <w:rPr>
                <w:rFonts w:eastAsia="Arial Unicode MS"/>
              </w:rPr>
              <w:t>. 35</w:t>
            </w:r>
            <w:r w:rsidR="00ED1E2F" w:rsidRPr="005B5418">
              <w:rPr>
                <w:rFonts w:eastAsia="Arial Unicode MS"/>
              </w:rPr>
              <w:t>–</w:t>
            </w:r>
            <w:r w:rsidRPr="005B5418">
              <w:rPr>
                <w:rFonts w:eastAsia="Arial Unicode MS"/>
              </w:rPr>
              <w:t>36)</w:t>
            </w:r>
          </w:p>
        </w:tc>
        <w:tc>
          <w:tcPr>
            <w:tcW w:w="965" w:type="dxa"/>
          </w:tcPr>
          <w:p w14:paraId="4F3BCCF9" w14:textId="77777777" w:rsidR="00BC1CB7" w:rsidRPr="005B5418" w:rsidRDefault="00BC1CB7" w:rsidP="008848DA">
            <w:pPr>
              <w:pStyle w:val="Table-Cell-CenterBoldBefore6ptAfter6pt"/>
              <w:spacing w:before="60" w:after="60"/>
              <w:rPr>
                <w:rFonts w:cs="Arial"/>
              </w:rPr>
            </w:pPr>
          </w:p>
        </w:tc>
        <w:tc>
          <w:tcPr>
            <w:tcW w:w="3211" w:type="dxa"/>
          </w:tcPr>
          <w:p w14:paraId="443347F2" w14:textId="77777777" w:rsidR="00BC1CB7" w:rsidRPr="005B5418" w:rsidRDefault="00BC1CB7" w:rsidP="008848DA">
            <w:pPr>
              <w:spacing w:before="60" w:after="60" w:line="240" w:lineRule="auto"/>
              <w:rPr>
                <w:rFonts w:cs="Arial"/>
              </w:rPr>
            </w:pPr>
          </w:p>
        </w:tc>
      </w:tr>
      <w:tr w:rsidR="00BC1CB7" w:rsidRPr="005B5418" w14:paraId="632C0332" w14:textId="77777777" w:rsidTr="001C22E3">
        <w:trPr>
          <w:cantSplit/>
          <w:trHeight w:val="1691"/>
        </w:trPr>
        <w:tc>
          <w:tcPr>
            <w:tcW w:w="5405" w:type="dxa"/>
          </w:tcPr>
          <w:p w14:paraId="25BDF424" w14:textId="3C0FED51"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interest (at the discount rate in effect when the loans were first disbursed) accrued on post-1991 direct loans, including amortized interest, recognized as interest income? (SFFAS 2, par</w:t>
            </w:r>
            <w:r w:rsidR="00ED1E2F" w:rsidRPr="005B5418">
              <w:rPr>
                <w:rFonts w:eastAsia="Arial Unicode MS"/>
              </w:rPr>
              <w:t>a</w:t>
            </w:r>
            <w:r w:rsidRPr="005B5418">
              <w:rPr>
                <w:rFonts w:eastAsia="Arial Unicode MS"/>
              </w:rPr>
              <w:t>. 37 and app.</w:t>
            </w:r>
            <w:r w:rsidR="00CC42E5" w:rsidRPr="005B5418">
              <w:rPr>
                <w:rFonts w:eastAsia="Arial Unicode MS"/>
              </w:rPr>
              <w:t xml:space="preserve"> </w:t>
            </w:r>
            <w:r w:rsidRPr="005B5418">
              <w:rPr>
                <w:rFonts w:eastAsia="Arial Unicode MS"/>
              </w:rPr>
              <w:t>B, part I</w:t>
            </w:r>
            <w:r w:rsidR="00CC42E5" w:rsidRPr="005B5418">
              <w:rPr>
                <w:rFonts w:eastAsia="Arial Unicode MS"/>
              </w:rPr>
              <w:t xml:space="preserve"> </w:t>
            </w:r>
            <w:r w:rsidRPr="005B5418">
              <w:rPr>
                <w:rFonts w:eastAsia="Arial Unicode MS"/>
              </w:rPr>
              <w:t>B (2) and (C))</w:t>
            </w:r>
          </w:p>
        </w:tc>
        <w:tc>
          <w:tcPr>
            <w:tcW w:w="965" w:type="dxa"/>
          </w:tcPr>
          <w:p w14:paraId="034BDFA0" w14:textId="77777777" w:rsidR="00BC1CB7" w:rsidRPr="005B5418" w:rsidRDefault="00BC1CB7" w:rsidP="008848DA">
            <w:pPr>
              <w:pStyle w:val="Table-Cell-CenterBoldBefore6ptAfter6pt"/>
              <w:spacing w:before="60" w:after="60"/>
              <w:rPr>
                <w:rFonts w:cs="Arial"/>
              </w:rPr>
            </w:pPr>
          </w:p>
        </w:tc>
        <w:tc>
          <w:tcPr>
            <w:tcW w:w="3211" w:type="dxa"/>
          </w:tcPr>
          <w:p w14:paraId="10CEA8BD" w14:textId="77777777" w:rsidR="00BC1CB7" w:rsidRPr="005B5418" w:rsidRDefault="00BC1CB7" w:rsidP="008848DA">
            <w:pPr>
              <w:spacing w:before="60" w:after="60" w:line="240" w:lineRule="auto"/>
              <w:rPr>
                <w:rFonts w:cs="Arial"/>
              </w:rPr>
            </w:pPr>
          </w:p>
        </w:tc>
      </w:tr>
      <w:tr w:rsidR="00BC1CB7" w:rsidRPr="005B5418" w14:paraId="1BA548A7" w14:textId="77777777" w:rsidTr="001C22E3">
        <w:trPr>
          <w:cantSplit/>
          <w:trHeight w:val="1412"/>
        </w:trPr>
        <w:tc>
          <w:tcPr>
            <w:tcW w:w="5405" w:type="dxa"/>
          </w:tcPr>
          <w:p w14:paraId="2A839046" w14:textId="5FEB165D"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interest (at the original discount rate) accrued on debt to the Treasury arising from post-1991 direct loans recognized as interest expense? (SFFAS 2, par</w:t>
            </w:r>
            <w:r w:rsidR="003342F8" w:rsidRPr="005B5418">
              <w:rPr>
                <w:rFonts w:eastAsia="Arial Unicode MS"/>
              </w:rPr>
              <w:t>a</w:t>
            </w:r>
            <w:r w:rsidRPr="005B5418">
              <w:rPr>
                <w:rFonts w:eastAsia="Arial Unicode MS"/>
              </w:rPr>
              <w:t>. 37 and app.</w:t>
            </w:r>
            <w:r w:rsidR="00CC42E5" w:rsidRPr="005B5418">
              <w:rPr>
                <w:rFonts w:eastAsia="Arial Unicode MS"/>
              </w:rPr>
              <w:t xml:space="preserve"> </w:t>
            </w:r>
            <w:r w:rsidRPr="005B5418">
              <w:rPr>
                <w:rFonts w:eastAsia="Arial Unicode MS"/>
              </w:rPr>
              <w:t>B, part I</w:t>
            </w:r>
            <w:r w:rsidR="00CC42E5" w:rsidRPr="005B5418">
              <w:rPr>
                <w:rFonts w:eastAsia="Arial Unicode MS"/>
              </w:rPr>
              <w:t xml:space="preserve"> </w:t>
            </w:r>
            <w:r w:rsidRPr="005B5418">
              <w:rPr>
                <w:rFonts w:eastAsia="Arial Unicode MS"/>
              </w:rPr>
              <w:t>B (2) and (C))</w:t>
            </w:r>
          </w:p>
        </w:tc>
        <w:tc>
          <w:tcPr>
            <w:tcW w:w="965" w:type="dxa"/>
          </w:tcPr>
          <w:p w14:paraId="1442919E" w14:textId="77777777" w:rsidR="00BC1CB7" w:rsidRPr="005B5418" w:rsidRDefault="00BC1CB7" w:rsidP="008848DA">
            <w:pPr>
              <w:pStyle w:val="Table-Cell-CenterBoldBefore6ptAfter6pt"/>
              <w:spacing w:before="60" w:after="60"/>
              <w:rPr>
                <w:rFonts w:cs="Arial"/>
              </w:rPr>
            </w:pPr>
          </w:p>
        </w:tc>
        <w:tc>
          <w:tcPr>
            <w:tcW w:w="3211" w:type="dxa"/>
          </w:tcPr>
          <w:p w14:paraId="58D9191D" w14:textId="77777777" w:rsidR="00BC1CB7" w:rsidRPr="005B5418" w:rsidRDefault="00BC1CB7" w:rsidP="008848DA">
            <w:pPr>
              <w:spacing w:before="60" w:after="60" w:line="240" w:lineRule="auto"/>
              <w:rPr>
                <w:rFonts w:cs="Arial"/>
              </w:rPr>
            </w:pPr>
          </w:p>
        </w:tc>
      </w:tr>
      <w:tr w:rsidR="00BC1CB7" w:rsidRPr="005B5418" w14:paraId="3EA98159" w14:textId="77777777" w:rsidTr="001C22E3">
        <w:trPr>
          <w:cantSplit/>
          <w:trHeight w:val="1331"/>
        </w:trPr>
        <w:tc>
          <w:tcPr>
            <w:tcW w:w="5405" w:type="dxa"/>
          </w:tcPr>
          <w:p w14:paraId="2EE0DD5A" w14:textId="5550A86E"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interest (at the discount rate in effect when the loans were first disbursed) accrued on liability of post-1991 loan guarantees recognized as interest expense? (SFFAS 2, par</w:t>
            </w:r>
            <w:r w:rsidR="003342F8" w:rsidRPr="005B5418">
              <w:rPr>
                <w:rFonts w:eastAsia="Arial Unicode MS"/>
              </w:rPr>
              <w:t>a</w:t>
            </w:r>
            <w:r w:rsidRPr="005B5418">
              <w:rPr>
                <w:rFonts w:eastAsia="Arial Unicode MS"/>
              </w:rPr>
              <w:t>. 37 and app.</w:t>
            </w:r>
            <w:r w:rsidR="00CC42E5" w:rsidRPr="005B5418">
              <w:rPr>
                <w:rFonts w:eastAsia="Arial Unicode MS"/>
              </w:rPr>
              <w:t xml:space="preserve"> </w:t>
            </w:r>
            <w:r w:rsidRPr="005B5418">
              <w:rPr>
                <w:rFonts w:eastAsia="Arial Unicode MS"/>
              </w:rPr>
              <w:t>B, part III B (2) and (C))</w:t>
            </w:r>
          </w:p>
        </w:tc>
        <w:tc>
          <w:tcPr>
            <w:tcW w:w="965" w:type="dxa"/>
          </w:tcPr>
          <w:p w14:paraId="03987F65" w14:textId="77777777" w:rsidR="00BC1CB7" w:rsidRPr="005B5418" w:rsidRDefault="00BC1CB7" w:rsidP="008848DA">
            <w:pPr>
              <w:pStyle w:val="Table-Cell-CenterBoldBefore6ptAfter6pt"/>
              <w:spacing w:before="60" w:after="60"/>
              <w:rPr>
                <w:rFonts w:cs="Arial"/>
              </w:rPr>
            </w:pPr>
          </w:p>
        </w:tc>
        <w:tc>
          <w:tcPr>
            <w:tcW w:w="3211" w:type="dxa"/>
          </w:tcPr>
          <w:p w14:paraId="0C5BF3ED" w14:textId="77777777" w:rsidR="00BC1CB7" w:rsidRPr="005B5418" w:rsidRDefault="00BC1CB7" w:rsidP="008848DA">
            <w:pPr>
              <w:spacing w:before="60" w:after="60" w:line="240" w:lineRule="auto"/>
              <w:rPr>
                <w:rFonts w:cs="Arial"/>
              </w:rPr>
            </w:pPr>
          </w:p>
        </w:tc>
      </w:tr>
      <w:tr w:rsidR="00BC1CB7" w:rsidRPr="005B5418" w14:paraId="53C0EA5D" w14:textId="77777777" w:rsidTr="001C22E3">
        <w:trPr>
          <w:cantSplit/>
          <w:trHeight w:val="1790"/>
        </w:trPr>
        <w:tc>
          <w:tcPr>
            <w:tcW w:w="5405" w:type="dxa"/>
          </w:tcPr>
          <w:p w14:paraId="07D3FA4B" w14:textId="0ED185FD"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Is interest (at the original discount rate) due from the Treasury on uninvested funds associated with post-1991 loan guarantee liabilities recognized as interest income? (SFFAS 2, par</w:t>
            </w:r>
            <w:r w:rsidR="00C2550C" w:rsidRPr="005B5418">
              <w:rPr>
                <w:rFonts w:eastAsia="Arial Unicode MS"/>
              </w:rPr>
              <w:t>a</w:t>
            </w:r>
            <w:r w:rsidRPr="005B5418">
              <w:rPr>
                <w:rFonts w:eastAsia="Arial Unicode MS"/>
              </w:rPr>
              <w:t>. 37 and app.</w:t>
            </w:r>
            <w:r w:rsidR="00CC42E5" w:rsidRPr="005B5418">
              <w:rPr>
                <w:rFonts w:eastAsia="Arial Unicode MS"/>
              </w:rPr>
              <w:t xml:space="preserve"> </w:t>
            </w:r>
            <w:r w:rsidRPr="005B5418">
              <w:rPr>
                <w:rFonts w:eastAsia="Arial Unicode MS"/>
              </w:rPr>
              <w:t>B, part III B (2) and (C))</w:t>
            </w:r>
          </w:p>
        </w:tc>
        <w:tc>
          <w:tcPr>
            <w:tcW w:w="965" w:type="dxa"/>
          </w:tcPr>
          <w:p w14:paraId="6A35C33E" w14:textId="77777777" w:rsidR="00BC1CB7" w:rsidRPr="005B5418" w:rsidRDefault="00BC1CB7" w:rsidP="008848DA">
            <w:pPr>
              <w:pStyle w:val="Table-Cell-CenterBoldBefore6ptAfter6pt"/>
              <w:spacing w:before="60" w:after="60"/>
              <w:rPr>
                <w:rFonts w:cs="Arial"/>
              </w:rPr>
            </w:pPr>
          </w:p>
        </w:tc>
        <w:tc>
          <w:tcPr>
            <w:tcW w:w="3211" w:type="dxa"/>
          </w:tcPr>
          <w:p w14:paraId="2B9023FA" w14:textId="77777777" w:rsidR="00BC1CB7" w:rsidRPr="005B5418" w:rsidRDefault="00BC1CB7" w:rsidP="008848DA">
            <w:pPr>
              <w:spacing w:before="60" w:after="60" w:line="240" w:lineRule="auto"/>
              <w:rPr>
                <w:rFonts w:cs="Arial"/>
              </w:rPr>
            </w:pPr>
          </w:p>
        </w:tc>
      </w:tr>
      <w:tr w:rsidR="00BC1CB7" w:rsidRPr="005B5418" w14:paraId="2CF79D65" w14:textId="77777777" w:rsidTr="001C22E3">
        <w:trPr>
          <w:cantSplit/>
          <w:trHeight w:val="2160"/>
        </w:trPr>
        <w:tc>
          <w:tcPr>
            <w:tcW w:w="5405" w:type="dxa"/>
            <w:vAlign w:val="center"/>
          </w:tcPr>
          <w:p w14:paraId="2AEBC2A2" w14:textId="0F3B7E8E"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Are costs for administering credit activities (such as salaries, legal fees, and servicing) that are incurred in support of direct loan and guaranteed loan programs recognized as administrative expenses and not included in direct loan and loan guarantee subsidy costs? (SFFAS 2, par</w:t>
            </w:r>
            <w:r w:rsidR="00C2550C" w:rsidRPr="005B5418">
              <w:rPr>
                <w:rFonts w:eastAsia="Arial Unicode MS"/>
              </w:rPr>
              <w:t>a</w:t>
            </w:r>
            <w:r w:rsidRPr="005B5418">
              <w:rPr>
                <w:rFonts w:eastAsia="Arial Unicode MS"/>
              </w:rPr>
              <w:t>. 38)</w:t>
            </w:r>
          </w:p>
        </w:tc>
        <w:tc>
          <w:tcPr>
            <w:tcW w:w="965" w:type="dxa"/>
          </w:tcPr>
          <w:p w14:paraId="31969A51" w14:textId="77777777" w:rsidR="00BC1CB7" w:rsidRPr="005B5418" w:rsidRDefault="00BC1CB7" w:rsidP="008848DA">
            <w:pPr>
              <w:pStyle w:val="Table-Cell-CenterBoldBefore6ptAfter6pt"/>
              <w:spacing w:before="60" w:after="60"/>
              <w:rPr>
                <w:rFonts w:cs="Arial"/>
              </w:rPr>
            </w:pPr>
          </w:p>
        </w:tc>
        <w:tc>
          <w:tcPr>
            <w:tcW w:w="3211" w:type="dxa"/>
          </w:tcPr>
          <w:p w14:paraId="79AAEA9E" w14:textId="77777777" w:rsidR="00BC1CB7" w:rsidRPr="005B5418" w:rsidRDefault="00BC1CB7" w:rsidP="008848DA">
            <w:pPr>
              <w:spacing w:before="60" w:after="60" w:line="240" w:lineRule="auto"/>
              <w:rPr>
                <w:rFonts w:cs="Arial"/>
              </w:rPr>
            </w:pPr>
          </w:p>
        </w:tc>
      </w:tr>
      <w:tr w:rsidR="00BC1CB7" w:rsidRPr="005B5418" w14:paraId="63C532C2" w14:textId="77777777" w:rsidTr="001C22E3">
        <w:trPr>
          <w:cantSplit/>
          <w:trHeight w:val="2160"/>
        </w:trPr>
        <w:tc>
          <w:tcPr>
            <w:tcW w:w="5405" w:type="dxa"/>
          </w:tcPr>
          <w:p w14:paraId="325DF80B" w14:textId="5DA719AC"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Are losses (as well as valuation allowances and corresponding liabilities) of direct loans obligated and loan guarantees committed before October 1, 1991, recognized when it is more likely than not that the direct loans will not be totally collected or that the loan guarantees will require a future cash outflow to pay default claims? (SFFAS 2, par</w:t>
            </w:r>
            <w:r w:rsidR="00C2550C" w:rsidRPr="005B5418">
              <w:rPr>
                <w:rFonts w:eastAsia="Arial Unicode MS"/>
              </w:rPr>
              <w:t>a</w:t>
            </w:r>
            <w:r w:rsidRPr="005B5418">
              <w:rPr>
                <w:rFonts w:eastAsia="Arial Unicode MS"/>
              </w:rPr>
              <w:t>. 39)</w:t>
            </w:r>
          </w:p>
        </w:tc>
        <w:tc>
          <w:tcPr>
            <w:tcW w:w="965" w:type="dxa"/>
          </w:tcPr>
          <w:p w14:paraId="5A019B5B" w14:textId="77777777" w:rsidR="00BC1CB7" w:rsidRPr="005B5418" w:rsidRDefault="00BC1CB7" w:rsidP="008848DA">
            <w:pPr>
              <w:pStyle w:val="Table-Cell-CenterBoldBefore6ptAfter6pt"/>
              <w:spacing w:before="60" w:after="60"/>
              <w:rPr>
                <w:rFonts w:cs="Arial"/>
              </w:rPr>
            </w:pPr>
          </w:p>
        </w:tc>
        <w:tc>
          <w:tcPr>
            <w:tcW w:w="3211" w:type="dxa"/>
          </w:tcPr>
          <w:p w14:paraId="0AB1D857" w14:textId="77777777" w:rsidR="00BC1CB7" w:rsidRPr="005B5418" w:rsidRDefault="00BC1CB7" w:rsidP="008848DA">
            <w:pPr>
              <w:spacing w:before="60" w:after="60" w:line="240" w:lineRule="auto"/>
              <w:rPr>
                <w:rFonts w:cs="Arial"/>
              </w:rPr>
            </w:pPr>
          </w:p>
        </w:tc>
      </w:tr>
      <w:tr w:rsidR="00BC1CB7" w:rsidRPr="005B5418" w14:paraId="6CFFE8C0" w14:textId="77777777" w:rsidTr="001C22E3">
        <w:trPr>
          <w:cantSplit/>
          <w:trHeight w:val="422"/>
        </w:trPr>
        <w:tc>
          <w:tcPr>
            <w:tcW w:w="9581" w:type="dxa"/>
            <w:gridSpan w:val="3"/>
          </w:tcPr>
          <w:p w14:paraId="1F391C50" w14:textId="77777777" w:rsidR="00BC1CB7" w:rsidRPr="005B5418" w:rsidRDefault="00BC1CB7" w:rsidP="008848DA">
            <w:pPr>
              <w:spacing w:before="60" w:after="60" w:line="240" w:lineRule="auto"/>
              <w:rPr>
                <w:rFonts w:ascii="Arial" w:hAnsi="Arial" w:cs="Arial"/>
                <w:i/>
              </w:rPr>
            </w:pPr>
            <w:r w:rsidRPr="005B5418">
              <w:rPr>
                <w:rFonts w:ascii="Arial" w:hAnsi="Arial" w:cs="Arial"/>
                <w:i/>
              </w:rPr>
              <w:t>Foreclosed Property</w:t>
            </w:r>
          </w:p>
        </w:tc>
      </w:tr>
      <w:tr w:rsidR="00BC1CB7" w:rsidRPr="005B5418" w14:paraId="7BE26C65" w14:textId="77777777" w:rsidTr="001C22E3">
        <w:trPr>
          <w:cantSplit/>
          <w:trHeight w:val="1430"/>
        </w:trPr>
        <w:tc>
          <w:tcPr>
            <w:tcW w:w="5405" w:type="dxa"/>
          </w:tcPr>
          <w:p w14:paraId="3090F6BA" w14:textId="3C6255E4"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at the time of the foreclosure, the expected net realizable value of pre-1992 foreclosed property is less than the cost (i.e., the carrying amount of the loan, or for a loan guarantee, the amount of the claim paid), is the loss charged to operations and tracked in a valuation allowance account? (SFFAS 3, par</w:t>
            </w:r>
            <w:r w:rsidR="00C2550C" w:rsidRPr="005B5418">
              <w:rPr>
                <w:rFonts w:eastAsia="Arial Unicode MS"/>
              </w:rPr>
              <w:t>a</w:t>
            </w:r>
            <w:r w:rsidRPr="005B5418">
              <w:rPr>
                <w:rFonts w:eastAsia="Arial Unicode MS"/>
              </w:rPr>
              <w:t>. 86)</w:t>
            </w:r>
          </w:p>
        </w:tc>
        <w:tc>
          <w:tcPr>
            <w:tcW w:w="965" w:type="dxa"/>
          </w:tcPr>
          <w:p w14:paraId="4456037A" w14:textId="77777777" w:rsidR="00BC1CB7" w:rsidRPr="005B5418" w:rsidRDefault="00BC1CB7" w:rsidP="008848DA">
            <w:pPr>
              <w:pStyle w:val="Table-Cell-CenterBoldBefore6ptAfter6pt"/>
              <w:spacing w:before="60" w:after="60"/>
              <w:rPr>
                <w:rFonts w:cs="Arial"/>
              </w:rPr>
            </w:pPr>
          </w:p>
        </w:tc>
        <w:tc>
          <w:tcPr>
            <w:tcW w:w="3211" w:type="dxa"/>
          </w:tcPr>
          <w:p w14:paraId="32D04B38" w14:textId="77777777" w:rsidR="00BC1CB7" w:rsidRPr="005B5418" w:rsidRDefault="00BC1CB7" w:rsidP="008848DA">
            <w:pPr>
              <w:spacing w:before="60" w:after="60" w:line="240" w:lineRule="auto"/>
              <w:rPr>
                <w:rFonts w:cs="Arial"/>
              </w:rPr>
            </w:pPr>
          </w:p>
        </w:tc>
      </w:tr>
      <w:tr w:rsidR="00BC1CB7" w:rsidRPr="005B5418" w14:paraId="19CACC33" w14:textId="77777777" w:rsidTr="001C22E3">
        <w:trPr>
          <w:cantSplit/>
          <w:trHeight w:val="1430"/>
        </w:trPr>
        <w:tc>
          <w:tcPr>
            <w:tcW w:w="5405" w:type="dxa"/>
          </w:tcPr>
          <w:p w14:paraId="386562B7" w14:textId="503F975E"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the pre-1992 foreclosed asset</w:t>
            </w:r>
            <w:r w:rsidR="00C2550C" w:rsidRPr="005B5418">
              <w:rPr>
                <w:rFonts w:eastAsia="Arial Unicode MS"/>
              </w:rPr>
              <w:t>s’</w:t>
            </w:r>
            <w:r w:rsidRPr="005B5418">
              <w:rPr>
                <w:rFonts w:eastAsia="Arial Unicode MS"/>
              </w:rPr>
              <w:t xml:space="preserve"> net realizable values subsequently increase or decrease, does the entity credit or charge this amount to results of operations and adjust the valuation allowance? (SFFAS 3, par</w:t>
            </w:r>
            <w:r w:rsidR="00C2550C" w:rsidRPr="005B5418">
              <w:rPr>
                <w:rFonts w:eastAsia="Arial Unicode MS"/>
              </w:rPr>
              <w:t>a</w:t>
            </w:r>
            <w:r w:rsidRPr="005B5418">
              <w:rPr>
                <w:rFonts w:eastAsia="Arial Unicode MS"/>
              </w:rPr>
              <w:t>. 86)</w:t>
            </w:r>
          </w:p>
        </w:tc>
        <w:tc>
          <w:tcPr>
            <w:tcW w:w="965" w:type="dxa"/>
          </w:tcPr>
          <w:p w14:paraId="2488E26B" w14:textId="77777777" w:rsidR="00BC1CB7" w:rsidRPr="005B5418" w:rsidRDefault="00BC1CB7" w:rsidP="008848DA">
            <w:pPr>
              <w:pStyle w:val="Table-Cell-CenterBoldBefore6ptAfter6pt"/>
              <w:spacing w:before="60" w:after="60"/>
              <w:rPr>
                <w:rFonts w:cs="Arial"/>
              </w:rPr>
            </w:pPr>
          </w:p>
        </w:tc>
        <w:tc>
          <w:tcPr>
            <w:tcW w:w="3211" w:type="dxa"/>
          </w:tcPr>
          <w:p w14:paraId="3262F7D7" w14:textId="77777777" w:rsidR="00BC1CB7" w:rsidRPr="005B5418" w:rsidRDefault="00BC1CB7" w:rsidP="008848DA">
            <w:pPr>
              <w:spacing w:before="60" w:after="60" w:line="240" w:lineRule="auto"/>
              <w:rPr>
                <w:rFonts w:cs="Arial"/>
              </w:rPr>
            </w:pPr>
          </w:p>
        </w:tc>
      </w:tr>
      <w:tr w:rsidR="00BC1CB7" w:rsidRPr="005B5418" w14:paraId="4C529494" w14:textId="77777777" w:rsidTr="001C22E3">
        <w:trPr>
          <w:cantSplit/>
          <w:trHeight w:val="1430"/>
        </w:trPr>
        <w:tc>
          <w:tcPr>
            <w:tcW w:w="5405" w:type="dxa"/>
          </w:tcPr>
          <w:p w14:paraId="140872E2" w14:textId="15646CA8"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 xml:space="preserve">Upon sale of </w:t>
            </w:r>
            <w:r w:rsidR="00946618" w:rsidRPr="005B5418">
              <w:rPr>
                <w:rFonts w:eastAsia="Arial Unicode MS"/>
              </w:rPr>
              <w:t xml:space="preserve">pre-1992 </w:t>
            </w:r>
            <w:r w:rsidRPr="005B5418">
              <w:rPr>
                <w:rFonts w:eastAsia="Arial Unicode MS"/>
              </w:rPr>
              <w:t>foreclosed property, is any difference between the net carrying amount of foreclosed property and the net proceeds of the sale recognized as a component of operating results</w:t>
            </w:r>
            <w:r w:rsidR="00946618" w:rsidRPr="005B5418">
              <w:rPr>
                <w:rFonts w:eastAsia="Arial Unicode MS"/>
              </w:rPr>
              <w:t xml:space="preserve"> as a gain or a loss on the sale of foreclosed property</w:t>
            </w:r>
            <w:r w:rsidRPr="005B5418">
              <w:rPr>
                <w:rFonts w:eastAsia="Arial Unicode MS"/>
              </w:rPr>
              <w:t>? (SFFAS 3, par</w:t>
            </w:r>
            <w:r w:rsidR="00F159C0" w:rsidRPr="005B5418">
              <w:rPr>
                <w:rFonts w:eastAsia="Arial Unicode MS"/>
              </w:rPr>
              <w:t>a</w:t>
            </w:r>
            <w:r w:rsidRPr="005B5418">
              <w:rPr>
                <w:rFonts w:eastAsia="Arial Unicode MS"/>
              </w:rPr>
              <w:t>. 89)</w:t>
            </w:r>
          </w:p>
        </w:tc>
        <w:tc>
          <w:tcPr>
            <w:tcW w:w="965" w:type="dxa"/>
          </w:tcPr>
          <w:p w14:paraId="232BFDFA" w14:textId="77777777" w:rsidR="00BC1CB7" w:rsidRPr="005B5418" w:rsidRDefault="00BC1CB7" w:rsidP="008848DA">
            <w:pPr>
              <w:pStyle w:val="Table-Cell-CenterBoldBefore6ptAfter6pt"/>
              <w:spacing w:before="60" w:after="60"/>
              <w:rPr>
                <w:rFonts w:cs="Arial"/>
              </w:rPr>
            </w:pPr>
          </w:p>
        </w:tc>
        <w:tc>
          <w:tcPr>
            <w:tcW w:w="3211" w:type="dxa"/>
          </w:tcPr>
          <w:p w14:paraId="69BB2A4C" w14:textId="77777777" w:rsidR="00BC1CB7" w:rsidRPr="005B5418" w:rsidRDefault="00BC1CB7" w:rsidP="008848DA">
            <w:pPr>
              <w:spacing w:before="60" w:after="60" w:line="240" w:lineRule="auto"/>
              <w:rPr>
                <w:rFonts w:cs="Arial"/>
              </w:rPr>
            </w:pPr>
          </w:p>
        </w:tc>
      </w:tr>
      <w:tr w:rsidR="00BC1CB7" w:rsidRPr="005B5418" w14:paraId="5E02DECA" w14:textId="77777777" w:rsidTr="001C22E3">
        <w:trPr>
          <w:cantSplit/>
          <w:trHeight w:val="1088"/>
        </w:trPr>
        <w:tc>
          <w:tcPr>
            <w:tcW w:w="5405" w:type="dxa"/>
          </w:tcPr>
          <w:p w14:paraId="171ACBFB" w14:textId="135BCA2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For post-1991 foreclosed property, is interest income accrued from the previous periodic adjustment in the carrying amount up to the sale date? (SFFAS 3, par</w:t>
            </w:r>
            <w:r w:rsidR="00F159C0" w:rsidRPr="005B5418">
              <w:rPr>
                <w:rFonts w:eastAsia="Arial Unicode MS"/>
              </w:rPr>
              <w:t>a</w:t>
            </w:r>
            <w:r w:rsidRPr="005B5418">
              <w:rPr>
                <w:rFonts w:eastAsia="Arial Unicode MS"/>
              </w:rPr>
              <w:t>. 89)</w:t>
            </w:r>
          </w:p>
        </w:tc>
        <w:tc>
          <w:tcPr>
            <w:tcW w:w="965" w:type="dxa"/>
          </w:tcPr>
          <w:p w14:paraId="7A102A55" w14:textId="77777777" w:rsidR="00BC1CB7" w:rsidRPr="005B5418" w:rsidRDefault="00BC1CB7" w:rsidP="008848DA">
            <w:pPr>
              <w:pStyle w:val="Table-Cell-CenterBoldBefore6ptAfter6pt"/>
              <w:spacing w:before="60" w:after="60"/>
              <w:rPr>
                <w:rFonts w:cs="Arial"/>
              </w:rPr>
            </w:pPr>
          </w:p>
        </w:tc>
        <w:tc>
          <w:tcPr>
            <w:tcW w:w="3211" w:type="dxa"/>
          </w:tcPr>
          <w:p w14:paraId="5934EA06" w14:textId="77777777" w:rsidR="00BC1CB7" w:rsidRPr="005B5418" w:rsidRDefault="00BC1CB7" w:rsidP="008848DA">
            <w:pPr>
              <w:spacing w:before="60" w:after="60" w:line="240" w:lineRule="auto"/>
              <w:rPr>
                <w:rFonts w:cs="Arial"/>
              </w:rPr>
            </w:pPr>
          </w:p>
        </w:tc>
      </w:tr>
      <w:tr w:rsidR="00BC1CB7" w:rsidRPr="005B5418" w14:paraId="2907C57A" w14:textId="77777777" w:rsidTr="001C22E3">
        <w:trPr>
          <w:cantSplit/>
          <w:trHeight w:val="1430"/>
        </w:trPr>
        <w:tc>
          <w:tcPr>
            <w:tcW w:w="5405" w:type="dxa"/>
          </w:tcPr>
          <w:p w14:paraId="2F29D9D4" w14:textId="6E3C66B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For post-1991 foreclosed property, is the resulting difference between the adjusted carrying amount and the net sales proceeds recognized as a reestimate of a subsidy expense? (SFFAS 3, par</w:t>
            </w:r>
            <w:r w:rsidR="00F159C0" w:rsidRPr="005B5418">
              <w:rPr>
                <w:rFonts w:eastAsia="Arial Unicode MS"/>
              </w:rPr>
              <w:t>a</w:t>
            </w:r>
            <w:r w:rsidRPr="005B5418">
              <w:rPr>
                <w:rFonts w:eastAsia="Arial Unicode MS"/>
              </w:rPr>
              <w:t>. 89)</w:t>
            </w:r>
          </w:p>
        </w:tc>
        <w:tc>
          <w:tcPr>
            <w:tcW w:w="965" w:type="dxa"/>
          </w:tcPr>
          <w:p w14:paraId="739669D0" w14:textId="77777777" w:rsidR="00BC1CB7" w:rsidRPr="005B5418" w:rsidRDefault="00BC1CB7" w:rsidP="008848DA">
            <w:pPr>
              <w:pStyle w:val="Table-Cell-CenterBoldBefore6ptAfter6pt"/>
              <w:spacing w:before="60" w:after="60"/>
              <w:rPr>
                <w:rFonts w:cs="Arial"/>
              </w:rPr>
            </w:pPr>
          </w:p>
        </w:tc>
        <w:tc>
          <w:tcPr>
            <w:tcW w:w="3211" w:type="dxa"/>
          </w:tcPr>
          <w:p w14:paraId="6C663B8F" w14:textId="77777777" w:rsidR="00BC1CB7" w:rsidRPr="005B5418" w:rsidRDefault="00BC1CB7" w:rsidP="008848DA">
            <w:pPr>
              <w:spacing w:before="60" w:after="60" w:line="240" w:lineRule="auto"/>
              <w:rPr>
                <w:rFonts w:cs="Arial"/>
              </w:rPr>
            </w:pPr>
          </w:p>
        </w:tc>
      </w:tr>
      <w:tr w:rsidR="00BC1CB7" w:rsidRPr="005B5418" w14:paraId="7F7825EA" w14:textId="77777777" w:rsidTr="001C22E3">
        <w:trPr>
          <w:cantSplit/>
          <w:trHeight w:val="422"/>
        </w:trPr>
        <w:tc>
          <w:tcPr>
            <w:tcW w:w="9581" w:type="dxa"/>
            <w:gridSpan w:val="3"/>
          </w:tcPr>
          <w:p w14:paraId="2A2F9BC9" w14:textId="77777777" w:rsidR="00BC1CB7" w:rsidRPr="005B5418" w:rsidRDefault="00BC1CB7" w:rsidP="008848DA">
            <w:pPr>
              <w:spacing w:before="60" w:after="60" w:line="240" w:lineRule="auto"/>
              <w:rPr>
                <w:rFonts w:ascii="Arial" w:hAnsi="Arial" w:cs="Arial"/>
                <w:i/>
              </w:rPr>
            </w:pPr>
            <w:r w:rsidRPr="005B5418">
              <w:rPr>
                <w:rFonts w:ascii="Arial" w:hAnsi="Arial" w:cs="Arial"/>
                <w:i/>
              </w:rPr>
              <w:t>Modifications</w:t>
            </w:r>
          </w:p>
        </w:tc>
      </w:tr>
      <w:tr w:rsidR="00BC1CB7" w:rsidRPr="005B5418" w14:paraId="5399CD0B" w14:textId="77777777" w:rsidTr="001C22E3">
        <w:trPr>
          <w:cantSplit/>
          <w:trHeight w:val="1646"/>
        </w:trPr>
        <w:tc>
          <w:tcPr>
            <w:tcW w:w="5405" w:type="dxa"/>
          </w:tcPr>
          <w:p w14:paraId="3F536F2E" w14:textId="79165A96"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pre-1992 or post-1991 direct loans are modified, is the excess of the premodification value</w:t>
            </w:r>
            <w:r w:rsidRPr="005B5418">
              <w:rPr>
                <w:rFonts w:eastAsia="Arial Unicode MS"/>
                <w:vertAlign w:val="superscript"/>
              </w:rPr>
              <w:footnoteReference w:id="95"/>
            </w:r>
            <w:r w:rsidRPr="005B5418">
              <w:rPr>
                <w:rFonts w:eastAsia="Arial Unicode MS"/>
              </w:rPr>
              <w:t xml:space="preserve"> over the post modification value</w:t>
            </w:r>
            <w:r w:rsidRPr="005B5418">
              <w:rPr>
                <w:rFonts w:eastAsia="Arial Unicode MS"/>
                <w:vertAlign w:val="superscript"/>
              </w:rPr>
              <w:footnoteReference w:id="96"/>
            </w:r>
            <w:r w:rsidRPr="005B5418">
              <w:rPr>
                <w:rFonts w:eastAsia="Arial Unicode MS"/>
              </w:rPr>
              <w:t xml:space="preserve"> recognized as a modification expense? (SFFAS 2, par</w:t>
            </w:r>
            <w:r w:rsidR="00F159C0" w:rsidRPr="005B5418">
              <w:rPr>
                <w:rFonts w:eastAsia="Arial Unicode MS"/>
              </w:rPr>
              <w:t>a</w:t>
            </w:r>
            <w:r w:rsidRPr="005B5418">
              <w:rPr>
                <w:rFonts w:eastAsia="Arial Unicode MS"/>
              </w:rPr>
              <w:t>. 45 and app. B, parts I D (1-3) and II B (1-3))</w:t>
            </w:r>
          </w:p>
        </w:tc>
        <w:tc>
          <w:tcPr>
            <w:tcW w:w="965" w:type="dxa"/>
          </w:tcPr>
          <w:p w14:paraId="7EDD0436" w14:textId="77777777" w:rsidR="00BC1CB7" w:rsidRPr="005B5418" w:rsidRDefault="00BC1CB7" w:rsidP="008848DA">
            <w:pPr>
              <w:pStyle w:val="Table-Cell-CenterBoldBefore6ptAfter6pt"/>
              <w:spacing w:before="60" w:after="60"/>
              <w:rPr>
                <w:rFonts w:cs="Arial"/>
              </w:rPr>
            </w:pPr>
          </w:p>
        </w:tc>
        <w:tc>
          <w:tcPr>
            <w:tcW w:w="3211" w:type="dxa"/>
          </w:tcPr>
          <w:p w14:paraId="7FF776E9" w14:textId="77777777" w:rsidR="00BC1CB7" w:rsidRPr="005B5418" w:rsidRDefault="00BC1CB7" w:rsidP="008848DA">
            <w:pPr>
              <w:spacing w:before="60" w:after="60" w:line="240" w:lineRule="auto"/>
              <w:rPr>
                <w:rFonts w:cs="Arial"/>
              </w:rPr>
            </w:pPr>
          </w:p>
        </w:tc>
      </w:tr>
      <w:tr w:rsidR="00BC1CB7" w:rsidRPr="005B5418" w14:paraId="16CC03BA" w14:textId="77777777" w:rsidTr="001C22E3">
        <w:trPr>
          <w:cantSplit/>
          <w:trHeight w:val="1790"/>
        </w:trPr>
        <w:tc>
          <w:tcPr>
            <w:tcW w:w="5405" w:type="dxa"/>
          </w:tcPr>
          <w:p w14:paraId="4E5BF756" w14:textId="1385E453"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the cost of modifying pre-1992 or post-1991 loans is either greater or less than the decrease in the loan</w:t>
            </w:r>
            <w:r w:rsidR="00F159C0" w:rsidRPr="005B5418">
              <w:rPr>
                <w:rFonts w:eastAsia="Arial Unicode MS"/>
              </w:rPr>
              <w:t>s’</w:t>
            </w:r>
            <w:r w:rsidRPr="005B5418">
              <w:rPr>
                <w:rFonts w:eastAsia="Arial Unicode MS"/>
              </w:rPr>
              <w:t xml:space="preserve"> book value, is the difference recognized as either a gain or loss? (SFFAS 2, par</w:t>
            </w:r>
            <w:r w:rsidR="009177A9" w:rsidRPr="005B5418">
              <w:rPr>
                <w:rFonts w:eastAsia="Arial Unicode MS"/>
              </w:rPr>
              <w:t>a</w:t>
            </w:r>
            <w:r w:rsidRPr="005B5418">
              <w:rPr>
                <w:rFonts w:eastAsia="Arial Unicode MS"/>
              </w:rPr>
              <w:t>. 48 and app. B, parts I D (4 and 5) and II B (4 and 5))</w:t>
            </w:r>
          </w:p>
        </w:tc>
        <w:tc>
          <w:tcPr>
            <w:tcW w:w="965" w:type="dxa"/>
          </w:tcPr>
          <w:p w14:paraId="392C7E00" w14:textId="77777777" w:rsidR="00BC1CB7" w:rsidRPr="005B5418" w:rsidRDefault="00BC1CB7" w:rsidP="008848DA">
            <w:pPr>
              <w:pStyle w:val="Table-Cell-CenterBoldBefore6ptAfter6pt"/>
              <w:spacing w:before="60" w:after="60"/>
              <w:rPr>
                <w:rFonts w:cs="Arial"/>
              </w:rPr>
            </w:pPr>
          </w:p>
        </w:tc>
        <w:tc>
          <w:tcPr>
            <w:tcW w:w="3211" w:type="dxa"/>
          </w:tcPr>
          <w:p w14:paraId="7AEAA515" w14:textId="77777777" w:rsidR="00BC1CB7" w:rsidRPr="005B5418" w:rsidRDefault="00BC1CB7" w:rsidP="008848DA">
            <w:pPr>
              <w:spacing w:before="60" w:after="60" w:line="240" w:lineRule="auto"/>
              <w:rPr>
                <w:rFonts w:cs="Arial"/>
              </w:rPr>
            </w:pPr>
          </w:p>
        </w:tc>
      </w:tr>
      <w:tr w:rsidR="00BC1CB7" w:rsidRPr="005B5418" w14:paraId="7D0C1E7F" w14:textId="77777777" w:rsidTr="001C22E3">
        <w:trPr>
          <w:cantSplit/>
          <w:trHeight w:val="1655"/>
        </w:trPr>
        <w:tc>
          <w:tcPr>
            <w:tcW w:w="5405" w:type="dxa"/>
          </w:tcPr>
          <w:p w14:paraId="2BB7BC08" w14:textId="7C79D7DC"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If pre-1992 or post-1991 loan guarantees are modified, is the excess of the post modification liability</w:t>
            </w:r>
            <w:r w:rsidRPr="005B5418">
              <w:rPr>
                <w:rFonts w:eastAsia="Arial Unicode MS"/>
                <w:vertAlign w:val="superscript"/>
              </w:rPr>
              <w:footnoteReference w:id="97"/>
            </w:r>
            <w:r w:rsidRPr="005B5418">
              <w:rPr>
                <w:rFonts w:eastAsia="Arial Unicode MS"/>
              </w:rPr>
              <w:t xml:space="preserve"> over the premodification liability</w:t>
            </w:r>
            <w:r w:rsidRPr="005B5418">
              <w:rPr>
                <w:rFonts w:eastAsia="Arial Unicode MS"/>
                <w:vertAlign w:val="superscript"/>
              </w:rPr>
              <w:footnoteReference w:id="98"/>
            </w:r>
            <w:r w:rsidRPr="005B5418">
              <w:rPr>
                <w:rFonts w:eastAsia="Arial Unicode MS"/>
              </w:rPr>
              <w:t xml:space="preserve"> recognized as a modification expense? (SFFAS 2, par</w:t>
            </w:r>
            <w:r w:rsidR="00C5234E" w:rsidRPr="005B5418">
              <w:rPr>
                <w:rFonts w:eastAsia="Arial Unicode MS"/>
              </w:rPr>
              <w:t>a</w:t>
            </w:r>
            <w:r w:rsidRPr="005B5418">
              <w:rPr>
                <w:rFonts w:eastAsia="Arial Unicode MS"/>
              </w:rPr>
              <w:t>. 49 and app. B, parts III D (1-3) and IV B (1-3))</w:t>
            </w:r>
          </w:p>
        </w:tc>
        <w:tc>
          <w:tcPr>
            <w:tcW w:w="965" w:type="dxa"/>
          </w:tcPr>
          <w:p w14:paraId="42B540FE" w14:textId="77777777" w:rsidR="00BC1CB7" w:rsidRPr="005B5418" w:rsidRDefault="00BC1CB7" w:rsidP="008848DA">
            <w:pPr>
              <w:pStyle w:val="Table-Cell-CenterBoldBefore6ptAfter6pt"/>
              <w:spacing w:before="60" w:after="60"/>
              <w:rPr>
                <w:rFonts w:cs="Arial"/>
              </w:rPr>
            </w:pPr>
          </w:p>
        </w:tc>
        <w:tc>
          <w:tcPr>
            <w:tcW w:w="3211" w:type="dxa"/>
          </w:tcPr>
          <w:p w14:paraId="3E8B320E" w14:textId="77777777" w:rsidR="00BC1CB7" w:rsidRPr="005B5418" w:rsidRDefault="00BC1CB7" w:rsidP="008848DA">
            <w:pPr>
              <w:spacing w:before="60" w:after="60" w:line="240" w:lineRule="auto"/>
              <w:rPr>
                <w:rFonts w:cs="Arial"/>
              </w:rPr>
            </w:pPr>
          </w:p>
        </w:tc>
      </w:tr>
      <w:tr w:rsidR="00BC1CB7" w:rsidRPr="005B5418" w14:paraId="5C735BD3" w14:textId="77777777" w:rsidTr="001C22E3">
        <w:trPr>
          <w:cantSplit/>
          <w:trHeight w:val="1961"/>
        </w:trPr>
        <w:tc>
          <w:tcPr>
            <w:tcW w:w="5405" w:type="dxa"/>
          </w:tcPr>
          <w:p w14:paraId="54FADF0D" w14:textId="3177EBFA"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the cost of modifying pre-1992 or post-1991 loan guarantees is either greater or less than the increase in the book value of the related loan guarantee liabilities, is the difference recognized as either a gain or loss? (SFFAS 2, par</w:t>
            </w:r>
            <w:r w:rsidR="00C5234E" w:rsidRPr="005B5418">
              <w:rPr>
                <w:rFonts w:eastAsia="Arial Unicode MS"/>
              </w:rPr>
              <w:t>a</w:t>
            </w:r>
            <w:r w:rsidRPr="005B5418">
              <w:rPr>
                <w:rFonts w:eastAsia="Arial Unicode MS"/>
              </w:rPr>
              <w:t>. 52 and app. B, parts III D (4 and 5) and IV B (5))</w:t>
            </w:r>
          </w:p>
        </w:tc>
        <w:tc>
          <w:tcPr>
            <w:tcW w:w="965" w:type="dxa"/>
          </w:tcPr>
          <w:p w14:paraId="374BEBBC" w14:textId="77777777" w:rsidR="00BC1CB7" w:rsidRPr="005B5418" w:rsidRDefault="00BC1CB7" w:rsidP="008848DA">
            <w:pPr>
              <w:pStyle w:val="Table-Cell-CenterBoldBefore6ptAfter6pt"/>
              <w:spacing w:before="60" w:after="60"/>
              <w:rPr>
                <w:rFonts w:cs="Arial"/>
              </w:rPr>
            </w:pPr>
          </w:p>
        </w:tc>
        <w:tc>
          <w:tcPr>
            <w:tcW w:w="3211" w:type="dxa"/>
          </w:tcPr>
          <w:p w14:paraId="769F685B" w14:textId="77777777" w:rsidR="00BC1CB7" w:rsidRPr="005B5418" w:rsidRDefault="00BC1CB7" w:rsidP="008848DA">
            <w:pPr>
              <w:spacing w:before="60" w:after="60" w:line="240" w:lineRule="auto"/>
              <w:rPr>
                <w:rFonts w:cs="Arial"/>
              </w:rPr>
            </w:pPr>
          </w:p>
        </w:tc>
      </w:tr>
      <w:tr w:rsidR="00BC1CB7" w:rsidRPr="005B5418" w14:paraId="0A75D797" w14:textId="77777777" w:rsidTr="001C22E3">
        <w:trPr>
          <w:cantSplit/>
          <w:trHeight w:val="1736"/>
        </w:trPr>
        <w:tc>
          <w:tcPr>
            <w:tcW w:w="5405" w:type="dxa"/>
          </w:tcPr>
          <w:p w14:paraId="509695BA" w14:textId="21DC232E" w:rsidR="00BC1CB7" w:rsidRPr="005B5418" w:rsidRDefault="00BC1CB7" w:rsidP="008848DA">
            <w:pPr>
              <w:pStyle w:val="FAM-Table-outline"/>
              <w:spacing w:line="240" w:lineRule="auto"/>
              <w:rPr>
                <w:rFonts w:eastAsia="Arial Unicode MS"/>
              </w:rPr>
            </w:pPr>
            <w:r w:rsidRPr="005B5418">
              <w:rPr>
                <w:rFonts w:eastAsia="Arial Unicode MS"/>
              </w:rPr>
              <w:t>If the premodification value of post-1991 and pre-1992 loans sold</w:t>
            </w:r>
            <w:r w:rsidR="00C5234E" w:rsidRPr="005B5418">
              <w:t xml:space="preserve"> </w:t>
            </w:r>
            <w:r w:rsidR="00C5234E" w:rsidRPr="005B5418">
              <w:rPr>
                <w:rFonts w:eastAsia="Arial Unicode MS"/>
              </w:rPr>
              <w:t>exceeds the net proceeds from the sale,</w:t>
            </w:r>
            <w:r w:rsidRPr="005B5418">
              <w:rPr>
                <w:rFonts w:eastAsia="Arial Unicode MS"/>
                <w:vertAlign w:val="superscript"/>
              </w:rPr>
              <w:footnoteReference w:id="99"/>
            </w:r>
            <w:r w:rsidRPr="005B5418">
              <w:rPr>
                <w:rFonts w:eastAsia="Arial Unicode MS"/>
              </w:rPr>
              <w:t xml:space="preserve"> is the excess treated as the cost of modification and recognized as a modification expense? (SFFAS 2, par</w:t>
            </w:r>
            <w:r w:rsidR="00C5234E" w:rsidRPr="005B5418">
              <w:rPr>
                <w:rFonts w:eastAsia="Arial Unicode MS"/>
              </w:rPr>
              <w:t>as</w:t>
            </w:r>
            <w:r w:rsidRPr="005B5418">
              <w:rPr>
                <w:rFonts w:eastAsia="Arial Unicode MS"/>
              </w:rPr>
              <w:t>. 45 and 53 and app. B, part I F (1))</w:t>
            </w:r>
          </w:p>
        </w:tc>
        <w:tc>
          <w:tcPr>
            <w:tcW w:w="965" w:type="dxa"/>
          </w:tcPr>
          <w:p w14:paraId="3BFAE5E0" w14:textId="77777777" w:rsidR="00BC1CB7" w:rsidRPr="005B5418" w:rsidRDefault="00BC1CB7" w:rsidP="008848DA">
            <w:pPr>
              <w:pStyle w:val="Table-Cell-CenterBoldBefore6ptAfter6pt"/>
              <w:spacing w:before="60" w:after="60"/>
              <w:rPr>
                <w:rFonts w:cs="Arial"/>
              </w:rPr>
            </w:pPr>
          </w:p>
        </w:tc>
        <w:tc>
          <w:tcPr>
            <w:tcW w:w="3211" w:type="dxa"/>
          </w:tcPr>
          <w:p w14:paraId="23518C08" w14:textId="77777777" w:rsidR="00BC1CB7" w:rsidRPr="005B5418" w:rsidRDefault="00BC1CB7" w:rsidP="008848DA">
            <w:pPr>
              <w:spacing w:before="60" w:after="60" w:line="240" w:lineRule="auto"/>
              <w:rPr>
                <w:rFonts w:cs="Arial"/>
              </w:rPr>
            </w:pPr>
          </w:p>
        </w:tc>
      </w:tr>
      <w:tr w:rsidR="00BC1CB7" w:rsidRPr="005B5418" w14:paraId="0CBB8423" w14:textId="77777777" w:rsidTr="001C22E3">
        <w:trPr>
          <w:cantSplit/>
          <w:trHeight w:val="1592"/>
        </w:trPr>
        <w:tc>
          <w:tcPr>
            <w:tcW w:w="5405" w:type="dxa"/>
          </w:tcPr>
          <w:p w14:paraId="65DC76AC" w14:textId="7D83A88A"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a loan is sold with recourse, is the present value of estimated losses under the recourse or guarantee obligations recognized as a subsidy expense and as a loan guarantee liability? (SFFAS 2, par</w:t>
            </w:r>
            <w:r w:rsidR="00057A06" w:rsidRPr="005B5418">
              <w:rPr>
                <w:rFonts w:eastAsia="Arial Unicode MS"/>
              </w:rPr>
              <w:t>a</w:t>
            </w:r>
            <w:r w:rsidRPr="005B5418">
              <w:rPr>
                <w:rFonts w:eastAsia="Arial Unicode MS"/>
              </w:rPr>
              <w:t>. 54)</w:t>
            </w:r>
          </w:p>
        </w:tc>
        <w:tc>
          <w:tcPr>
            <w:tcW w:w="965" w:type="dxa"/>
          </w:tcPr>
          <w:p w14:paraId="55C194E0" w14:textId="77777777" w:rsidR="00BC1CB7" w:rsidRPr="005B5418" w:rsidRDefault="00BC1CB7" w:rsidP="008848DA">
            <w:pPr>
              <w:pStyle w:val="Table-Cell-CenterBoldBefore6ptAfter6pt"/>
              <w:spacing w:before="60" w:after="60"/>
              <w:rPr>
                <w:rFonts w:cs="Arial"/>
              </w:rPr>
            </w:pPr>
          </w:p>
        </w:tc>
        <w:tc>
          <w:tcPr>
            <w:tcW w:w="3211" w:type="dxa"/>
          </w:tcPr>
          <w:p w14:paraId="7E7940E5" w14:textId="77777777" w:rsidR="00BC1CB7" w:rsidRPr="005B5418" w:rsidRDefault="00BC1CB7" w:rsidP="008848DA">
            <w:pPr>
              <w:spacing w:before="60" w:after="60" w:line="240" w:lineRule="auto"/>
              <w:rPr>
                <w:rFonts w:cs="Arial"/>
              </w:rPr>
            </w:pPr>
          </w:p>
        </w:tc>
      </w:tr>
      <w:tr w:rsidR="00BC1CB7" w:rsidRPr="005B5418" w14:paraId="45795D40" w14:textId="77777777" w:rsidTr="001C22E3">
        <w:trPr>
          <w:cantSplit/>
          <w:trHeight w:val="1250"/>
        </w:trPr>
        <w:tc>
          <w:tcPr>
            <w:tcW w:w="5405" w:type="dxa"/>
          </w:tcPr>
          <w:p w14:paraId="10C8D868" w14:textId="07ABFCCB"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the modification expense arising from a loan sale is greater than the book value loss, is the difference recognized as a gain? (SFFAS 2, par</w:t>
            </w:r>
            <w:r w:rsidR="00057A06" w:rsidRPr="005B5418">
              <w:rPr>
                <w:rFonts w:eastAsia="Arial Unicode MS"/>
              </w:rPr>
              <w:t>a</w:t>
            </w:r>
            <w:r w:rsidRPr="005B5418">
              <w:rPr>
                <w:rFonts w:eastAsia="Arial Unicode MS"/>
              </w:rPr>
              <w:t>. 55 and app. B, part I F (2))</w:t>
            </w:r>
          </w:p>
        </w:tc>
        <w:tc>
          <w:tcPr>
            <w:tcW w:w="965" w:type="dxa"/>
          </w:tcPr>
          <w:p w14:paraId="0422CF46" w14:textId="77777777" w:rsidR="00BC1CB7" w:rsidRPr="005B5418" w:rsidRDefault="00BC1CB7" w:rsidP="008848DA">
            <w:pPr>
              <w:pStyle w:val="Table-Cell-CenterBoldBefore6ptAfter6pt"/>
              <w:spacing w:before="60" w:after="60"/>
              <w:rPr>
                <w:rFonts w:cs="Arial"/>
              </w:rPr>
            </w:pPr>
          </w:p>
        </w:tc>
        <w:tc>
          <w:tcPr>
            <w:tcW w:w="3211" w:type="dxa"/>
          </w:tcPr>
          <w:p w14:paraId="46765A77" w14:textId="77777777" w:rsidR="00BC1CB7" w:rsidRPr="005B5418" w:rsidRDefault="00BC1CB7" w:rsidP="008848DA">
            <w:pPr>
              <w:spacing w:before="60" w:after="60" w:line="240" w:lineRule="auto"/>
              <w:rPr>
                <w:rFonts w:cs="Arial"/>
              </w:rPr>
            </w:pPr>
          </w:p>
        </w:tc>
      </w:tr>
      <w:tr w:rsidR="00BC1CB7" w:rsidRPr="005B5418" w14:paraId="37AFE493" w14:textId="77777777" w:rsidTr="001C22E3">
        <w:trPr>
          <w:cantSplit/>
          <w:trHeight w:val="1295"/>
        </w:trPr>
        <w:tc>
          <w:tcPr>
            <w:tcW w:w="5405" w:type="dxa"/>
          </w:tcPr>
          <w:p w14:paraId="6C9A227D"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the modification expense arising from a loan sale is less than the book value loss, is the difference recognized as a loss? (SFFAS 2, par</w:t>
            </w:r>
            <w:r w:rsidR="00057A06" w:rsidRPr="005B5418">
              <w:rPr>
                <w:rFonts w:eastAsia="Arial Unicode MS"/>
              </w:rPr>
              <w:t>a</w:t>
            </w:r>
            <w:r w:rsidRPr="005B5418">
              <w:rPr>
                <w:rFonts w:eastAsia="Arial Unicode MS"/>
              </w:rPr>
              <w:t>. 55 and app. B, part I F (2))</w:t>
            </w:r>
          </w:p>
          <w:p w14:paraId="5BFB27CE" w14:textId="607466D7" w:rsidR="001A1310" w:rsidRPr="005B5418" w:rsidRDefault="001A1310" w:rsidP="001A1310">
            <w:pPr>
              <w:pStyle w:val="FAM-Table-outline"/>
              <w:numPr>
                <w:ilvl w:val="0"/>
                <w:numId w:val="0"/>
              </w:numPr>
              <w:spacing w:line="240" w:lineRule="auto"/>
              <w:ind w:left="666"/>
              <w:rPr>
                <w:rFonts w:eastAsia="Arial Unicode MS"/>
              </w:rPr>
            </w:pPr>
          </w:p>
        </w:tc>
        <w:tc>
          <w:tcPr>
            <w:tcW w:w="965" w:type="dxa"/>
          </w:tcPr>
          <w:p w14:paraId="4D32F595" w14:textId="77777777" w:rsidR="00BC1CB7" w:rsidRPr="005B5418" w:rsidRDefault="00BC1CB7" w:rsidP="008848DA">
            <w:pPr>
              <w:pStyle w:val="Table-Cell-CenterBoldBefore6ptAfter6pt"/>
              <w:spacing w:before="60" w:after="60"/>
              <w:rPr>
                <w:rFonts w:cs="Arial"/>
              </w:rPr>
            </w:pPr>
          </w:p>
        </w:tc>
        <w:tc>
          <w:tcPr>
            <w:tcW w:w="3211" w:type="dxa"/>
          </w:tcPr>
          <w:p w14:paraId="3704369D" w14:textId="77777777" w:rsidR="00BC1CB7" w:rsidRPr="005B5418" w:rsidRDefault="00BC1CB7" w:rsidP="008848DA">
            <w:pPr>
              <w:spacing w:before="60" w:after="60" w:line="240" w:lineRule="auto"/>
              <w:rPr>
                <w:rFonts w:cs="Arial"/>
              </w:rPr>
            </w:pPr>
          </w:p>
        </w:tc>
      </w:tr>
      <w:tr w:rsidR="00BC1CB7" w:rsidRPr="005B5418" w14:paraId="54C3DB20" w14:textId="77777777" w:rsidTr="001C22E3">
        <w:trPr>
          <w:cantSplit/>
          <w:trHeight w:val="422"/>
        </w:trPr>
        <w:tc>
          <w:tcPr>
            <w:tcW w:w="9581" w:type="dxa"/>
            <w:gridSpan w:val="3"/>
          </w:tcPr>
          <w:p w14:paraId="71E0B670" w14:textId="77777777" w:rsidR="00BC1CB7" w:rsidRPr="005B5418" w:rsidRDefault="00BC1CB7" w:rsidP="008848DA">
            <w:pPr>
              <w:spacing w:before="60" w:after="60" w:line="240" w:lineRule="auto"/>
              <w:rPr>
                <w:rFonts w:ascii="Arial" w:hAnsi="Arial" w:cs="Arial"/>
                <w:i/>
              </w:rPr>
            </w:pPr>
            <w:r w:rsidRPr="005B5418">
              <w:rPr>
                <w:rFonts w:ascii="Arial" w:hAnsi="Arial" w:cs="Arial"/>
                <w:i/>
              </w:rPr>
              <w:t>Credit Reform - Other Financing Sources</w:t>
            </w:r>
          </w:p>
        </w:tc>
      </w:tr>
      <w:tr w:rsidR="00BC1CB7" w:rsidRPr="005B5418" w14:paraId="4AA3D60D" w14:textId="77777777" w:rsidTr="001C22E3">
        <w:trPr>
          <w:cantSplit/>
          <w:trHeight w:val="1295"/>
        </w:trPr>
        <w:tc>
          <w:tcPr>
            <w:tcW w:w="5405" w:type="dxa"/>
          </w:tcPr>
          <w:p w14:paraId="78BA3EF3" w14:textId="218B6971"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Is a gain</w:t>
            </w:r>
            <w:r w:rsidRPr="005B5418">
              <w:rPr>
                <w:rFonts w:eastAsia="Arial Unicode MS"/>
                <w:vertAlign w:val="superscript"/>
              </w:rPr>
              <w:footnoteReference w:id="100"/>
            </w:r>
            <w:r w:rsidRPr="005B5418">
              <w:rPr>
                <w:rFonts w:eastAsia="Arial Unicode MS"/>
              </w:rPr>
              <w:t xml:space="preserve"> from the modification</w:t>
            </w:r>
            <w:r w:rsidRPr="005B5418">
              <w:rPr>
                <w:rFonts w:eastAsia="Arial Unicode MS"/>
                <w:vertAlign w:val="superscript"/>
              </w:rPr>
              <w:footnoteReference w:id="101"/>
            </w:r>
            <w:r w:rsidRPr="005B5418">
              <w:rPr>
                <w:rFonts w:eastAsia="Arial Unicode MS"/>
              </w:rPr>
              <w:t xml:space="preserve"> of post-1991 loans reported as a reduction in financing source and paid to the Treasury as a </w:t>
            </w:r>
            <w:r w:rsidR="00AD1121" w:rsidRPr="005B5418">
              <w:rPr>
                <w:rFonts w:eastAsia="Arial Unicode MS"/>
              </w:rPr>
              <w:t>“m</w:t>
            </w:r>
            <w:r w:rsidRPr="005B5418">
              <w:rPr>
                <w:rFonts w:eastAsia="Arial Unicode MS"/>
              </w:rPr>
              <w:t>odification adjustment transfe</w:t>
            </w:r>
            <w:r w:rsidR="00AD1121" w:rsidRPr="005B5418">
              <w:rPr>
                <w:rFonts w:eastAsia="Arial Unicode MS"/>
              </w:rPr>
              <w:t>r”</w:t>
            </w:r>
            <w:r w:rsidRPr="005B5418">
              <w:rPr>
                <w:rFonts w:eastAsia="Arial Unicode MS"/>
              </w:rPr>
              <w:t>? (SFFAS 2, par</w:t>
            </w:r>
            <w:r w:rsidR="00FD3D84" w:rsidRPr="005B5418">
              <w:rPr>
                <w:rFonts w:eastAsia="Arial Unicode MS"/>
              </w:rPr>
              <w:t>a</w:t>
            </w:r>
            <w:r w:rsidRPr="005B5418">
              <w:rPr>
                <w:rFonts w:eastAsia="Arial Unicode MS"/>
              </w:rPr>
              <w:t>. 48 and app. B, part I D (5))</w:t>
            </w:r>
          </w:p>
        </w:tc>
        <w:tc>
          <w:tcPr>
            <w:tcW w:w="965" w:type="dxa"/>
          </w:tcPr>
          <w:p w14:paraId="1C0DF8CD" w14:textId="77777777" w:rsidR="00BC1CB7" w:rsidRPr="005B5418" w:rsidRDefault="00BC1CB7" w:rsidP="008848DA">
            <w:pPr>
              <w:pStyle w:val="Table-Cell-CenterBoldBefore6ptAfter6pt"/>
              <w:spacing w:before="60" w:after="60"/>
              <w:rPr>
                <w:rFonts w:cs="Arial"/>
              </w:rPr>
            </w:pPr>
          </w:p>
        </w:tc>
        <w:tc>
          <w:tcPr>
            <w:tcW w:w="3211" w:type="dxa"/>
          </w:tcPr>
          <w:p w14:paraId="5F0E8226" w14:textId="77777777" w:rsidR="00BC1CB7" w:rsidRPr="005B5418" w:rsidRDefault="00BC1CB7" w:rsidP="008848DA">
            <w:pPr>
              <w:spacing w:before="60" w:after="60" w:line="240" w:lineRule="auto"/>
              <w:rPr>
                <w:rFonts w:cs="Arial"/>
              </w:rPr>
            </w:pPr>
          </w:p>
        </w:tc>
      </w:tr>
      <w:tr w:rsidR="00BC1CB7" w:rsidRPr="005B5418" w14:paraId="1F464B38" w14:textId="77777777" w:rsidTr="001C22E3">
        <w:trPr>
          <w:cantSplit/>
          <w:trHeight w:val="1295"/>
        </w:trPr>
        <w:tc>
          <w:tcPr>
            <w:tcW w:w="5405" w:type="dxa"/>
          </w:tcPr>
          <w:p w14:paraId="0A57A04B" w14:textId="20BC2E93" w:rsidR="00BC1CB7" w:rsidRPr="005B5418" w:rsidRDefault="00BC1CB7" w:rsidP="008848DA">
            <w:pPr>
              <w:pStyle w:val="FAM-Table-outline"/>
              <w:spacing w:line="240" w:lineRule="auto"/>
              <w:rPr>
                <w:rFonts w:eastAsia="Arial Unicode MS"/>
              </w:rPr>
            </w:pPr>
            <w:r w:rsidRPr="005B5418">
              <w:rPr>
                <w:rFonts w:eastAsia="Arial Unicode MS"/>
              </w:rPr>
              <w:t>Is a loss</w:t>
            </w:r>
            <w:r w:rsidRPr="005B5418">
              <w:rPr>
                <w:rFonts w:eastAsia="Arial Unicode MS"/>
                <w:vertAlign w:val="superscript"/>
              </w:rPr>
              <w:footnoteReference w:id="102"/>
            </w:r>
            <w:r w:rsidRPr="005B5418">
              <w:rPr>
                <w:rFonts w:eastAsia="Arial Unicode MS"/>
              </w:rPr>
              <w:t xml:space="preserve"> from the modification of post-1991 loans reported as a financing source when the reporting entity receives from the Treasury a </w:t>
            </w:r>
            <w:r w:rsidR="00FD3D84" w:rsidRPr="005B5418">
              <w:rPr>
                <w:rFonts w:eastAsia="Arial Unicode MS"/>
              </w:rPr>
              <w:t>“m</w:t>
            </w:r>
            <w:r w:rsidRPr="005B5418">
              <w:rPr>
                <w:rFonts w:eastAsia="Arial Unicode MS"/>
              </w:rPr>
              <w:t>odification adjustment transfer</w:t>
            </w:r>
            <w:r w:rsidR="002D2389" w:rsidRPr="005B5418">
              <w:rPr>
                <w:rFonts w:eastAsia="Arial Unicode MS"/>
              </w:rPr>
              <w:t>”</w:t>
            </w:r>
            <w:r w:rsidRPr="005B5418">
              <w:rPr>
                <w:rFonts w:eastAsia="Arial Unicode MS"/>
              </w:rPr>
              <w:t>? (SFFAS 2, par</w:t>
            </w:r>
            <w:r w:rsidR="00FD3D84" w:rsidRPr="005B5418">
              <w:rPr>
                <w:rFonts w:eastAsia="Arial Unicode MS"/>
              </w:rPr>
              <w:t>a</w:t>
            </w:r>
            <w:r w:rsidRPr="005B5418">
              <w:rPr>
                <w:rFonts w:eastAsia="Arial Unicode MS"/>
              </w:rPr>
              <w:t>. 48 and app. B, part I D (5))</w:t>
            </w:r>
          </w:p>
        </w:tc>
        <w:tc>
          <w:tcPr>
            <w:tcW w:w="965" w:type="dxa"/>
          </w:tcPr>
          <w:p w14:paraId="5EAD227A" w14:textId="77777777" w:rsidR="00BC1CB7" w:rsidRPr="005B5418" w:rsidRDefault="00BC1CB7" w:rsidP="008848DA">
            <w:pPr>
              <w:pStyle w:val="Table-Cell-CenterBoldBefore6ptAfter6pt"/>
              <w:spacing w:before="60" w:after="60"/>
              <w:rPr>
                <w:rFonts w:cs="Arial"/>
              </w:rPr>
            </w:pPr>
          </w:p>
        </w:tc>
        <w:tc>
          <w:tcPr>
            <w:tcW w:w="3211" w:type="dxa"/>
          </w:tcPr>
          <w:p w14:paraId="33109C3B" w14:textId="77777777" w:rsidR="00BC1CB7" w:rsidRPr="005B5418" w:rsidRDefault="00BC1CB7" w:rsidP="008848DA">
            <w:pPr>
              <w:spacing w:before="60" w:after="60" w:line="240" w:lineRule="auto"/>
              <w:rPr>
                <w:rFonts w:cs="Arial"/>
              </w:rPr>
            </w:pPr>
          </w:p>
        </w:tc>
      </w:tr>
      <w:tr w:rsidR="00BC1CB7" w:rsidRPr="005B5418" w14:paraId="16A2DEFF" w14:textId="77777777" w:rsidTr="001C22E3">
        <w:trPr>
          <w:cantSplit/>
          <w:trHeight w:val="1295"/>
        </w:trPr>
        <w:tc>
          <w:tcPr>
            <w:tcW w:w="5405" w:type="dxa"/>
          </w:tcPr>
          <w:p w14:paraId="66C05744" w14:textId="0C32C806"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a gain</w:t>
            </w:r>
            <w:r w:rsidRPr="005B5418">
              <w:rPr>
                <w:rFonts w:eastAsia="Arial Unicode MS"/>
                <w:vertAlign w:val="superscript"/>
              </w:rPr>
              <w:footnoteReference w:id="103"/>
            </w:r>
            <w:r w:rsidRPr="005B5418">
              <w:rPr>
                <w:rFonts w:eastAsia="Arial Unicode MS"/>
              </w:rPr>
              <w:t xml:space="preserve"> resulting from a modification of post-1991 loan guarantees reported as a reduction in financing source and paid to the Treasury as a </w:t>
            </w:r>
            <w:r w:rsidR="0045673E" w:rsidRPr="005B5418">
              <w:rPr>
                <w:rFonts w:eastAsia="Arial Unicode MS"/>
              </w:rPr>
              <w:t>“m</w:t>
            </w:r>
            <w:r w:rsidRPr="005B5418">
              <w:rPr>
                <w:rFonts w:eastAsia="Arial Unicode MS"/>
              </w:rPr>
              <w:t>odification adjustment transfe</w:t>
            </w:r>
            <w:r w:rsidR="0045673E" w:rsidRPr="005B5418">
              <w:rPr>
                <w:rFonts w:eastAsia="Arial Unicode MS"/>
              </w:rPr>
              <w:t>r”</w:t>
            </w:r>
            <w:r w:rsidRPr="005B5418">
              <w:rPr>
                <w:rFonts w:eastAsia="Arial Unicode MS"/>
              </w:rPr>
              <w:t>? (SFFAS 2, par</w:t>
            </w:r>
            <w:r w:rsidR="0045673E" w:rsidRPr="005B5418">
              <w:rPr>
                <w:rFonts w:eastAsia="Arial Unicode MS"/>
              </w:rPr>
              <w:t>a</w:t>
            </w:r>
            <w:r w:rsidRPr="005B5418">
              <w:rPr>
                <w:rFonts w:eastAsia="Arial Unicode MS"/>
              </w:rPr>
              <w:t>. 52 and app. B, part III D (5))</w:t>
            </w:r>
          </w:p>
        </w:tc>
        <w:tc>
          <w:tcPr>
            <w:tcW w:w="965" w:type="dxa"/>
          </w:tcPr>
          <w:p w14:paraId="7BE0C72E" w14:textId="77777777" w:rsidR="00BC1CB7" w:rsidRPr="005B5418" w:rsidRDefault="00BC1CB7" w:rsidP="008848DA">
            <w:pPr>
              <w:pStyle w:val="Table-Cell-CenterBoldBefore6ptAfter6pt"/>
              <w:spacing w:before="60" w:after="60"/>
              <w:rPr>
                <w:rFonts w:cs="Arial"/>
              </w:rPr>
            </w:pPr>
          </w:p>
        </w:tc>
        <w:tc>
          <w:tcPr>
            <w:tcW w:w="3211" w:type="dxa"/>
          </w:tcPr>
          <w:p w14:paraId="79463D19" w14:textId="77777777" w:rsidR="00BC1CB7" w:rsidRPr="005B5418" w:rsidRDefault="00BC1CB7" w:rsidP="008848DA">
            <w:pPr>
              <w:spacing w:before="60" w:after="60" w:line="240" w:lineRule="auto"/>
              <w:rPr>
                <w:rFonts w:cs="Arial"/>
              </w:rPr>
            </w:pPr>
          </w:p>
        </w:tc>
      </w:tr>
      <w:tr w:rsidR="00BC1CB7" w:rsidRPr="005B5418" w14:paraId="79CD5B3E" w14:textId="77777777" w:rsidTr="001C22E3">
        <w:trPr>
          <w:cantSplit/>
          <w:trHeight w:val="1295"/>
        </w:trPr>
        <w:tc>
          <w:tcPr>
            <w:tcW w:w="5405" w:type="dxa"/>
          </w:tcPr>
          <w:p w14:paraId="01519A4F" w14:textId="2BD03514"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a loss</w:t>
            </w:r>
            <w:r w:rsidRPr="005B5418">
              <w:rPr>
                <w:rFonts w:eastAsia="Arial Unicode MS"/>
                <w:vertAlign w:val="superscript"/>
              </w:rPr>
              <w:footnoteReference w:id="104"/>
            </w:r>
            <w:r w:rsidRPr="005B5418">
              <w:rPr>
                <w:rFonts w:eastAsia="Arial Unicode MS"/>
              </w:rPr>
              <w:t xml:space="preserve"> resulting from a modification of post-1991 loan guarantees reported as a financing source when the reporting entity receives from the Treasury a </w:t>
            </w:r>
            <w:r w:rsidR="0045673E" w:rsidRPr="005B5418">
              <w:rPr>
                <w:rFonts w:eastAsia="Arial Unicode MS"/>
              </w:rPr>
              <w:t>“m</w:t>
            </w:r>
            <w:r w:rsidRPr="005B5418">
              <w:rPr>
                <w:rFonts w:eastAsia="Arial Unicode MS"/>
              </w:rPr>
              <w:t>odification adjustment transfer" to offset the difference? (SFFAS 2, par</w:t>
            </w:r>
            <w:r w:rsidR="0045673E" w:rsidRPr="005B5418">
              <w:rPr>
                <w:rFonts w:eastAsia="Arial Unicode MS"/>
              </w:rPr>
              <w:t>a</w:t>
            </w:r>
            <w:r w:rsidRPr="005B5418">
              <w:rPr>
                <w:rFonts w:eastAsia="Arial Unicode MS"/>
              </w:rPr>
              <w:t>. 52 and app. B, part III D (5))</w:t>
            </w:r>
          </w:p>
        </w:tc>
        <w:tc>
          <w:tcPr>
            <w:tcW w:w="965" w:type="dxa"/>
          </w:tcPr>
          <w:p w14:paraId="3299689F" w14:textId="77777777" w:rsidR="00BC1CB7" w:rsidRPr="005B5418" w:rsidRDefault="00BC1CB7" w:rsidP="008848DA">
            <w:pPr>
              <w:pStyle w:val="Table-Cell-CenterBoldBefore6ptAfter6pt"/>
              <w:spacing w:before="60" w:after="60"/>
              <w:rPr>
                <w:rFonts w:cs="Arial"/>
              </w:rPr>
            </w:pPr>
          </w:p>
        </w:tc>
        <w:tc>
          <w:tcPr>
            <w:tcW w:w="3211" w:type="dxa"/>
          </w:tcPr>
          <w:p w14:paraId="424F5DC6" w14:textId="77777777" w:rsidR="00BC1CB7" w:rsidRPr="005B5418" w:rsidRDefault="00BC1CB7" w:rsidP="008848DA">
            <w:pPr>
              <w:spacing w:before="60" w:after="60" w:line="240" w:lineRule="auto"/>
              <w:rPr>
                <w:rFonts w:cs="Arial"/>
              </w:rPr>
            </w:pPr>
          </w:p>
        </w:tc>
      </w:tr>
      <w:tr w:rsidR="00BC1CB7" w:rsidRPr="005B5418" w14:paraId="49459F26" w14:textId="77777777" w:rsidTr="001C22E3">
        <w:trPr>
          <w:cantSplit/>
          <w:trHeight w:val="1295"/>
        </w:trPr>
        <w:tc>
          <w:tcPr>
            <w:tcW w:w="5405" w:type="dxa"/>
          </w:tcPr>
          <w:p w14:paraId="563247AB" w14:textId="15D231EB"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Is a gain on the sale of a post-1991 loan reported as a reduction in financing source and paid to the Treasury as a</w:t>
            </w:r>
            <w:r w:rsidR="0045673E" w:rsidRPr="005B5418">
              <w:rPr>
                <w:rFonts w:eastAsia="Arial Unicode MS"/>
              </w:rPr>
              <w:t xml:space="preserve"> “m</w:t>
            </w:r>
            <w:r w:rsidRPr="005B5418">
              <w:rPr>
                <w:rFonts w:eastAsia="Arial Unicode MS"/>
              </w:rPr>
              <w:t>odification adjustment transfe</w:t>
            </w:r>
            <w:r w:rsidR="0045673E" w:rsidRPr="005B5418">
              <w:rPr>
                <w:rFonts w:eastAsia="Arial Unicode MS"/>
              </w:rPr>
              <w:t>r”</w:t>
            </w:r>
            <w:r w:rsidRPr="005B5418">
              <w:rPr>
                <w:rFonts w:eastAsia="Arial Unicode MS"/>
              </w:rPr>
              <w:t>? (SFFAS 2, par</w:t>
            </w:r>
            <w:r w:rsidR="0045673E" w:rsidRPr="005B5418">
              <w:rPr>
                <w:rFonts w:eastAsia="Arial Unicode MS"/>
              </w:rPr>
              <w:t>a</w:t>
            </w:r>
            <w:r w:rsidRPr="005B5418">
              <w:rPr>
                <w:rFonts w:eastAsia="Arial Unicode MS"/>
              </w:rPr>
              <w:t>. 55 and app. B, part I F (2))</w:t>
            </w:r>
          </w:p>
        </w:tc>
        <w:tc>
          <w:tcPr>
            <w:tcW w:w="965" w:type="dxa"/>
          </w:tcPr>
          <w:p w14:paraId="61F4458F" w14:textId="77777777" w:rsidR="00BC1CB7" w:rsidRPr="005B5418" w:rsidRDefault="00BC1CB7" w:rsidP="008848DA">
            <w:pPr>
              <w:pStyle w:val="Table-Cell-CenterBoldBefore6ptAfter6pt"/>
              <w:spacing w:before="60" w:after="60"/>
              <w:rPr>
                <w:rFonts w:cs="Arial"/>
              </w:rPr>
            </w:pPr>
          </w:p>
        </w:tc>
        <w:tc>
          <w:tcPr>
            <w:tcW w:w="3211" w:type="dxa"/>
          </w:tcPr>
          <w:p w14:paraId="731D6200" w14:textId="77777777" w:rsidR="00BC1CB7" w:rsidRPr="005B5418" w:rsidRDefault="00BC1CB7" w:rsidP="008848DA">
            <w:pPr>
              <w:spacing w:before="60" w:after="60" w:line="240" w:lineRule="auto"/>
              <w:rPr>
                <w:rFonts w:cs="Arial"/>
              </w:rPr>
            </w:pPr>
          </w:p>
        </w:tc>
      </w:tr>
      <w:tr w:rsidR="00BC1CB7" w:rsidRPr="005B5418" w14:paraId="6C75F5B4" w14:textId="77777777" w:rsidTr="001C22E3">
        <w:trPr>
          <w:cantSplit/>
          <w:trHeight w:val="1295"/>
        </w:trPr>
        <w:tc>
          <w:tcPr>
            <w:tcW w:w="5405" w:type="dxa"/>
          </w:tcPr>
          <w:p w14:paraId="0EF7461B" w14:textId="5701AE97" w:rsidR="00BC1CB7" w:rsidRPr="005B5418" w:rsidRDefault="00BC1CB7" w:rsidP="008848DA">
            <w:pPr>
              <w:pStyle w:val="FAM-Table-outline"/>
              <w:spacing w:line="240" w:lineRule="auto"/>
              <w:rPr>
                <w:rFonts w:eastAsia="Arial Unicode MS"/>
              </w:rPr>
            </w:pPr>
            <w:r w:rsidRPr="005B5418">
              <w:rPr>
                <w:rFonts w:eastAsia="Arial Unicode MS"/>
              </w:rPr>
              <w:t>Is a loss on the sale of a post-1991 loan reported as a financing source when the reporting entity receives from the Treasury a “modification adjustment transfer</w:t>
            </w:r>
            <w:r w:rsidR="002D2389" w:rsidRPr="005B5418">
              <w:rPr>
                <w:rFonts w:eastAsia="Arial Unicode MS"/>
              </w:rPr>
              <w:t>”</w:t>
            </w:r>
            <w:r w:rsidRPr="005B5418">
              <w:rPr>
                <w:rFonts w:eastAsia="Arial Unicode MS"/>
              </w:rPr>
              <w:t>? (SFFAS 2, par</w:t>
            </w:r>
            <w:r w:rsidR="000645D4" w:rsidRPr="005B5418">
              <w:rPr>
                <w:rFonts w:eastAsia="Arial Unicode MS"/>
              </w:rPr>
              <w:t>a</w:t>
            </w:r>
            <w:r w:rsidRPr="005B5418">
              <w:rPr>
                <w:rFonts w:eastAsia="Arial Unicode MS"/>
              </w:rPr>
              <w:t>. 55 and app. B, part I F (2))</w:t>
            </w:r>
          </w:p>
        </w:tc>
        <w:tc>
          <w:tcPr>
            <w:tcW w:w="965" w:type="dxa"/>
          </w:tcPr>
          <w:p w14:paraId="3F49305B" w14:textId="77777777" w:rsidR="00BC1CB7" w:rsidRPr="005B5418" w:rsidRDefault="00BC1CB7" w:rsidP="008848DA">
            <w:pPr>
              <w:pStyle w:val="Table-Cell-CenterBoldBefore6ptAfter6pt"/>
              <w:spacing w:before="60" w:after="60"/>
              <w:rPr>
                <w:rFonts w:cs="Arial"/>
              </w:rPr>
            </w:pPr>
          </w:p>
        </w:tc>
        <w:tc>
          <w:tcPr>
            <w:tcW w:w="3211" w:type="dxa"/>
          </w:tcPr>
          <w:p w14:paraId="75D0F5E3" w14:textId="77777777" w:rsidR="00BC1CB7" w:rsidRPr="005B5418" w:rsidRDefault="00BC1CB7" w:rsidP="008848DA">
            <w:pPr>
              <w:spacing w:before="60" w:after="60" w:line="240" w:lineRule="auto"/>
              <w:rPr>
                <w:rFonts w:cs="Arial"/>
              </w:rPr>
            </w:pPr>
          </w:p>
        </w:tc>
      </w:tr>
      <w:tr w:rsidR="00BC1CB7" w:rsidRPr="005B5418" w14:paraId="71B2E43D" w14:textId="77777777" w:rsidTr="001C22E3">
        <w:trPr>
          <w:cantSplit/>
          <w:trHeight w:val="422"/>
        </w:trPr>
        <w:tc>
          <w:tcPr>
            <w:tcW w:w="9581" w:type="dxa"/>
            <w:gridSpan w:val="3"/>
          </w:tcPr>
          <w:p w14:paraId="045FFE7E" w14:textId="77777777" w:rsidR="00BC1CB7" w:rsidRPr="005B5418" w:rsidRDefault="00BC1CB7" w:rsidP="008848DA">
            <w:pPr>
              <w:spacing w:before="60" w:after="60" w:line="240" w:lineRule="auto"/>
              <w:rPr>
                <w:rFonts w:ascii="Arial" w:hAnsi="Arial" w:cs="Arial"/>
                <w:b/>
              </w:rPr>
            </w:pPr>
            <w:r w:rsidRPr="005B5418">
              <w:rPr>
                <w:rFonts w:ascii="Arial" w:hAnsi="Arial" w:cs="Arial"/>
                <w:b/>
              </w:rPr>
              <w:lastRenderedPageBreak/>
              <w:t>Disclosure</w:t>
            </w:r>
          </w:p>
        </w:tc>
      </w:tr>
      <w:tr w:rsidR="00BC1CB7" w:rsidRPr="005B5418" w14:paraId="060B559D" w14:textId="77777777" w:rsidTr="001C22E3">
        <w:trPr>
          <w:trHeight w:val="2160"/>
        </w:trPr>
        <w:tc>
          <w:tcPr>
            <w:tcW w:w="5405" w:type="dxa"/>
          </w:tcPr>
          <w:p w14:paraId="76EAE866" w14:textId="70622444"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the loan guarantee liability is the result of both positive and negative amounts of the various components</w:t>
            </w:r>
            <w:r w:rsidR="009C3AA8" w:rsidRPr="005B5418">
              <w:rPr>
                <w:rFonts w:eastAsia="Arial Unicode MS"/>
              </w:rPr>
              <w:t>:</w:t>
            </w:r>
          </w:p>
          <w:p w14:paraId="2CE29528" w14:textId="77777777" w:rsidR="00E84CB4" w:rsidRPr="005B5418" w:rsidRDefault="00E84CB4"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w:t>
            </w:r>
            <w:r w:rsidR="00790357" w:rsidRPr="005B5418">
              <w:rPr>
                <w:rFonts w:eastAsia="Arial Unicode MS" w:cs="Arial"/>
                <w:szCs w:val="22"/>
              </w:rPr>
              <w:t>f the net amount is positive, is it</w:t>
            </w:r>
            <w:r w:rsidR="00BC1CB7" w:rsidRPr="005B5418">
              <w:rPr>
                <w:rFonts w:eastAsia="Arial Unicode MS" w:cs="Arial"/>
                <w:szCs w:val="22"/>
              </w:rPr>
              <w:t xml:space="preserve"> shown as a liability</w:t>
            </w:r>
            <w:r w:rsidRPr="005B5418">
              <w:rPr>
                <w:rFonts w:eastAsia="Arial Unicode MS" w:cs="Arial"/>
                <w:szCs w:val="22"/>
              </w:rPr>
              <w:t>?</w:t>
            </w:r>
          </w:p>
          <w:p w14:paraId="0B80DC00" w14:textId="6D0A0EB2" w:rsidR="00BC1CB7" w:rsidRPr="005B5418" w:rsidRDefault="00E84CB4"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If the net amount is negative, is it shown as an asset</w:t>
            </w:r>
            <w:r w:rsidR="009C3AA8" w:rsidRPr="005B5418">
              <w:rPr>
                <w:rFonts w:eastAsia="Arial Unicode MS" w:cs="Arial"/>
                <w:szCs w:val="22"/>
              </w:rPr>
              <w:t>?</w:t>
            </w:r>
          </w:p>
          <w:p w14:paraId="6984B5E1" w14:textId="76BA6B08" w:rsidR="00BC1CB7" w:rsidRPr="005B5418" w:rsidRDefault="009C3AA8" w:rsidP="0047584E">
            <w:pPr>
              <w:pStyle w:val="FAM-Table-outline2"/>
              <w:tabs>
                <w:tab w:val="num" w:pos="576"/>
              </w:tabs>
              <w:spacing w:line="240" w:lineRule="auto"/>
              <w:ind w:left="1155" w:hanging="458"/>
              <w:rPr>
                <w:rFonts w:cs="Arial"/>
              </w:rPr>
            </w:pPr>
            <w:r w:rsidRPr="005B5418">
              <w:rPr>
                <w:rFonts w:eastAsia="Arial Unicode MS" w:cs="Arial"/>
                <w:szCs w:val="22"/>
              </w:rPr>
              <w:t>A</w:t>
            </w:r>
            <w:r w:rsidR="00BC1CB7" w:rsidRPr="005B5418">
              <w:rPr>
                <w:rFonts w:eastAsia="Arial Unicode MS" w:cs="Arial"/>
                <w:szCs w:val="22"/>
              </w:rPr>
              <w:t xml:space="preserve">re the components </w:t>
            </w:r>
            <w:r w:rsidR="000E41FC" w:rsidRPr="005B5418">
              <w:rPr>
                <w:rFonts w:eastAsia="Arial Unicode MS" w:cs="Arial"/>
                <w:szCs w:val="22"/>
              </w:rPr>
              <w:t xml:space="preserve">(both positive and negative) </w:t>
            </w:r>
            <w:r w:rsidR="00BC1CB7" w:rsidRPr="005B5418">
              <w:rPr>
                <w:rFonts w:eastAsia="Arial Unicode MS" w:cs="Arial"/>
                <w:szCs w:val="22"/>
              </w:rPr>
              <w:t>of the loan guarantee liabilit</w:t>
            </w:r>
            <w:r w:rsidR="000E41FC" w:rsidRPr="005B5418">
              <w:rPr>
                <w:rFonts w:eastAsia="Arial Unicode MS" w:cs="Arial"/>
                <w:szCs w:val="22"/>
              </w:rPr>
              <w:t>y (or asset if negative)</w:t>
            </w:r>
            <w:r w:rsidR="00BC1CB7" w:rsidRPr="005B5418">
              <w:rPr>
                <w:rFonts w:eastAsia="Arial Unicode MS" w:cs="Arial"/>
                <w:szCs w:val="22"/>
              </w:rPr>
              <w:t xml:space="preserve"> disclosed</w:t>
            </w:r>
            <w:r w:rsidR="00BC1CB7" w:rsidRPr="005B5418">
              <w:rPr>
                <w:rFonts w:eastAsia="Arial Unicode MS"/>
              </w:rPr>
              <w:t xml:space="preserve">? </w:t>
            </w:r>
            <w:r w:rsidR="00BC1CB7" w:rsidRPr="005B5418">
              <w:rPr>
                <w:rFonts w:eastAsia="Arial Unicode MS"/>
              </w:rPr>
              <w:br/>
              <w:t>(A-136, section II.3.2.4)</w:t>
            </w:r>
          </w:p>
        </w:tc>
        <w:tc>
          <w:tcPr>
            <w:tcW w:w="965" w:type="dxa"/>
          </w:tcPr>
          <w:p w14:paraId="23425653" w14:textId="77777777" w:rsidR="00BC1CB7" w:rsidRPr="005B5418" w:rsidRDefault="00BC1CB7" w:rsidP="008848DA">
            <w:pPr>
              <w:pStyle w:val="Table-Cell-CenterBoldBefore6ptAfter6pt"/>
              <w:spacing w:before="60" w:after="60"/>
              <w:rPr>
                <w:rFonts w:cs="Arial"/>
              </w:rPr>
            </w:pPr>
          </w:p>
        </w:tc>
        <w:tc>
          <w:tcPr>
            <w:tcW w:w="3211" w:type="dxa"/>
          </w:tcPr>
          <w:p w14:paraId="42F682F9" w14:textId="77777777" w:rsidR="00BC1CB7" w:rsidRPr="005B5418" w:rsidRDefault="00BC1CB7" w:rsidP="008848DA">
            <w:pPr>
              <w:spacing w:before="60" w:after="60" w:line="240" w:lineRule="auto"/>
              <w:rPr>
                <w:rFonts w:cs="Arial"/>
              </w:rPr>
            </w:pPr>
          </w:p>
        </w:tc>
      </w:tr>
      <w:tr w:rsidR="00BC1CB7" w:rsidRPr="005B5418" w14:paraId="6159C04A" w14:textId="77777777" w:rsidTr="0047584E">
        <w:trPr>
          <w:trHeight w:val="1808"/>
        </w:trPr>
        <w:tc>
          <w:tcPr>
            <w:tcW w:w="5405" w:type="dxa"/>
          </w:tcPr>
          <w:p w14:paraId="7BE022A0" w14:textId="2CB80B0A" w:rsidR="00BC1CB7" w:rsidRPr="005B5418" w:rsidRDefault="00BC1CB7" w:rsidP="006F5AAD">
            <w:pPr>
              <w:pStyle w:val="FAM-Table-outline"/>
              <w:spacing w:line="240" w:lineRule="auto"/>
              <w:rPr>
                <w:rFonts w:eastAsia="Arial Unicode MS"/>
              </w:rPr>
            </w:pPr>
            <w:r w:rsidRPr="005B5418">
              <w:rPr>
                <w:rFonts w:eastAsia="Arial Unicode MS"/>
              </w:rPr>
              <w:t>Did the entity disclose that direct loan</w:t>
            </w:r>
            <w:r w:rsidR="004C798F" w:rsidRPr="005B5418">
              <w:t xml:space="preserve"> </w:t>
            </w:r>
            <w:r w:rsidR="004C798F" w:rsidRPr="005B5418">
              <w:rPr>
                <w:rFonts w:eastAsia="Arial Unicode MS"/>
              </w:rPr>
              <w:t>obligations and loan guarantee commitments made after fiscal year 1991,</w:t>
            </w:r>
            <w:r w:rsidRPr="005B5418">
              <w:rPr>
                <w:rFonts w:eastAsia="Arial Unicode MS"/>
                <w:vertAlign w:val="superscript"/>
              </w:rPr>
              <w:footnoteReference w:id="105"/>
            </w:r>
            <w:r w:rsidRPr="005B5418">
              <w:rPr>
                <w:rFonts w:eastAsia="Arial Unicode MS"/>
              </w:rPr>
              <w:t xml:space="preserve"> and the resulting direct loans or loan guarantees, are governed by the Federal Credit Reform Act</w:t>
            </w:r>
            <w:r w:rsidR="009B6367" w:rsidRPr="005B5418">
              <w:rPr>
                <w:rFonts w:eastAsia="Arial Unicode MS"/>
              </w:rPr>
              <w:t xml:space="preserve"> of 1990</w:t>
            </w:r>
            <w:r w:rsidRPr="005B5418">
              <w:rPr>
                <w:rFonts w:eastAsia="Arial Unicode MS"/>
              </w:rPr>
              <w:t>? (A-136, section II.3.8.8, instruction A)</w:t>
            </w:r>
          </w:p>
        </w:tc>
        <w:tc>
          <w:tcPr>
            <w:tcW w:w="965" w:type="dxa"/>
          </w:tcPr>
          <w:p w14:paraId="609D55F9" w14:textId="77777777" w:rsidR="00BC1CB7" w:rsidRPr="005B5418" w:rsidRDefault="00BC1CB7" w:rsidP="008848DA">
            <w:pPr>
              <w:pStyle w:val="Table-Cell-CenterBoldBefore6ptAfter6pt"/>
              <w:spacing w:before="60" w:after="60"/>
              <w:rPr>
                <w:rFonts w:cs="Arial"/>
              </w:rPr>
            </w:pPr>
          </w:p>
        </w:tc>
        <w:tc>
          <w:tcPr>
            <w:tcW w:w="3211" w:type="dxa"/>
          </w:tcPr>
          <w:p w14:paraId="0EF8296C" w14:textId="77777777" w:rsidR="00BC1CB7" w:rsidRPr="005B5418" w:rsidRDefault="00BC1CB7" w:rsidP="008848DA">
            <w:pPr>
              <w:spacing w:before="60" w:after="60" w:line="240" w:lineRule="auto"/>
              <w:rPr>
                <w:rFonts w:cs="Arial"/>
              </w:rPr>
            </w:pPr>
          </w:p>
        </w:tc>
      </w:tr>
      <w:tr w:rsidR="00BC1CB7" w:rsidRPr="005B5418" w14:paraId="0B874AD5" w14:textId="77777777" w:rsidTr="005C61FF">
        <w:trPr>
          <w:trHeight w:val="1502"/>
        </w:trPr>
        <w:tc>
          <w:tcPr>
            <w:tcW w:w="5405" w:type="dxa"/>
          </w:tcPr>
          <w:p w14:paraId="4B32CF98" w14:textId="60A49941" w:rsidR="00BC1CB7" w:rsidRPr="005B5418" w:rsidRDefault="00BC1CB7" w:rsidP="008848DA">
            <w:pPr>
              <w:pStyle w:val="FAM-Table-outline"/>
              <w:spacing w:line="240" w:lineRule="auto"/>
              <w:rPr>
                <w:rFonts w:eastAsia="Arial Unicode MS"/>
              </w:rPr>
            </w:pPr>
            <w:r w:rsidRPr="005B5418">
              <w:rPr>
                <w:rFonts w:eastAsia="Arial Unicode MS"/>
              </w:rPr>
              <w:t>Does the entity disclose whether pre-1992</w:t>
            </w:r>
            <w:r w:rsidR="00F60FA1" w:rsidRPr="005B5418">
              <w:rPr>
                <w:rFonts w:eastAsia="Arial Unicode MS"/>
              </w:rPr>
              <w:t xml:space="preserve"> </w:t>
            </w:r>
            <w:r w:rsidRPr="005B5418">
              <w:rPr>
                <w:rFonts w:eastAsia="Arial Unicode MS"/>
              </w:rPr>
              <w:t>direct loans and loan guarantees are reported on a present value basis or under the allowance</w:t>
            </w:r>
            <w:r w:rsidR="006A5CE9" w:rsidRPr="005B5418">
              <w:rPr>
                <w:rFonts w:eastAsia="Arial Unicode MS"/>
              </w:rPr>
              <w:t>-</w:t>
            </w:r>
            <w:r w:rsidRPr="005B5418">
              <w:rPr>
                <w:rFonts w:eastAsia="Arial Unicode MS"/>
              </w:rPr>
              <w:t>for-loss method? (A-136, section II.3.8.8, instruction A)</w:t>
            </w:r>
          </w:p>
        </w:tc>
        <w:tc>
          <w:tcPr>
            <w:tcW w:w="965" w:type="dxa"/>
          </w:tcPr>
          <w:p w14:paraId="7752C598" w14:textId="77777777" w:rsidR="00BC1CB7" w:rsidRPr="005B5418" w:rsidRDefault="00BC1CB7" w:rsidP="008848DA">
            <w:pPr>
              <w:pStyle w:val="Table-Cell-CenterBoldBefore6ptAfter6pt"/>
              <w:spacing w:before="60" w:after="60"/>
              <w:rPr>
                <w:rFonts w:cs="Arial"/>
              </w:rPr>
            </w:pPr>
          </w:p>
        </w:tc>
        <w:tc>
          <w:tcPr>
            <w:tcW w:w="3211" w:type="dxa"/>
          </w:tcPr>
          <w:p w14:paraId="3D734E15" w14:textId="77777777" w:rsidR="00BC1CB7" w:rsidRPr="005B5418" w:rsidRDefault="00BC1CB7" w:rsidP="008848DA">
            <w:pPr>
              <w:spacing w:before="60" w:after="60" w:line="240" w:lineRule="auto"/>
              <w:rPr>
                <w:rFonts w:cs="Arial"/>
              </w:rPr>
            </w:pPr>
          </w:p>
        </w:tc>
      </w:tr>
      <w:tr w:rsidR="00BC1CB7" w:rsidRPr="005B5418" w14:paraId="7AFCE744" w14:textId="77777777" w:rsidTr="001C22E3">
        <w:trPr>
          <w:trHeight w:val="1628"/>
        </w:trPr>
        <w:tc>
          <w:tcPr>
            <w:tcW w:w="5405" w:type="dxa"/>
          </w:tcPr>
          <w:p w14:paraId="604E80A1" w14:textId="2372409B" w:rsidR="00BC1CB7" w:rsidRPr="005B5418" w:rsidRDefault="008824DD" w:rsidP="008848DA">
            <w:pPr>
              <w:pStyle w:val="FAM-Table-outline"/>
              <w:spacing w:line="240" w:lineRule="auto"/>
              <w:rPr>
                <w:rFonts w:eastAsia="Arial Unicode MS"/>
              </w:rPr>
            </w:pPr>
            <w:r w:rsidRPr="005B5418">
              <w:rPr>
                <w:spacing w:val="-2"/>
              </w:rPr>
              <w:t>Does the entity disclose</w:t>
            </w:r>
            <w:r w:rsidRPr="005B5418">
              <w:rPr>
                <w:spacing w:val="-4"/>
              </w:rPr>
              <w:t xml:space="preserve"> </w:t>
            </w:r>
            <w:r w:rsidRPr="005B5418">
              <w:t>that</w:t>
            </w:r>
            <w:r w:rsidRPr="005B5418">
              <w:rPr>
                <w:spacing w:val="-2"/>
              </w:rPr>
              <w:t xml:space="preserve"> </w:t>
            </w:r>
            <w:r w:rsidRPr="005B5418">
              <w:rPr>
                <w:spacing w:val="-1"/>
              </w:rPr>
              <w:t>the</w:t>
            </w:r>
            <w:r w:rsidRPr="005B5418">
              <w:rPr>
                <w:spacing w:val="-4"/>
              </w:rPr>
              <w:t xml:space="preserve"> </w:t>
            </w:r>
            <w:r w:rsidRPr="005B5418">
              <w:rPr>
                <w:spacing w:val="-2"/>
              </w:rPr>
              <w:t>net</w:t>
            </w:r>
            <w:r w:rsidRPr="005B5418">
              <w:t xml:space="preserve"> </w:t>
            </w:r>
            <w:r w:rsidRPr="005B5418">
              <w:rPr>
                <w:spacing w:val="-2"/>
              </w:rPr>
              <w:t>loans</w:t>
            </w:r>
            <w:r w:rsidRPr="005B5418">
              <w:t xml:space="preserve"> </w:t>
            </w:r>
            <w:r w:rsidRPr="005B5418">
              <w:rPr>
                <w:spacing w:val="-2"/>
              </w:rPr>
              <w:t>receivable</w:t>
            </w:r>
            <w:r w:rsidRPr="005B5418">
              <w:t xml:space="preserve"> or</w:t>
            </w:r>
            <w:r w:rsidRPr="005B5418">
              <w:rPr>
                <w:spacing w:val="-3"/>
              </w:rPr>
              <w:t xml:space="preserve"> </w:t>
            </w:r>
            <w:r w:rsidRPr="005B5418">
              <w:rPr>
                <w:spacing w:val="-1"/>
              </w:rPr>
              <w:t>the</w:t>
            </w:r>
            <w:r w:rsidRPr="005B5418">
              <w:t xml:space="preserve"> </w:t>
            </w:r>
            <w:r w:rsidRPr="005B5418">
              <w:rPr>
                <w:spacing w:val="-1"/>
              </w:rPr>
              <w:t>value</w:t>
            </w:r>
            <w:r w:rsidRPr="005B5418">
              <w:t xml:space="preserve"> of</w:t>
            </w:r>
            <w:r w:rsidRPr="005B5418">
              <w:rPr>
                <w:spacing w:val="-2"/>
              </w:rPr>
              <w:t xml:space="preserve"> </w:t>
            </w:r>
            <w:r w:rsidRPr="005B5418">
              <w:rPr>
                <w:spacing w:val="-1"/>
              </w:rPr>
              <w:t>assets</w:t>
            </w:r>
            <w:r w:rsidRPr="005B5418">
              <w:rPr>
                <w:spacing w:val="1"/>
              </w:rPr>
              <w:t xml:space="preserve"> </w:t>
            </w:r>
            <w:r w:rsidRPr="005B5418">
              <w:rPr>
                <w:spacing w:val="-1"/>
              </w:rPr>
              <w:t>related</w:t>
            </w:r>
            <w:r w:rsidRPr="005B5418">
              <w:rPr>
                <w:spacing w:val="-2"/>
              </w:rPr>
              <w:t xml:space="preserve"> </w:t>
            </w:r>
            <w:r w:rsidRPr="005B5418">
              <w:t xml:space="preserve">to </w:t>
            </w:r>
            <w:r w:rsidRPr="005B5418">
              <w:rPr>
                <w:spacing w:val="-1"/>
              </w:rPr>
              <w:t>direct</w:t>
            </w:r>
            <w:r w:rsidRPr="005B5418">
              <w:t xml:space="preserve"> </w:t>
            </w:r>
            <w:r w:rsidRPr="005B5418">
              <w:rPr>
                <w:spacing w:val="-2"/>
              </w:rPr>
              <w:t>loans</w:t>
            </w:r>
            <w:r w:rsidRPr="005B5418">
              <w:rPr>
                <w:spacing w:val="-1"/>
              </w:rPr>
              <w:t xml:space="preserve"> </w:t>
            </w:r>
            <w:r w:rsidRPr="005B5418">
              <w:t xml:space="preserve">is not </w:t>
            </w:r>
            <w:r w:rsidRPr="005B5418">
              <w:rPr>
                <w:spacing w:val="-1"/>
              </w:rPr>
              <w:t>the</w:t>
            </w:r>
            <w:r w:rsidRPr="005B5418">
              <w:t xml:space="preserve"> </w:t>
            </w:r>
            <w:r w:rsidRPr="005B5418">
              <w:rPr>
                <w:spacing w:val="-2"/>
              </w:rPr>
              <w:t>same</w:t>
            </w:r>
            <w:r w:rsidRPr="005B5418">
              <w:t xml:space="preserve"> </w:t>
            </w:r>
            <w:r w:rsidRPr="005B5418">
              <w:rPr>
                <w:spacing w:val="-1"/>
              </w:rPr>
              <w:t>as</w:t>
            </w:r>
            <w:r w:rsidRPr="005B5418">
              <w:t xml:space="preserve"> expected proceeds</w:t>
            </w:r>
            <w:r w:rsidRPr="005B5418">
              <w:rPr>
                <w:spacing w:val="-3"/>
              </w:rPr>
              <w:t xml:space="preserve"> </w:t>
            </w:r>
            <w:r w:rsidRPr="005B5418">
              <w:t>from</w:t>
            </w:r>
            <w:r w:rsidRPr="005B5418">
              <w:rPr>
                <w:spacing w:val="-5"/>
              </w:rPr>
              <w:t xml:space="preserve"> </w:t>
            </w:r>
            <w:r w:rsidRPr="005B5418">
              <w:rPr>
                <w:spacing w:val="-1"/>
              </w:rPr>
              <w:t>selling</w:t>
            </w:r>
            <w:r w:rsidRPr="005B5418">
              <w:t xml:space="preserve"> </w:t>
            </w:r>
            <w:r w:rsidRPr="005B5418">
              <w:rPr>
                <w:spacing w:val="-1"/>
              </w:rPr>
              <w:t>the</w:t>
            </w:r>
            <w:r w:rsidRPr="005B5418">
              <w:rPr>
                <w:spacing w:val="-4"/>
              </w:rPr>
              <w:t xml:space="preserve"> </w:t>
            </w:r>
            <w:r w:rsidRPr="005B5418">
              <w:rPr>
                <w:spacing w:val="-2"/>
              </w:rPr>
              <w:t>loans</w:t>
            </w:r>
            <w:r w:rsidR="00BC1CB7" w:rsidRPr="005B5418">
              <w:rPr>
                <w:rFonts w:eastAsia="Arial Unicode MS"/>
              </w:rPr>
              <w:t>? (A-136, section II.3.8.8, instruction A)</w:t>
            </w:r>
          </w:p>
        </w:tc>
        <w:tc>
          <w:tcPr>
            <w:tcW w:w="965" w:type="dxa"/>
          </w:tcPr>
          <w:p w14:paraId="3EA9839E" w14:textId="77777777" w:rsidR="00BC1CB7" w:rsidRPr="005B5418" w:rsidRDefault="00BC1CB7" w:rsidP="008848DA">
            <w:pPr>
              <w:pStyle w:val="Table-Cell-CenterBoldBefore6ptAfter6pt"/>
              <w:spacing w:before="60" w:after="60"/>
              <w:rPr>
                <w:rFonts w:cs="Arial"/>
              </w:rPr>
            </w:pPr>
          </w:p>
        </w:tc>
        <w:tc>
          <w:tcPr>
            <w:tcW w:w="3211" w:type="dxa"/>
          </w:tcPr>
          <w:p w14:paraId="082B2A28" w14:textId="77777777" w:rsidR="00BC1CB7" w:rsidRPr="005B5418" w:rsidRDefault="00BC1CB7" w:rsidP="008848DA">
            <w:pPr>
              <w:spacing w:before="60" w:after="60" w:line="240" w:lineRule="auto"/>
              <w:rPr>
                <w:rFonts w:cs="Arial"/>
              </w:rPr>
            </w:pPr>
          </w:p>
        </w:tc>
      </w:tr>
      <w:tr w:rsidR="00BC1CB7" w:rsidRPr="005B5418" w14:paraId="19754D9B" w14:textId="77777777" w:rsidTr="001A1310">
        <w:trPr>
          <w:trHeight w:val="1781"/>
        </w:trPr>
        <w:tc>
          <w:tcPr>
            <w:tcW w:w="5405" w:type="dxa"/>
          </w:tcPr>
          <w:p w14:paraId="53411862" w14:textId="53BC8EAC" w:rsidR="00BC1CB7" w:rsidRPr="005B5418" w:rsidRDefault="00BC1CB7" w:rsidP="0047491D">
            <w:pPr>
              <w:pStyle w:val="FAM-Table-outline"/>
              <w:spacing w:line="240" w:lineRule="auto"/>
              <w:rPr>
                <w:rFonts w:eastAsia="Arial Unicode MS"/>
              </w:rPr>
            </w:pPr>
            <w:r w:rsidRPr="005B5418">
              <w:rPr>
                <w:rFonts w:eastAsia="Arial Unicode MS"/>
              </w:rPr>
              <w:t>If the entity has made payments on behalf of borrowers that should be collected from borrowers, is the resulting receivable reported in the same column as loans receivable for either direct loans</w:t>
            </w:r>
            <w:r w:rsidR="0047491D" w:rsidRPr="005B5418">
              <w:rPr>
                <w:rFonts w:eastAsia="Arial Unicode MS"/>
              </w:rPr>
              <w:t xml:space="preserve"> or defaulted guaranteed loans</w:t>
            </w:r>
            <w:r w:rsidRPr="005B5418">
              <w:rPr>
                <w:rFonts w:eastAsia="Arial Unicode MS"/>
              </w:rPr>
              <w:t>? (A-136, section II.3.8.8, instruction A)</w:t>
            </w:r>
          </w:p>
        </w:tc>
        <w:tc>
          <w:tcPr>
            <w:tcW w:w="965" w:type="dxa"/>
          </w:tcPr>
          <w:p w14:paraId="03514B09" w14:textId="77777777" w:rsidR="00BC1CB7" w:rsidRPr="005B5418" w:rsidRDefault="00BC1CB7" w:rsidP="008848DA">
            <w:pPr>
              <w:pStyle w:val="Table-Cell-CenterBoldBefore6ptAfter6pt"/>
              <w:spacing w:before="60" w:after="60"/>
              <w:rPr>
                <w:rFonts w:cs="Arial"/>
              </w:rPr>
            </w:pPr>
          </w:p>
        </w:tc>
        <w:tc>
          <w:tcPr>
            <w:tcW w:w="3211" w:type="dxa"/>
          </w:tcPr>
          <w:p w14:paraId="60B84D2B" w14:textId="77777777" w:rsidR="00BC1CB7" w:rsidRPr="005B5418" w:rsidRDefault="00BC1CB7" w:rsidP="008848DA">
            <w:pPr>
              <w:spacing w:before="60" w:after="60" w:line="240" w:lineRule="auto"/>
              <w:rPr>
                <w:rFonts w:cs="Arial"/>
              </w:rPr>
            </w:pPr>
          </w:p>
        </w:tc>
      </w:tr>
      <w:tr w:rsidR="00BC1CB7" w:rsidRPr="005B5418" w14:paraId="19AC051B" w14:textId="77777777" w:rsidTr="001C22E3">
        <w:trPr>
          <w:trHeight w:val="935"/>
        </w:trPr>
        <w:tc>
          <w:tcPr>
            <w:tcW w:w="5405" w:type="dxa"/>
          </w:tcPr>
          <w:p w14:paraId="442EFBC4" w14:textId="492146E3"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Do the notes disclose other relevant and appropriate information related to direct loans and loan guarantees</w:t>
            </w:r>
            <w:r w:rsidR="00170627" w:rsidRPr="005B5418">
              <w:rPr>
                <w:rFonts w:eastAsia="Arial Unicode MS"/>
              </w:rPr>
              <w:t>,</w:t>
            </w:r>
            <w:r w:rsidRPr="005B5418">
              <w:rPr>
                <w:rFonts w:eastAsia="Arial Unicode MS"/>
              </w:rPr>
              <w:t xml:space="preserve"> including </w:t>
            </w:r>
          </w:p>
          <w:p w14:paraId="597D5A7B" w14:textId="002AE91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a description of the characteristics of the loan programs</w:t>
            </w:r>
            <w:r w:rsidR="00170627" w:rsidRPr="005B5418">
              <w:rPr>
                <w:rFonts w:eastAsia="Arial Unicode MS" w:cs="Arial"/>
                <w:szCs w:val="22"/>
              </w:rPr>
              <w:t>,</w:t>
            </w:r>
          </w:p>
          <w:p w14:paraId="3904F714" w14:textId="2763D749"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commitments to guarantee</w:t>
            </w:r>
            <w:r w:rsidR="00170627" w:rsidRPr="005B5418">
              <w:rPr>
                <w:rFonts w:eastAsia="Arial Unicode MS" w:cs="Arial"/>
                <w:szCs w:val="22"/>
              </w:rPr>
              <w:t>,</w:t>
            </w:r>
          </w:p>
          <w:p w14:paraId="0E877E4E" w14:textId="6F2E3853"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management’s method for accruing interest revenue and recording interest receivable</w:t>
            </w:r>
            <w:r w:rsidR="00170627" w:rsidRPr="005B5418">
              <w:rPr>
                <w:rFonts w:eastAsia="Arial Unicode MS" w:cs="Arial"/>
                <w:szCs w:val="22"/>
              </w:rPr>
              <w:t>,</w:t>
            </w:r>
            <w:r w:rsidRPr="005B5418">
              <w:rPr>
                <w:rFonts w:eastAsia="Arial Unicode MS" w:cs="Arial"/>
                <w:szCs w:val="22"/>
              </w:rPr>
              <w:t xml:space="preserve"> and </w:t>
            </w:r>
          </w:p>
          <w:p w14:paraId="7F05271C" w14:textId="134EE7F5" w:rsidR="00BC1CB7" w:rsidRPr="005B5418" w:rsidRDefault="00BC1CB7" w:rsidP="0047584E">
            <w:pPr>
              <w:pStyle w:val="FAM-Table-outline2"/>
              <w:tabs>
                <w:tab w:val="num" w:pos="576"/>
              </w:tabs>
              <w:spacing w:line="240" w:lineRule="auto"/>
              <w:ind w:left="1155" w:hanging="458"/>
              <w:rPr>
                <w:rFonts w:eastAsia="Arial Unicode MS"/>
              </w:rPr>
            </w:pPr>
            <w:r w:rsidRPr="005B5418">
              <w:rPr>
                <w:rFonts w:eastAsia="Arial Unicode MS" w:cs="Arial"/>
                <w:szCs w:val="22"/>
              </w:rPr>
              <w:t>managemen</w:t>
            </w:r>
            <w:r w:rsidR="00170627" w:rsidRPr="005B5418">
              <w:rPr>
                <w:rFonts w:eastAsia="Arial Unicode MS" w:cs="Arial"/>
                <w:szCs w:val="22"/>
              </w:rPr>
              <w:t>t’s</w:t>
            </w:r>
            <w:r w:rsidRPr="005B5418">
              <w:rPr>
                <w:rFonts w:eastAsia="Arial Unicode MS" w:cs="Arial"/>
                <w:szCs w:val="22"/>
              </w:rPr>
              <w:t xml:space="preserve"> policy for accruing interest on nonperforming loans?</w:t>
            </w:r>
            <w:r w:rsidRPr="005B5418">
              <w:rPr>
                <w:rFonts w:eastAsia="Arial Unicode MS"/>
              </w:rPr>
              <w:br/>
              <w:t>(A-136, section II.3.8.8, instruction A)</w:t>
            </w:r>
          </w:p>
        </w:tc>
        <w:tc>
          <w:tcPr>
            <w:tcW w:w="965" w:type="dxa"/>
          </w:tcPr>
          <w:p w14:paraId="03BA66E5" w14:textId="77777777" w:rsidR="00BC1CB7" w:rsidRPr="005B5418" w:rsidRDefault="00BC1CB7" w:rsidP="008848DA">
            <w:pPr>
              <w:pStyle w:val="Table-Cell-CenterBoldBefore6ptAfter6pt"/>
              <w:spacing w:before="60" w:after="60"/>
              <w:rPr>
                <w:rFonts w:cs="Arial"/>
              </w:rPr>
            </w:pPr>
          </w:p>
        </w:tc>
        <w:tc>
          <w:tcPr>
            <w:tcW w:w="3211" w:type="dxa"/>
          </w:tcPr>
          <w:p w14:paraId="210A0D46" w14:textId="77777777" w:rsidR="00BC1CB7" w:rsidRPr="005B5418" w:rsidRDefault="00BC1CB7" w:rsidP="008848DA">
            <w:pPr>
              <w:spacing w:before="60" w:after="60" w:line="240" w:lineRule="auto"/>
              <w:rPr>
                <w:rFonts w:cs="Arial"/>
              </w:rPr>
            </w:pPr>
          </w:p>
        </w:tc>
      </w:tr>
      <w:tr w:rsidR="00BC1CB7" w:rsidRPr="005B5418" w14:paraId="17DC000D" w14:textId="77777777" w:rsidTr="001C22E3">
        <w:trPr>
          <w:trHeight w:val="2160"/>
        </w:trPr>
        <w:tc>
          <w:tcPr>
            <w:tcW w:w="5405" w:type="dxa"/>
          </w:tcPr>
          <w:p w14:paraId="774CAC01" w14:textId="20732BEC" w:rsidR="00BC1CB7" w:rsidRPr="005B5418" w:rsidRDefault="00BC1CB7" w:rsidP="008848DA">
            <w:pPr>
              <w:pStyle w:val="FAM-Table-outline"/>
              <w:spacing w:line="240" w:lineRule="auto"/>
              <w:rPr>
                <w:rFonts w:eastAsia="Arial Unicode MS"/>
              </w:rPr>
            </w:pPr>
            <w:r w:rsidRPr="005B5418">
              <w:rPr>
                <w:rFonts w:eastAsia="Arial Unicode MS"/>
              </w:rPr>
              <w:t>Does the reporting entity disclose events and changes in economic conditions, other risk factors, legislation, credit policies,</w:t>
            </w:r>
            <w:r w:rsidRPr="005B5418">
              <w:rPr>
                <w:rFonts w:eastAsia="Arial Unicode MS"/>
                <w:vertAlign w:val="superscript"/>
              </w:rPr>
              <w:footnoteReference w:id="106"/>
            </w:r>
            <w:r w:rsidRPr="005B5418">
              <w:rPr>
                <w:rFonts w:eastAsia="Arial Unicode MS"/>
              </w:rPr>
              <w:t xml:space="preserve"> and subsidy estimation methodologies and assumptions that have had a significant and measurable effect on subsidy rates, subsidy expenses, and subsidy reestimates? (SFFAS 18, par</w:t>
            </w:r>
            <w:r w:rsidR="00892BEB" w:rsidRPr="005B5418">
              <w:rPr>
                <w:rFonts w:eastAsia="Arial Unicode MS"/>
              </w:rPr>
              <w:t>a</w:t>
            </w:r>
            <w:r w:rsidRPr="005B5418">
              <w:rPr>
                <w:rFonts w:eastAsia="Arial Unicode MS"/>
              </w:rPr>
              <w:t>. 11 (C); A-136, section II.3.8.8, instruction A)</w:t>
            </w:r>
          </w:p>
        </w:tc>
        <w:tc>
          <w:tcPr>
            <w:tcW w:w="965" w:type="dxa"/>
          </w:tcPr>
          <w:p w14:paraId="536FA257" w14:textId="77777777" w:rsidR="00BC1CB7" w:rsidRPr="005B5418" w:rsidRDefault="00BC1CB7" w:rsidP="008848DA">
            <w:pPr>
              <w:pStyle w:val="Table-Cell-CenterBoldBefore6ptAfter6pt"/>
              <w:spacing w:before="60" w:after="60"/>
              <w:rPr>
                <w:rFonts w:cs="Arial"/>
              </w:rPr>
            </w:pPr>
          </w:p>
        </w:tc>
        <w:tc>
          <w:tcPr>
            <w:tcW w:w="3211" w:type="dxa"/>
          </w:tcPr>
          <w:p w14:paraId="7CB3C6BB" w14:textId="77777777" w:rsidR="00BC1CB7" w:rsidRPr="005B5418" w:rsidRDefault="00BC1CB7" w:rsidP="008848DA">
            <w:pPr>
              <w:spacing w:before="60" w:after="60" w:line="240" w:lineRule="auto"/>
              <w:rPr>
                <w:rFonts w:cs="Arial"/>
              </w:rPr>
            </w:pPr>
          </w:p>
        </w:tc>
      </w:tr>
      <w:tr w:rsidR="00BC1CB7" w:rsidRPr="005B5418" w14:paraId="1C84D817" w14:textId="77777777" w:rsidTr="001C22E3">
        <w:trPr>
          <w:trHeight w:val="1700"/>
        </w:trPr>
        <w:tc>
          <w:tcPr>
            <w:tcW w:w="5405" w:type="dxa"/>
          </w:tcPr>
          <w:p w14:paraId="6DFABFF9" w14:textId="769D46E5"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Does the disclosure include events and changes that have occurred and are more likely than not to have a significant impact</w:t>
            </w:r>
            <w:r w:rsidR="00170627" w:rsidRPr="005B5418">
              <w:rPr>
                <w:rFonts w:eastAsia="Arial Unicode MS"/>
              </w:rPr>
              <w:t>,</w:t>
            </w:r>
            <w:r w:rsidRPr="005B5418">
              <w:rPr>
                <w:rFonts w:eastAsia="Arial Unicode MS"/>
              </w:rPr>
              <w:t xml:space="preserve"> even if the effects are not measurable at the reporting date? (SFFAS 18, par</w:t>
            </w:r>
            <w:r w:rsidR="00170627" w:rsidRPr="005B5418">
              <w:rPr>
                <w:rFonts w:eastAsia="Arial Unicode MS"/>
              </w:rPr>
              <w:t>a</w:t>
            </w:r>
            <w:r w:rsidRPr="005B5418">
              <w:rPr>
                <w:rFonts w:eastAsia="Arial Unicode MS"/>
              </w:rPr>
              <w:t>. 11 (C); A-136, section II.3.8.8, instruction A)</w:t>
            </w:r>
          </w:p>
        </w:tc>
        <w:tc>
          <w:tcPr>
            <w:tcW w:w="965" w:type="dxa"/>
          </w:tcPr>
          <w:p w14:paraId="47A397B6" w14:textId="77777777" w:rsidR="00BC1CB7" w:rsidRPr="005B5418" w:rsidRDefault="00BC1CB7" w:rsidP="008848DA">
            <w:pPr>
              <w:pStyle w:val="Table-Cell-CenterBoldBefore6ptAfter6pt"/>
              <w:spacing w:before="60" w:after="60"/>
              <w:rPr>
                <w:rFonts w:cs="Arial"/>
              </w:rPr>
            </w:pPr>
          </w:p>
        </w:tc>
        <w:tc>
          <w:tcPr>
            <w:tcW w:w="3211" w:type="dxa"/>
          </w:tcPr>
          <w:p w14:paraId="69FFFC74" w14:textId="77777777" w:rsidR="00BC1CB7" w:rsidRPr="005B5418" w:rsidRDefault="00BC1CB7" w:rsidP="008848DA">
            <w:pPr>
              <w:spacing w:before="60" w:after="60" w:line="240" w:lineRule="auto"/>
              <w:rPr>
                <w:rFonts w:cs="Arial"/>
              </w:rPr>
            </w:pPr>
          </w:p>
        </w:tc>
      </w:tr>
      <w:tr w:rsidR="00BC1CB7" w:rsidRPr="005B5418" w14:paraId="56CADE6D" w14:textId="77777777" w:rsidTr="001C22E3">
        <w:trPr>
          <w:trHeight w:val="665"/>
        </w:trPr>
        <w:tc>
          <w:tcPr>
            <w:tcW w:w="5405" w:type="dxa"/>
          </w:tcPr>
          <w:p w14:paraId="2F62BE0D"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Are loan modifications by program disclosed in the notes to the financial statements for</w:t>
            </w:r>
          </w:p>
          <w:p w14:paraId="7A21CE70" w14:textId="77777777"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nature of the modification of direct loans or loan guarantees;</w:t>
            </w:r>
          </w:p>
          <w:p w14:paraId="7DF99718" w14:textId="2305F9EA" w:rsidR="00BC1CB7" w:rsidRPr="005B5418" w:rsidRDefault="00BC1CB7" w:rsidP="0047584E">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discount rate used in calculating the modification expense; and</w:t>
            </w:r>
          </w:p>
          <w:p w14:paraId="6B267006" w14:textId="25983EBD" w:rsidR="00BC1CB7" w:rsidRPr="005B5418" w:rsidRDefault="00BC1CB7" w:rsidP="0047584E">
            <w:pPr>
              <w:pStyle w:val="FAM-Table-outline2"/>
              <w:tabs>
                <w:tab w:val="num" w:pos="576"/>
              </w:tabs>
              <w:spacing w:line="240" w:lineRule="auto"/>
              <w:ind w:left="1155" w:hanging="458"/>
              <w:rPr>
                <w:rFonts w:cs="Arial"/>
              </w:rPr>
            </w:pPr>
            <w:r w:rsidRPr="005B5418">
              <w:rPr>
                <w:rFonts w:eastAsia="Arial Unicode MS" w:cs="Arial"/>
                <w:szCs w:val="22"/>
              </w:rPr>
              <w:t>the basis for recognizing a gain or loss related to the modification?</w:t>
            </w:r>
            <w:r w:rsidRPr="005B5418">
              <w:rPr>
                <w:rFonts w:eastAsia="Arial Unicode MS"/>
              </w:rPr>
              <w:t xml:space="preserve"> (SFFAS 2, par</w:t>
            </w:r>
            <w:r w:rsidR="00170627" w:rsidRPr="005B5418">
              <w:rPr>
                <w:rFonts w:eastAsia="Arial Unicode MS"/>
              </w:rPr>
              <w:t>a</w:t>
            </w:r>
            <w:r w:rsidRPr="005B5418">
              <w:rPr>
                <w:rFonts w:eastAsia="Arial Unicode MS"/>
              </w:rPr>
              <w:t>. 56; A-136, section II.3.8.8, instruction A)</w:t>
            </w:r>
          </w:p>
        </w:tc>
        <w:tc>
          <w:tcPr>
            <w:tcW w:w="965" w:type="dxa"/>
          </w:tcPr>
          <w:p w14:paraId="3CA47D35" w14:textId="77777777" w:rsidR="00BC1CB7" w:rsidRPr="005B5418" w:rsidRDefault="00BC1CB7" w:rsidP="008848DA">
            <w:pPr>
              <w:pStyle w:val="Table-Cell-CenterBoldBefore6ptAfter6pt"/>
              <w:spacing w:before="60" w:after="60"/>
              <w:rPr>
                <w:rFonts w:cs="Arial"/>
              </w:rPr>
            </w:pPr>
          </w:p>
        </w:tc>
        <w:tc>
          <w:tcPr>
            <w:tcW w:w="3211" w:type="dxa"/>
          </w:tcPr>
          <w:p w14:paraId="0D642ACE" w14:textId="77777777" w:rsidR="00BC1CB7" w:rsidRPr="005B5418" w:rsidRDefault="00BC1CB7" w:rsidP="008848DA">
            <w:pPr>
              <w:spacing w:before="60" w:after="60" w:line="240" w:lineRule="auto"/>
              <w:rPr>
                <w:rFonts w:cs="Arial"/>
              </w:rPr>
            </w:pPr>
          </w:p>
        </w:tc>
      </w:tr>
      <w:tr w:rsidR="00BC1CB7" w:rsidRPr="005B5418" w14:paraId="482966D3" w14:textId="77777777" w:rsidTr="001C22E3">
        <w:trPr>
          <w:trHeight w:val="1547"/>
        </w:trPr>
        <w:tc>
          <w:tcPr>
            <w:tcW w:w="5405" w:type="dxa"/>
          </w:tcPr>
          <w:p w14:paraId="3FC3E147" w14:textId="4291416F" w:rsidR="00BC1CB7" w:rsidRPr="005B5418" w:rsidRDefault="00BC1CB7" w:rsidP="00063179">
            <w:pPr>
              <w:pStyle w:val="FAM-Table-outline"/>
              <w:spacing w:line="240" w:lineRule="auto"/>
              <w:rPr>
                <w:rFonts w:eastAsia="Arial Unicode MS"/>
              </w:rPr>
            </w:pPr>
            <w:r w:rsidRPr="005B5418">
              <w:rPr>
                <w:rFonts w:eastAsia="Arial Unicode MS"/>
              </w:rPr>
              <w:lastRenderedPageBreak/>
              <w:t xml:space="preserve">If </w:t>
            </w:r>
            <w:r w:rsidR="009D2B45" w:rsidRPr="005B5418">
              <w:rPr>
                <w:rFonts w:eastAsia="Arial Unicode MS"/>
              </w:rPr>
              <w:t>app</w:t>
            </w:r>
            <w:r w:rsidR="00063179" w:rsidRPr="005B5418">
              <w:rPr>
                <w:rFonts w:eastAsia="Arial Unicode MS"/>
              </w:rPr>
              <w:t>ropriate</w:t>
            </w:r>
            <w:r w:rsidRPr="005B5418">
              <w:rPr>
                <w:rFonts w:eastAsia="Arial Unicode MS"/>
              </w:rPr>
              <w:t>, did the entity disclose the subsidy expense resulting from reestimates that is included in the financial statements but not reported in the budget until the following year? (A-136, section II.3.8.8, instruction A)</w:t>
            </w:r>
          </w:p>
        </w:tc>
        <w:tc>
          <w:tcPr>
            <w:tcW w:w="965" w:type="dxa"/>
          </w:tcPr>
          <w:p w14:paraId="58A626ED" w14:textId="77777777" w:rsidR="00BC1CB7" w:rsidRPr="005B5418" w:rsidRDefault="00BC1CB7" w:rsidP="008848DA">
            <w:pPr>
              <w:pStyle w:val="Table-Cell-CenterBoldBefore6ptAfter6pt"/>
              <w:spacing w:before="60" w:after="60"/>
              <w:rPr>
                <w:rFonts w:cs="Arial"/>
              </w:rPr>
            </w:pPr>
          </w:p>
        </w:tc>
        <w:tc>
          <w:tcPr>
            <w:tcW w:w="3211" w:type="dxa"/>
          </w:tcPr>
          <w:p w14:paraId="79302C88" w14:textId="77777777" w:rsidR="00BC1CB7" w:rsidRPr="005B5418" w:rsidRDefault="00BC1CB7" w:rsidP="008848DA">
            <w:pPr>
              <w:spacing w:before="60" w:after="60" w:line="240" w:lineRule="auto"/>
              <w:rPr>
                <w:rFonts w:cs="Arial"/>
              </w:rPr>
            </w:pPr>
          </w:p>
        </w:tc>
      </w:tr>
      <w:tr w:rsidR="00BC1CB7" w:rsidRPr="005B5418" w14:paraId="1F2587C3" w14:textId="77777777" w:rsidTr="001C22E3">
        <w:trPr>
          <w:trHeight w:val="377"/>
        </w:trPr>
        <w:tc>
          <w:tcPr>
            <w:tcW w:w="5405" w:type="dxa"/>
          </w:tcPr>
          <w:p w14:paraId="775A8B95" w14:textId="77777777" w:rsidR="00BC1CB7" w:rsidRPr="005B5418" w:rsidRDefault="005E334A" w:rsidP="007B5405">
            <w:pPr>
              <w:pStyle w:val="FAM-Table-outline"/>
              <w:numPr>
                <w:ilvl w:val="0"/>
                <w:numId w:val="1"/>
              </w:numPr>
              <w:spacing w:line="240" w:lineRule="auto"/>
              <w:rPr>
                <w:rFonts w:eastAsia="Arial Unicode MS"/>
              </w:rPr>
            </w:pPr>
            <w:r w:rsidRPr="005B5418">
              <w:rPr>
                <w:rFonts w:eastAsia="Arial Unicode MS"/>
              </w:rPr>
              <w:t>Concerning</w:t>
            </w:r>
            <w:r w:rsidR="00BC1CB7" w:rsidRPr="005B5418">
              <w:rPr>
                <w:rFonts w:eastAsia="Arial Unicode MS"/>
              </w:rPr>
              <w:t xml:space="preserve"> </w:t>
            </w:r>
            <w:r w:rsidRPr="005B5418">
              <w:rPr>
                <w:rFonts w:eastAsia="Arial Unicode MS"/>
              </w:rPr>
              <w:t xml:space="preserve">reported </w:t>
            </w:r>
            <w:r w:rsidR="00BC1CB7" w:rsidRPr="005B5418">
              <w:rPr>
                <w:rFonts w:eastAsia="Arial Unicode MS"/>
              </w:rPr>
              <w:t xml:space="preserve">foreclosed assets </w:t>
            </w:r>
            <w:r w:rsidRPr="005B5418">
              <w:rPr>
                <w:rFonts w:eastAsia="Arial Unicode MS"/>
              </w:rPr>
              <w:t xml:space="preserve">acquired </w:t>
            </w:r>
            <w:r w:rsidR="00BC1CB7" w:rsidRPr="005B5418">
              <w:rPr>
                <w:rFonts w:eastAsia="Arial Unicode MS"/>
              </w:rPr>
              <w:t>in full or partial settlement of a direct or guaranteed loan (pre-1992 and post-1991), is information disclosed for</w:t>
            </w:r>
          </w:p>
          <w:p w14:paraId="67A9D8A6"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valuation basis for foreclosed property;</w:t>
            </w:r>
          </w:p>
          <w:p w14:paraId="79E94C84" w14:textId="5CE55F4A"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changes from prior</w:t>
            </w:r>
            <w:r w:rsidR="00A563B9" w:rsidRPr="005B5418">
              <w:rPr>
                <w:rFonts w:eastAsia="Arial Unicode MS" w:cs="Arial"/>
                <w:szCs w:val="22"/>
              </w:rPr>
              <w:t xml:space="preserve"> year’s </w:t>
            </w:r>
            <w:r w:rsidRPr="005B5418">
              <w:rPr>
                <w:rFonts w:eastAsia="Arial Unicode MS" w:cs="Arial"/>
                <w:szCs w:val="22"/>
              </w:rPr>
              <w:t>accounting methods;</w:t>
            </w:r>
          </w:p>
          <w:p w14:paraId="06295998"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restrictions on the use/disposal of property;</w:t>
            </w:r>
          </w:p>
          <w:p w14:paraId="7B5ED696"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balances by categories (i.e., pre-1992 and post-1991 foreclosed property);</w:t>
            </w:r>
          </w:p>
          <w:p w14:paraId="005B2571" w14:textId="54761BBB"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number of properties held and average holding period by type or category; and</w:t>
            </w:r>
          </w:p>
          <w:p w14:paraId="43B817B9" w14:textId="6FAE3558"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cs="Arial"/>
                <w:szCs w:val="22"/>
              </w:rPr>
              <w:t>number of properties for which foreclosure proceedings are in process at the end of the period?</w:t>
            </w:r>
            <w:r w:rsidRPr="005B5418">
              <w:rPr>
                <w:rFonts w:eastAsia="Arial Unicode MS"/>
              </w:rPr>
              <w:t xml:space="preserve"> (SFFAS 3, par</w:t>
            </w:r>
            <w:r w:rsidR="00A574FF" w:rsidRPr="005B5418">
              <w:rPr>
                <w:rFonts w:eastAsia="Arial Unicode MS"/>
              </w:rPr>
              <w:t>a</w:t>
            </w:r>
            <w:r w:rsidRPr="005B5418">
              <w:rPr>
                <w:rFonts w:eastAsia="Arial Unicode MS"/>
              </w:rPr>
              <w:t>. 91; A-136, section II.3.8.8, instruction A)</w:t>
            </w:r>
          </w:p>
        </w:tc>
        <w:tc>
          <w:tcPr>
            <w:tcW w:w="965" w:type="dxa"/>
          </w:tcPr>
          <w:p w14:paraId="0872EC7A" w14:textId="77777777" w:rsidR="00BC1CB7" w:rsidRPr="005B5418" w:rsidRDefault="00BC1CB7" w:rsidP="008848DA">
            <w:pPr>
              <w:pStyle w:val="Table-Cell-CenterBoldBefore6ptAfter6pt"/>
              <w:spacing w:before="60" w:after="60"/>
              <w:rPr>
                <w:rFonts w:cs="Arial"/>
              </w:rPr>
            </w:pPr>
          </w:p>
        </w:tc>
        <w:tc>
          <w:tcPr>
            <w:tcW w:w="3211" w:type="dxa"/>
          </w:tcPr>
          <w:p w14:paraId="3BE6C522" w14:textId="77777777" w:rsidR="00BC1CB7" w:rsidRPr="005B5418" w:rsidRDefault="00BC1CB7" w:rsidP="008848DA">
            <w:pPr>
              <w:spacing w:before="60" w:after="60" w:line="240" w:lineRule="auto"/>
              <w:rPr>
                <w:rFonts w:cs="Arial"/>
              </w:rPr>
            </w:pPr>
          </w:p>
        </w:tc>
      </w:tr>
      <w:tr w:rsidR="00BC1CB7" w:rsidRPr="005B5418" w14:paraId="2F665260" w14:textId="77777777" w:rsidTr="001C22E3">
        <w:trPr>
          <w:cantSplit/>
          <w:trHeight w:val="2160"/>
        </w:trPr>
        <w:tc>
          <w:tcPr>
            <w:tcW w:w="5405" w:type="dxa"/>
          </w:tcPr>
          <w:p w14:paraId="7DD61895"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Are components of assets related to pre-1992 direct loans disclosed by loan program for</w:t>
            </w:r>
          </w:p>
          <w:p w14:paraId="1979F6AE"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loans receivable, gross;</w:t>
            </w:r>
          </w:p>
          <w:p w14:paraId="76F93013"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interest receivable;</w:t>
            </w:r>
          </w:p>
          <w:p w14:paraId="50B631F3"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estimated net realizable value of related foreclosed property;</w:t>
            </w:r>
          </w:p>
          <w:p w14:paraId="78A72A97"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present value allowance (if the present value method is used);</w:t>
            </w:r>
          </w:p>
          <w:p w14:paraId="4019D19A" w14:textId="1881612C"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allowance for loan losses (if the allowance-for-loss method is used); and</w:t>
            </w:r>
          </w:p>
          <w:p w14:paraId="398AC668" w14:textId="4EA93C4D"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cs="Arial"/>
                <w:szCs w:val="22"/>
              </w:rPr>
              <w:t>direct loans, net?</w:t>
            </w:r>
            <w:r w:rsidRPr="005B5418">
              <w:rPr>
                <w:rFonts w:eastAsia="Arial Unicode MS"/>
              </w:rPr>
              <w:t xml:space="preserve"> (A-136, sections II.3.8.8, instruction B</w:t>
            </w:r>
            <w:r w:rsidR="00A574FF" w:rsidRPr="005B5418">
              <w:rPr>
                <w:rFonts w:eastAsia="Arial Unicode MS"/>
              </w:rPr>
              <w:t>,</w:t>
            </w:r>
            <w:r w:rsidRPr="005B5418">
              <w:rPr>
                <w:rFonts w:eastAsia="Arial Unicode MS"/>
              </w:rPr>
              <w:t xml:space="preserve"> </w:t>
            </w:r>
            <w:r w:rsidR="005325EB" w:rsidRPr="005B5418">
              <w:rPr>
                <w:rFonts w:eastAsia="Arial Unicode MS"/>
              </w:rPr>
              <w:t>and</w:t>
            </w:r>
            <w:r w:rsidRPr="005B5418">
              <w:rPr>
                <w:rFonts w:eastAsia="Arial Unicode MS"/>
              </w:rPr>
              <w:t xml:space="preserve"> II.3.2.3)</w:t>
            </w:r>
          </w:p>
        </w:tc>
        <w:tc>
          <w:tcPr>
            <w:tcW w:w="965" w:type="dxa"/>
          </w:tcPr>
          <w:p w14:paraId="1BEA45DF" w14:textId="77777777" w:rsidR="00BC1CB7" w:rsidRPr="005B5418" w:rsidRDefault="00BC1CB7" w:rsidP="008848DA">
            <w:pPr>
              <w:pStyle w:val="Table-Cell-CenterBoldBefore6ptAfter6pt"/>
              <w:spacing w:before="60" w:after="60"/>
              <w:rPr>
                <w:rFonts w:cs="Arial"/>
              </w:rPr>
            </w:pPr>
          </w:p>
        </w:tc>
        <w:tc>
          <w:tcPr>
            <w:tcW w:w="3211" w:type="dxa"/>
          </w:tcPr>
          <w:p w14:paraId="0587376F" w14:textId="77777777" w:rsidR="00BC1CB7" w:rsidRPr="005B5418" w:rsidRDefault="00BC1CB7" w:rsidP="008848DA">
            <w:pPr>
              <w:spacing w:before="60" w:after="60" w:line="240" w:lineRule="auto"/>
              <w:rPr>
                <w:rFonts w:cs="Arial"/>
              </w:rPr>
            </w:pPr>
          </w:p>
        </w:tc>
      </w:tr>
      <w:tr w:rsidR="00BC1CB7" w:rsidRPr="005B5418" w14:paraId="040A89AB" w14:textId="77777777" w:rsidTr="001C22E3">
        <w:trPr>
          <w:trHeight w:val="674"/>
        </w:trPr>
        <w:tc>
          <w:tcPr>
            <w:tcW w:w="5405" w:type="dxa"/>
          </w:tcPr>
          <w:p w14:paraId="0372F76F"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 xml:space="preserve">Are components of assets related to post-1991 direct loans disclosed by loan program for </w:t>
            </w:r>
          </w:p>
          <w:p w14:paraId="6C8B0688"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loans receivable, gross;</w:t>
            </w:r>
          </w:p>
          <w:p w14:paraId="2C868BDD"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lastRenderedPageBreak/>
              <w:t xml:space="preserve">interest </w:t>
            </w:r>
            <w:r w:rsidR="00AC5F37" w:rsidRPr="005B5418">
              <w:rPr>
                <w:rFonts w:eastAsia="Arial Unicode MS" w:cs="Arial"/>
                <w:szCs w:val="22"/>
              </w:rPr>
              <w:t>and fees</w:t>
            </w:r>
            <w:r w:rsidR="00411F98" w:rsidRPr="005B5418">
              <w:rPr>
                <w:rFonts w:eastAsia="Arial Unicode MS" w:cs="Arial"/>
                <w:szCs w:val="22"/>
              </w:rPr>
              <w:t xml:space="preserve"> receivable</w:t>
            </w:r>
            <w:r w:rsidRPr="005B5418">
              <w:rPr>
                <w:rFonts w:eastAsia="Arial Unicode MS" w:cs="Arial"/>
                <w:szCs w:val="22"/>
              </w:rPr>
              <w:t>;</w:t>
            </w:r>
            <w:r w:rsidR="00F06BEE" w:rsidRPr="005B5418">
              <w:rPr>
                <w:rFonts w:eastAsia="Arial Unicode MS" w:cs="Arial"/>
                <w:szCs w:val="22"/>
                <w:vertAlign w:val="superscript"/>
              </w:rPr>
              <w:footnoteReference w:id="107"/>
            </w:r>
          </w:p>
          <w:p w14:paraId="40B06BE3" w14:textId="77777777" w:rsidR="00BC1CB7" w:rsidRPr="005B5418" w:rsidRDefault="005F3FDB"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foreclosed property (at </w:t>
            </w:r>
            <w:r w:rsidR="00BC1CB7" w:rsidRPr="005B5418">
              <w:rPr>
                <w:rFonts w:eastAsia="Arial Unicode MS" w:cs="Arial"/>
                <w:szCs w:val="22"/>
              </w:rPr>
              <w:t xml:space="preserve">estimated </w:t>
            </w:r>
            <w:r w:rsidR="00F00B52" w:rsidRPr="005B5418">
              <w:rPr>
                <w:rFonts w:eastAsia="Arial Unicode MS" w:cs="Arial"/>
                <w:szCs w:val="22"/>
              </w:rPr>
              <w:t>net present</w:t>
            </w:r>
            <w:r w:rsidRPr="005B5418">
              <w:rPr>
                <w:rFonts w:eastAsia="Arial Unicode MS" w:cs="Arial"/>
                <w:szCs w:val="22"/>
              </w:rPr>
              <w:t xml:space="preserve"> </w:t>
            </w:r>
            <w:r w:rsidR="00BC1CB7" w:rsidRPr="005B5418">
              <w:rPr>
                <w:rFonts w:eastAsia="Arial Unicode MS" w:cs="Arial"/>
                <w:szCs w:val="22"/>
              </w:rPr>
              <w:t>value of</w:t>
            </w:r>
            <w:r w:rsidRPr="005B5418">
              <w:rPr>
                <w:rFonts w:eastAsia="Arial Unicode MS" w:cs="Arial"/>
                <w:szCs w:val="22"/>
              </w:rPr>
              <w:t xml:space="preserve"> projected cash flows)</w:t>
            </w:r>
            <w:r w:rsidR="00BC1CB7" w:rsidRPr="005B5418">
              <w:rPr>
                <w:rFonts w:eastAsia="Arial Unicode MS" w:cs="Arial"/>
                <w:szCs w:val="22"/>
              </w:rPr>
              <w:t>;</w:t>
            </w:r>
          </w:p>
          <w:p w14:paraId="4B27ABB2"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allowance for subsidy costs (present value); and</w:t>
            </w:r>
          </w:p>
          <w:p w14:paraId="4BF2A966" w14:textId="4F58F7FD"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cs="Arial"/>
                <w:szCs w:val="22"/>
              </w:rPr>
              <w:t>direct loans, net?</w:t>
            </w:r>
            <w:r w:rsidRPr="005B5418">
              <w:rPr>
                <w:rFonts w:eastAsia="Arial Unicode MS"/>
              </w:rPr>
              <w:t xml:space="preserve"> (A-136, sections II.3.8.8, instruction C</w:t>
            </w:r>
            <w:r w:rsidR="0073180F" w:rsidRPr="005B5418">
              <w:rPr>
                <w:rFonts w:eastAsia="Arial Unicode MS"/>
              </w:rPr>
              <w:t>,</w:t>
            </w:r>
            <w:r w:rsidRPr="005B5418">
              <w:rPr>
                <w:rFonts w:eastAsia="Arial Unicode MS"/>
              </w:rPr>
              <w:t xml:space="preserve"> </w:t>
            </w:r>
            <w:r w:rsidR="005325EB" w:rsidRPr="005B5418">
              <w:rPr>
                <w:rFonts w:eastAsia="Arial Unicode MS"/>
              </w:rPr>
              <w:t>and</w:t>
            </w:r>
            <w:r w:rsidRPr="005B5418">
              <w:rPr>
                <w:rFonts w:eastAsia="Arial Unicode MS"/>
              </w:rPr>
              <w:t xml:space="preserve"> II.3.2.3)</w:t>
            </w:r>
          </w:p>
        </w:tc>
        <w:tc>
          <w:tcPr>
            <w:tcW w:w="965" w:type="dxa"/>
          </w:tcPr>
          <w:p w14:paraId="375990D0" w14:textId="77777777" w:rsidR="00BC1CB7" w:rsidRPr="005B5418" w:rsidRDefault="00BC1CB7" w:rsidP="008848DA">
            <w:pPr>
              <w:pStyle w:val="Table-Cell-CenterBoldBefore6ptAfter6pt"/>
              <w:spacing w:before="60" w:after="60"/>
              <w:rPr>
                <w:rFonts w:cs="Arial"/>
              </w:rPr>
            </w:pPr>
          </w:p>
        </w:tc>
        <w:tc>
          <w:tcPr>
            <w:tcW w:w="3211" w:type="dxa"/>
          </w:tcPr>
          <w:p w14:paraId="02153E7A" w14:textId="77777777" w:rsidR="00BC1CB7" w:rsidRPr="005B5418" w:rsidRDefault="00BC1CB7" w:rsidP="008848DA">
            <w:pPr>
              <w:pStyle w:val="Table-Cell-Left"/>
              <w:spacing w:before="60" w:after="60" w:line="240" w:lineRule="auto"/>
              <w:rPr>
                <w:rFonts w:cs="Arial"/>
              </w:rPr>
            </w:pPr>
          </w:p>
        </w:tc>
      </w:tr>
      <w:tr w:rsidR="00BC1CB7" w:rsidRPr="005B5418" w14:paraId="4F423B35" w14:textId="77777777" w:rsidTr="001C22E3">
        <w:trPr>
          <w:trHeight w:val="1637"/>
        </w:trPr>
        <w:tc>
          <w:tcPr>
            <w:tcW w:w="5405" w:type="dxa"/>
          </w:tcPr>
          <w:p w14:paraId="23501335" w14:textId="20E970FA" w:rsidR="00BC1CB7" w:rsidRPr="005B5418" w:rsidRDefault="00BC1CB7" w:rsidP="008848DA">
            <w:pPr>
              <w:pStyle w:val="FAM-Table-outline"/>
              <w:spacing w:line="240" w:lineRule="auto"/>
              <w:rPr>
                <w:rFonts w:eastAsia="Arial Unicode MS"/>
              </w:rPr>
            </w:pPr>
            <w:r w:rsidRPr="005B5418">
              <w:rPr>
                <w:rFonts w:eastAsia="Arial Unicode MS"/>
              </w:rPr>
              <w:t>Is the total amount of new direct loans and guaranteed loans disbursed for the current and prior year reported by program? (SFFAS 2, par</w:t>
            </w:r>
            <w:r w:rsidR="0073180F" w:rsidRPr="005B5418">
              <w:rPr>
                <w:rFonts w:eastAsia="Arial Unicode MS"/>
              </w:rPr>
              <w:t>a</w:t>
            </w:r>
            <w:r w:rsidRPr="005B5418">
              <w:rPr>
                <w:rFonts w:eastAsia="Arial Unicode MS"/>
              </w:rPr>
              <w:t xml:space="preserve">. 11 (A); A-136, section II.3.8.8, instructions D </w:t>
            </w:r>
            <w:r w:rsidR="005325EB" w:rsidRPr="005B5418">
              <w:rPr>
                <w:rFonts w:eastAsia="Arial Unicode MS"/>
              </w:rPr>
              <w:t>and</w:t>
            </w:r>
            <w:r w:rsidRPr="005B5418">
              <w:rPr>
                <w:rFonts w:eastAsia="Arial Unicode MS"/>
              </w:rPr>
              <w:t xml:space="preserve"> J)</w:t>
            </w:r>
          </w:p>
        </w:tc>
        <w:tc>
          <w:tcPr>
            <w:tcW w:w="965" w:type="dxa"/>
          </w:tcPr>
          <w:p w14:paraId="51FD978F" w14:textId="77777777" w:rsidR="00BC1CB7" w:rsidRPr="005B5418" w:rsidRDefault="00BC1CB7" w:rsidP="008848DA">
            <w:pPr>
              <w:pStyle w:val="Table-Cell-CenterBoldBefore6ptAfter6pt"/>
              <w:spacing w:before="60" w:after="60"/>
              <w:rPr>
                <w:rFonts w:cs="Arial"/>
              </w:rPr>
            </w:pPr>
          </w:p>
        </w:tc>
        <w:tc>
          <w:tcPr>
            <w:tcW w:w="3211" w:type="dxa"/>
          </w:tcPr>
          <w:p w14:paraId="08AC2634" w14:textId="77777777" w:rsidR="00BC1CB7" w:rsidRPr="005B5418" w:rsidRDefault="00BC1CB7" w:rsidP="008848DA">
            <w:pPr>
              <w:pStyle w:val="Table-Cell-Left"/>
              <w:spacing w:before="60" w:after="60" w:line="240" w:lineRule="auto"/>
              <w:rPr>
                <w:rFonts w:cs="Arial"/>
              </w:rPr>
            </w:pPr>
          </w:p>
        </w:tc>
      </w:tr>
      <w:tr w:rsidR="00BC1CB7" w:rsidRPr="005B5418" w14:paraId="27C185B5" w14:textId="77777777" w:rsidTr="005425ED">
        <w:trPr>
          <w:trHeight w:val="3338"/>
        </w:trPr>
        <w:tc>
          <w:tcPr>
            <w:tcW w:w="5405" w:type="dxa"/>
          </w:tcPr>
          <w:p w14:paraId="3AE64170" w14:textId="7E48A4CE"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For each loan program, does the entity disclose the present value of the</w:t>
            </w:r>
            <w:r w:rsidR="0073180F" w:rsidRPr="005B5418">
              <w:rPr>
                <w:rFonts w:eastAsia="Arial Unicode MS"/>
              </w:rPr>
              <w:t xml:space="preserve"> following</w:t>
            </w:r>
            <w:r w:rsidRPr="005B5418">
              <w:rPr>
                <w:rFonts w:eastAsia="Arial Unicode MS"/>
              </w:rPr>
              <w:t xml:space="preserve"> components of subsidy expense for new direct loans disbursed</w:t>
            </w:r>
            <w:r w:rsidR="0073180F" w:rsidRPr="005B5418">
              <w:rPr>
                <w:rFonts w:eastAsia="Arial Unicode MS"/>
              </w:rPr>
              <w:t>:</w:t>
            </w:r>
          </w:p>
          <w:p w14:paraId="2E692FB8" w14:textId="3DB21F16"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interest rate differential costs</w:t>
            </w:r>
            <w:r w:rsidR="0073180F" w:rsidRPr="005B5418">
              <w:rPr>
                <w:rFonts w:eastAsia="Arial Unicode MS" w:cs="Arial"/>
                <w:szCs w:val="22"/>
              </w:rPr>
              <w:t>,</w:t>
            </w:r>
          </w:p>
          <w:p w14:paraId="14586B01" w14:textId="2E22F07E"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default costs (net of recoveries)</w:t>
            </w:r>
            <w:r w:rsidR="0073180F" w:rsidRPr="005B5418">
              <w:rPr>
                <w:rFonts w:eastAsia="Arial Unicode MS" w:cs="Arial"/>
                <w:szCs w:val="22"/>
              </w:rPr>
              <w:t>,</w:t>
            </w:r>
          </w:p>
          <w:p w14:paraId="1F0DD1F1" w14:textId="5B4629C6"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fees and other collections</w:t>
            </w:r>
            <w:r w:rsidR="0073180F" w:rsidRPr="005B5418">
              <w:rPr>
                <w:rFonts w:eastAsia="Arial Unicode MS" w:cs="Arial"/>
                <w:szCs w:val="22"/>
              </w:rPr>
              <w:t>,</w:t>
            </w:r>
          </w:p>
          <w:p w14:paraId="703BD673" w14:textId="223AD644"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other costs, and</w:t>
            </w:r>
          </w:p>
          <w:p w14:paraId="429EFA0E" w14:textId="2F74FC13"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cs="Arial"/>
                <w:szCs w:val="22"/>
              </w:rPr>
              <w:t>total subsidy expense for new direct loans? (SFFAS 18, par</w:t>
            </w:r>
            <w:r w:rsidR="0073180F" w:rsidRPr="005B5418">
              <w:rPr>
                <w:rFonts w:eastAsia="Arial Unicode MS" w:cs="Arial"/>
                <w:szCs w:val="22"/>
              </w:rPr>
              <w:t>a</w:t>
            </w:r>
            <w:r w:rsidRPr="005B5418">
              <w:rPr>
                <w:rFonts w:eastAsia="Arial Unicode MS" w:cs="Arial"/>
                <w:szCs w:val="22"/>
              </w:rPr>
              <w:t>. 11 (A); A-136, section II.3.8.8, instruction E1)</w:t>
            </w:r>
          </w:p>
        </w:tc>
        <w:tc>
          <w:tcPr>
            <w:tcW w:w="965" w:type="dxa"/>
          </w:tcPr>
          <w:p w14:paraId="67EBC3B9" w14:textId="77777777" w:rsidR="00BC1CB7" w:rsidRPr="005B5418" w:rsidRDefault="00BC1CB7" w:rsidP="008848DA">
            <w:pPr>
              <w:pStyle w:val="Table-Cell-CenterBoldBefore6ptAfter6pt"/>
              <w:spacing w:before="60" w:after="60"/>
              <w:rPr>
                <w:rFonts w:cs="Arial"/>
              </w:rPr>
            </w:pPr>
          </w:p>
        </w:tc>
        <w:tc>
          <w:tcPr>
            <w:tcW w:w="3211" w:type="dxa"/>
          </w:tcPr>
          <w:p w14:paraId="5AC08BD6" w14:textId="77777777" w:rsidR="00BC1CB7" w:rsidRPr="005B5418" w:rsidRDefault="00BC1CB7" w:rsidP="008848DA">
            <w:pPr>
              <w:pStyle w:val="Table-Cell-Left"/>
              <w:spacing w:before="60" w:after="60" w:line="240" w:lineRule="auto"/>
              <w:rPr>
                <w:rFonts w:cs="Arial"/>
              </w:rPr>
            </w:pPr>
          </w:p>
        </w:tc>
      </w:tr>
      <w:tr w:rsidR="00BC1CB7" w:rsidRPr="005B5418" w14:paraId="2CC676F2" w14:textId="77777777" w:rsidTr="001C22E3">
        <w:trPr>
          <w:trHeight w:val="827"/>
        </w:trPr>
        <w:tc>
          <w:tcPr>
            <w:tcW w:w="5405" w:type="dxa"/>
          </w:tcPr>
          <w:p w14:paraId="463338FC"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For each loan program, does the entity disclose subsidy expense for</w:t>
            </w:r>
          </w:p>
          <w:p w14:paraId="361DF948" w14:textId="52016D6D" w:rsidR="00BC1CB7" w:rsidRPr="005B5418" w:rsidRDefault="00411F98"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all </w:t>
            </w:r>
            <w:r w:rsidR="00BC1CB7" w:rsidRPr="005B5418">
              <w:rPr>
                <w:rFonts w:eastAsia="Arial Unicode MS" w:cs="Arial"/>
                <w:szCs w:val="22"/>
              </w:rPr>
              <w:t>modifications of direct loans</w:t>
            </w:r>
            <w:r w:rsidR="006F5AAD" w:rsidRPr="005B5418">
              <w:rPr>
                <w:rFonts w:eastAsia="Arial Unicode MS" w:cs="Arial"/>
                <w:szCs w:val="22"/>
              </w:rPr>
              <w:t>,</w:t>
            </w:r>
            <w:r w:rsidR="00BC1CB7" w:rsidRPr="005B5418">
              <w:rPr>
                <w:rFonts w:eastAsia="Arial Unicode MS" w:cs="Arial"/>
                <w:szCs w:val="22"/>
              </w:rPr>
              <w:t xml:space="preserve"> previously disbursed</w:t>
            </w:r>
            <w:r w:rsidR="006F5AAD" w:rsidRPr="005B5418">
              <w:rPr>
                <w:rFonts w:eastAsia="Arial Unicode MS" w:cs="Arial"/>
                <w:szCs w:val="22"/>
              </w:rPr>
              <w:t>,</w:t>
            </w:r>
            <w:r w:rsidR="00BC1CB7" w:rsidRPr="005B5418">
              <w:rPr>
                <w:rFonts w:eastAsia="Arial Unicode MS" w:cs="Arial"/>
                <w:szCs w:val="22"/>
              </w:rPr>
              <w:t xml:space="preserve"> and</w:t>
            </w:r>
          </w:p>
          <w:p w14:paraId="36F121EA" w14:textId="5C7E336C"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reestimates of the subsidy expense for direct loans, previously disbursed, by</w:t>
            </w:r>
            <w:r w:rsidR="0074371D" w:rsidRPr="005B5418">
              <w:rPr>
                <w:rFonts w:eastAsia="Arial Unicode MS" w:cs="Arial"/>
                <w:szCs w:val="22"/>
              </w:rPr>
              <w:t xml:space="preserve"> these</w:t>
            </w:r>
            <w:r w:rsidRPr="005B5418">
              <w:rPr>
                <w:rFonts w:eastAsia="Arial Unicode MS" w:cs="Arial"/>
                <w:szCs w:val="22"/>
              </w:rPr>
              <w:t xml:space="preserve"> component</w:t>
            </w:r>
            <w:r w:rsidR="0074371D" w:rsidRPr="005B5418">
              <w:rPr>
                <w:rFonts w:eastAsia="Arial Unicode MS" w:cs="Arial"/>
                <w:szCs w:val="22"/>
              </w:rPr>
              <w:t>s</w:t>
            </w:r>
            <w:r w:rsidRPr="005B5418">
              <w:rPr>
                <w:rFonts w:eastAsia="Arial Unicode MS" w:cs="Arial"/>
                <w:szCs w:val="22"/>
              </w:rPr>
              <w:t>:</w:t>
            </w:r>
          </w:p>
          <w:p w14:paraId="5BAED0EB" w14:textId="45DE8F67" w:rsidR="00BC1CB7" w:rsidRPr="005B5418" w:rsidRDefault="00BC1CB7"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interest rate and</w:t>
            </w:r>
          </w:p>
          <w:p w14:paraId="5C91A913" w14:textId="37D01D70" w:rsidR="00BC1CB7" w:rsidRPr="005B5418" w:rsidRDefault="00BC1CB7" w:rsidP="005425ED">
            <w:pPr>
              <w:pStyle w:val="FAM-Table-outline3"/>
              <w:widowControl/>
              <w:adjustRightInd/>
              <w:spacing w:before="60" w:after="60" w:line="240" w:lineRule="auto"/>
              <w:ind w:left="1410" w:hanging="432"/>
              <w:textAlignment w:val="auto"/>
            </w:pPr>
            <w:r w:rsidRPr="005B5418">
              <w:rPr>
                <w:rFonts w:cs="Arial"/>
                <w:sz w:val="22"/>
                <w:szCs w:val="22"/>
              </w:rPr>
              <w:t>technical/default?</w:t>
            </w:r>
            <w:r w:rsidRPr="005B5418">
              <w:rPr>
                <w:rFonts w:cs="Arial"/>
                <w:sz w:val="22"/>
                <w:szCs w:val="22"/>
              </w:rPr>
              <w:br/>
              <w:t>(SFFAS 18, par</w:t>
            </w:r>
            <w:r w:rsidR="0074371D" w:rsidRPr="005B5418">
              <w:rPr>
                <w:rFonts w:cs="Arial"/>
                <w:sz w:val="22"/>
                <w:szCs w:val="22"/>
              </w:rPr>
              <w:t>a</w:t>
            </w:r>
            <w:r w:rsidRPr="005B5418">
              <w:rPr>
                <w:rFonts w:cs="Arial"/>
                <w:sz w:val="22"/>
                <w:szCs w:val="22"/>
              </w:rPr>
              <w:t>. 11 (A); A-136, section II.3.8.8, instruction E2)</w:t>
            </w:r>
          </w:p>
        </w:tc>
        <w:tc>
          <w:tcPr>
            <w:tcW w:w="965" w:type="dxa"/>
          </w:tcPr>
          <w:p w14:paraId="5B1038B5" w14:textId="77777777" w:rsidR="00BC1CB7" w:rsidRPr="005B5418" w:rsidRDefault="00BC1CB7" w:rsidP="008848DA">
            <w:pPr>
              <w:pStyle w:val="Table-Cell-CenterBoldBefore6ptAfter6pt"/>
              <w:spacing w:before="60" w:after="60"/>
              <w:rPr>
                <w:rFonts w:cs="Arial"/>
              </w:rPr>
            </w:pPr>
          </w:p>
        </w:tc>
        <w:tc>
          <w:tcPr>
            <w:tcW w:w="3211" w:type="dxa"/>
          </w:tcPr>
          <w:p w14:paraId="185C6CCB" w14:textId="77777777" w:rsidR="00BC1CB7" w:rsidRPr="005B5418" w:rsidRDefault="00BC1CB7" w:rsidP="008848DA">
            <w:pPr>
              <w:pStyle w:val="Table-Cell-Left"/>
              <w:spacing w:before="60" w:after="60" w:line="240" w:lineRule="auto"/>
              <w:rPr>
                <w:rFonts w:cs="Arial"/>
              </w:rPr>
            </w:pPr>
          </w:p>
        </w:tc>
      </w:tr>
      <w:tr w:rsidR="00BC1CB7" w:rsidRPr="005B5418" w14:paraId="6D0FFDE9" w14:textId="77777777" w:rsidTr="001C22E3">
        <w:trPr>
          <w:trHeight w:val="1340"/>
        </w:trPr>
        <w:tc>
          <w:tcPr>
            <w:tcW w:w="5405" w:type="dxa"/>
          </w:tcPr>
          <w:p w14:paraId="54CDFB87" w14:textId="571F3BDE" w:rsidR="00BC1CB7" w:rsidRPr="005B5418" w:rsidRDefault="00BC1CB7" w:rsidP="008848DA">
            <w:pPr>
              <w:pStyle w:val="FAM-Table-outline"/>
              <w:spacing w:line="240" w:lineRule="auto"/>
            </w:pPr>
            <w:r w:rsidRPr="005B5418">
              <w:lastRenderedPageBreak/>
              <w:t xml:space="preserve">Is the total subsidy expense for current and prior year’s direct loans, modifications, and reestimates disclosed? </w:t>
            </w:r>
            <w:r w:rsidRPr="005B5418">
              <w:rPr>
                <w:lang w:val="pt-BR"/>
              </w:rPr>
              <w:t>(SFFAS 18, par</w:t>
            </w:r>
            <w:r w:rsidR="00F858D6" w:rsidRPr="005B5418">
              <w:rPr>
                <w:lang w:val="pt-BR"/>
              </w:rPr>
              <w:t>a</w:t>
            </w:r>
            <w:r w:rsidRPr="005B5418">
              <w:rPr>
                <w:lang w:val="pt-BR"/>
              </w:rPr>
              <w:t>. 11 (A); A-136, section II.3.8.8, instruction E3)</w:t>
            </w:r>
          </w:p>
        </w:tc>
        <w:tc>
          <w:tcPr>
            <w:tcW w:w="965" w:type="dxa"/>
          </w:tcPr>
          <w:p w14:paraId="7D374D2B" w14:textId="77777777" w:rsidR="00BC1CB7" w:rsidRPr="005B5418" w:rsidRDefault="00BC1CB7" w:rsidP="008848DA">
            <w:pPr>
              <w:pStyle w:val="Table-Cell-CenterBoldBefore6ptAfter6pt"/>
              <w:spacing w:before="60" w:after="60"/>
              <w:rPr>
                <w:rFonts w:cs="Arial"/>
              </w:rPr>
            </w:pPr>
          </w:p>
        </w:tc>
        <w:tc>
          <w:tcPr>
            <w:tcW w:w="3211" w:type="dxa"/>
          </w:tcPr>
          <w:p w14:paraId="4D9876BD" w14:textId="77777777" w:rsidR="00BC1CB7" w:rsidRPr="005B5418" w:rsidRDefault="00BC1CB7" w:rsidP="008848DA">
            <w:pPr>
              <w:pStyle w:val="Table-Cell-Left"/>
              <w:spacing w:before="60" w:after="60" w:line="240" w:lineRule="auto"/>
              <w:rPr>
                <w:rFonts w:cs="Arial"/>
              </w:rPr>
            </w:pPr>
          </w:p>
        </w:tc>
      </w:tr>
      <w:tr w:rsidR="00BC1CB7" w:rsidRPr="005B5418" w14:paraId="30FC6167" w14:textId="77777777" w:rsidTr="001C22E3">
        <w:trPr>
          <w:trHeight w:val="827"/>
        </w:trPr>
        <w:tc>
          <w:tcPr>
            <w:tcW w:w="5405" w:type="dxa"/>
          </w:tcPr>
          <w:p w14:paraId="198CB7E7" w14:textId="35E67FD2"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For each program, does the entity disclose the estimated subsidy rates</w:t>
            </w:r>
            <w:r w:rsidRPr="005B5418">
              <w:rPr>
                <w:rFonts w:eastAsia="Arial Unicode MS"/>
                <w:vertAlign w:val="superscript"/>
              </w:rPr>
              <w:footnoteReference w:id="108"/>
            </w:r>
            <w:r w:rsidRPr="005B5418">
              <w:rPr>
                <w:rFonts w:eastAsia="Arial Unicode MS"/>
              </w:rPr>
              <w:t xml:space="preserve"> for direct loans and loan guarantees in the current year’s budget for the current year’s cohorts for total subsidy cost and </w:t>
            </w:r>
            <w:r w:rsidR="00E933CE" w:rsidRPr="005B5418">
              <w:rPr>
                <w:rFonts w:eastAsia="Arial Unicode MS"/>
              </w:rPr>
              <w:t>the following</w:t>
            </w:r>
            <w:r w:rsidRPr="005B5418">
              <w:rPr>
                <w:rFonts w:eastAsia="Arial Unicode MS"/>
              </w:rPr>
              <w:t xml:space="preserve"> components</w:t>
            </w:r>
            <w:r w:rsidR="00E933CE" w:rsidRPr="005B5418">
              <w:rPr>
                <w:rFonts w:eastAsia="Arial Unicode MS"/>
              </w:rPr>
              <w:t>:</w:t>
            </w:r>
          </w:p>
          <w:p w14:paraId="4677CDE4" w14:textId="19E61348"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interest subsidy costs</w:t>
            </w:r>
            <w:r w:rsidR="00E933CE" w:rsidRPr="005B5418">
              <w:rPr>
                <w:rFonts w:eastAsia="Arial Unicode MS" w:cs="Arial"/>
                <w:szCs w:val="22"/>
              </w:rPr>
              <w:t>,</w:t>
            </w:r>
          </w:p>
          <w:p w14:paraId="7D228DC6" w14:textId="6BA409AB"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default costs (net of recoveries)</w:t>
            </w:r>
            <w:r w:rsidR="00E933CE" w:rsidRPr="005B5418">
              <w:rPr>
                <w:rFonts w:eastAsia="Arial Unicode MS" w:cs="Arial"/>
                <w:szCs w:val="22"/>
              </w:rPr>
              <w:t>,</w:t>
            </w:r>
          </w:p>
          <w:p w14:paraId="31A5DEFD" w14:textId="640F9C18"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fees and other collections</w:t>
            </w:r>
            <w:r w:rsidR="00E933CE" w:rsidRPr="005B5418">
              <w:rPr>
                <w:rFonts w:eastAsia="Arial Unicode MS" w:cs="Arial"/>
                <w:szCs w:val="22"/>
              </w:rPr>
              <w:t>,</w:t>
            </w:r>
            <w:r w:rsidRPr="005B5418">
              <w:rPr>
                <w:rFonts w:eastAsia="Arial Unicode MS" w:cs="Arial"/>
                <w:szCs w:val="22"/>
              </w:rPr>
              <w:t xml:space="preserve"> and</w:t>
            </w:r>
          </w:p>
          <w:p w14:paraId="436865B4" w14:textId="5F3B861A"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cs="Arial"/>
                <w:szCs w:val="22"/>
              </w:rPr>
              <w:t>other costs</w:t>
            </w:r>
            <w:r w:rsidRPr="005B5418">
              <w:rPr>
                <w:rFonts w:eastAsia="Arial Unicode MS"/>
              </w:rPr>
              <w:t>? (SFFAS 18, par</w:t>
            </w:r>
            <w:r w:rsidR="00E933CE" w:rsidRPr="005B5418">
              <w:rPr>
                <w:rFonts w:eastAsia="Arial Unicode MS"/>
              </w:rPr>
              <w:t>a</w:t>
            </w:r>
            <w:r w:rsidRPr="005B5418">
              <w:rPr>
                <w:rFonts w:eastAsia="Arial Unicode MS"/>
              </w:rPr>
              <w:t xml:space="preserve">. 11(B); A-136, section II.3.8.8, instructions F </w:t>
            </w:r>
            <w:r w:rsidR="005325EB" w:rsidRPr="005B5418">
              <w:rPr>
                <w:rFonts w:eastAsia="Arial Unicode MS"/>
              </w:rPr>
              <w:t>and</w:t>
            </w:r>
            <w:r w:rsidRPr="005B5418">
              <w:rPr>
                <w:rFonts w:eastAsia="Arial Unicode MS"/>
              </w:rPr>
              <w:t xml:space="preserve"> M)</w:t>
            </w:r>
          </w:p>
        </w:tc>
        <w:tc>
          <w:tcPr>
            <w:tcW w:w="965" w:type="dxa"/>
          </w:tcPr>
          <w:p w14:paraId="17128369" w14:textId="77777777" w:rsidR="00BC1CB7" w:rsidRPr="005B5418" w:rsidRDefault="00BC1CB7" w:rsidP="008848DA">
            <w:pPr>
              <w:pStyle w:val="Table-Cell-CenterBoldBefore6ptAfter6pt"/>
              <w:spacing w:before="60" w:after="60"/>
              <w:rPr>
                <w:rFonts w:cs="Arial"/>
              </w:rPr>
            </w:pPr>
          </w:p>
        </w:tc>
        <w:tc>
          <w:tcPr>
            <w:tcW w:w="3211" w:type="dxa"/>
          </w:tcPr>
          <w:p w14:paraId="3C47FE87" w14:textId="77777777" w:rsidR="00BC1CB7" w:rsidRPr="005B5418" w:rsidRDefault="00BC1CB7" w:rsidP="008848DA">
            <w:pPr>
              <w:pStyle w:val="Table-Cell-Left"/>
              <w:spacing w:before="60" w:after="60" w:line="240" w:lineRule="auto"/>
              <w:rPr>
                <w:rFonts w:cs="Arial"/>
              </w:rPr>
            </w:pPr>
          </w:p>
        </w:tc>
      </w:tr>
      <w:tr w:rsidR="00BC1CB7" w:rsidRPr="005B5418" w14:paraId="64D4A04E" w14:textId="77777777" w:rsidTr="001C22E3">
        <w:trPr>
          <w:trHeight w:val="1520"/>
        </w:trPr>
        <w:tc>
          <w:tcPr>
            <w:tcW w:w="5405" w:type="dxa"/>
          </w:tcPr>
          <w:p w14:paraId="5D317685" w14:textId="71890D3F"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If the entity uses trend data in the notes to display significant fluctuations in subsidy rates, are these data accompanied by an analysis that explains the underlying causes for the fluctuations? (SFFAS 18, par</w:t>
            </w:r>
            <w:r w:rsidR="00E933CE" w:rsidRPr="005B5418">
              <w:rPr>
                <w:rFonts w:eastAsia="Arial Unicode MS"/>
              </w:rPr>
              <w:t>a</w:t>
            </w:r>
            <w:r w:rsidRPr="005B5418">
              <w:rPr>
                <w:rFonts w:eastAsia="Arial Unicode MS"/>
              </w:rPr>
              <w:t>. 11(B))</w:t>
            </w:r>
          </w:p>
        </w:tc>
        <w:tc>
          <w:tcPr>
            <w:tcW w:w="965" w:type="dxa"/>
          </w:tcPr>
          <w:p w14:paraId="4D9CBECE" w14:textId="77777777" w:rsidR="00BC1CB7" w:rsidRPr="005B5418" w:rsidRDefault="00BC1CB7" w:rsidP="008848DA">
            <w:pPr>
              <w:pStyle w:val="Table-Cell-CenterBoldBefore6ptAfter6pt"/>
              <w:spacing w:before="60" w:after="60"/>
              <w:rPr>
                <w:rFonts w:cs="Arial"/>
              </w:rPr>
            </w:pPr>
          </w:p>
        </w:tc>
        <w:tc>
          <w:tcPr>
            <w:tcW w:w="3211" w:type="dxa"/>
          </w:tcPr>
          <w:p w14:paraId="1150D3A8" w14:textId="77777777" w:rsidR="00BC1CB7" w:rsidRPr="005B5418" w:rsidRDefault="00BC1CB7" w:rsidP="008848DA">
            <w:pPr>
              <w:pStyle w:val="Table-Cell-Left"/>
              <w:spacing w:before="60" w:after="60" w:line="240" w:lineRule="auto"/>
              <w:rPr>
                <w:rFonts w:cs="Arial"/>
              </w:rPr>
            </w:pPr>
          </w:p>
        </w:tc>
      </w:tr>
      <w:tr w:rsidR="00BC1CB7" w:rsidRPr="005B5418" w14:paraId="6792B4F7" w14:textId="77777777" w:rsidTr="001C22E3">
        <w:trPr>
          <w:trHeight w:val="395"/>
        </w:trPr>
        <w:tc>
          <w:tcPr>
            <w:tcW w:w="5405" w:type="dxa"/>
          </w:tcPr>
          <w:p w14:paraId="4C16CD17" w14:textId="26C221A4" w:rsidR="00BC1CB7" w:rsidRPr="005B5418" w:rsidRDefault="00BC1CB7" w:rsidP="008848DA">
            <w:pPr>
              <w:pStyle w:val="FAM-Table-outline"/>
              <w:spacing w:line="240" w:lineRule="auto"/>
              <w:rPr>
                <w:rFonts w:eastAsia="Arial Unicode MS"/>
              </w:rPr>
            </w:pPr>
            <w:r w:rsidRPr="005B5418">
              <w:rPr>
                <w:rFonts w:eastAsia="Arial Unicode MS"/>
              </w:rPr>
              <w:t>Do the subsidy rates for direct loans and loan guarantees by program and component disclosures state the following</w:t>
            </w:r>
            <w:r w:rsidR="00E933CE" w:rsidRPr="005B5418">
              <w:rPr>
                <w:rFonts w:eastAsia="Arial Unicode MS"/>
              </w:rPr>
              <w:t>?</w:t>
            </w:r>
            <w:r w:rsidRPr="005B5418">
              <w:rPr>
                <w:rFonts w:eastAsia="Arial Unicode MS"/>
              </w:rPr>
              <w:t xml:space="preserve"> </w:t>
            </w:r>
            <w:r w:rsidRPr="005B5418">
              <w:rPr>
                <w:rFonts w:eastAsia="Arial Unicode MS"/>
              </w:rPr>
              <w:br/>
            </w:r>
            <w:r w:rsidRPr="005B5418">
              <w:rPr>
                <w:rFonts w:eastAsia="Arial Unicode MS"/>
              </w:rPr>
              <w:br/>
              <w:t>The subsidy rates disclosed pertain only to the current year’s cohorts. These rates cannot be applied to the direct loans [or loan guarantees] disbursed during the current reporting year to yield the subsidy expense. The subsidy expense for new loans [or loan guarantees] reported in the current year could result from disbursements of loans from both current year cohorts and prior year(s) cohorts. The subsidy expense reported in the current year also includes modifications and reestimates</w:t>
            </w:r>
            <w:r w:rsidR="003A78EE" w:rsidRPr="005B5418">
              <w:rPr>
                <w:rFonts w:eastAsia="Arial Unicode MS"/>
              </w:rPr>
              <w:t>.</w:t>
            </w:r>
            <w:r w:rsidRPr="005B5418">
              <w:rPr>
                <w:rFonts w:eastAsia="Arial Unicode MS"/>
              </w:rPr>
              <w:br/>
              <w:t xml:space="preserve">(A-136, section II.3.8.8, instructions F </w:t>
            </w:r>
            <w:r w:rsidR="005325EB" w:rsidRPr="005B5418">
              <w:rPr>
                <w:rFonts w:eastAsia="Arial Unicode MS"/>
              </w:rPr>
              <w:t>and</w:t>
            </w:r>
            <w:r w:rsidRPr="005B5418">
              <w:rPr>
                <w:rFonts w:eastAsia="Arial Unicode MS"/>
              </w:rPr>
              <w:t xml:space="preserve"> M)</w:t>
            </w:r>
          </w:p>
        </w:tc>
        <w:tc>
          <w:tcPr>
            <w:tcW w:w="965" w:type="dxa"/>
          </w:tcPr>
          <w:p w14:paraId="21C6D5C1" w14:textId="77777777" w:rsidR="00BC1CB7" w:rsidRPr="005B5418" w:rsidRDefault="00BC1CB7" w:rsidP="008848DA">
            <w:pPr>
              <w:pStyle w:val="Table-Cell-CenterBoldBefore6ptAfter6pt"/>
              <w:spacing w:before="60" w:after="60"/>
              <w:rPr>
                <w:rFonts w:cs="Arial"/>
              </w:rPr>
            </w:pPr>
          </w:p>
        </w:tc>
        <w:tc>
          <w:tcPr>
            <w:tcW w:w="3211" w:type="dxa"/>
          </w:tcPr>
          <w:p w14:paraId="64032441" w14:textId="77777777" w:rsidR="00BC1CB7" w:rsidRPr="005B5418" w:rsidRDefault="00BC1CB7" w:rsidP="008848DA">
            <w:pPr>
              <w:pStyle w:val="Table-Cell-Left"/>
              <w:spacing w:before="60" w:after="60" w:line="240" w:lineRule="auto"/>
              <w:rPr>
                <w:rFonts w:cs="Arial"/>
              </w:rPr>
            </w:pPr>
          </w:p>
        </w:tc>
      </w:tr>
      <w:tr w:rsidR="00BC1CB7" w:rsidRPr="005B5418" w14:paraId="1B2C0168" w14:textId="77777777" w:rsidTr="001C22E3">
        <w:trPr>
          <w:trHeight w:val="2160"/>
        </w:trPr>
        <w:tc>
          <w:tcPr>
            <w:tcW w:w="5405" w:type="dxa"/>
          </w:tcPr>
          <w:p w14:paraId="02356264" w14:textId="482BEA76"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Does the entity present reconciliations of beginning and ending balances of (1) subsidy cost allowances for outstanding direct loans</w:t>
            </w:r>
            <w:r w:rsidRPr="005B5418">
              <w:rPr>
                <w:rFonts w:eastAsia="Arial Unicode MS"/>
                <w:vertAlign w:val="superscript"/>
              </w:rPr>
              <w:footnoteReference w:id="109"/>
            </w:r>
            <w:r w:rsidRPr="005B5418">
              <w:rPr>
                <w:rFonts w:eastAsia="Arial Unicode MS"/>
              </w:rPr>
              <w:t xml:space="preserve"> and (2) the liability for outstanding loan guarantees</w:t>
            </w:r>
            <w:r w:rsidR="00782954" w:rsidRPr="005B5418">
              <w:rPr>
                <w:rFonts w:eastAsia="Arial Unicode MS"/>
              </w:rPr>
              <w:t>,</w:t>
            </w:r>
            <w:r w:rsidRPr="005B5418">
              <w:rPr>
                <w:rFonts w:eastAsia="Arial Unicode MS"/>
                <w:vertAlign w:val="superscript"/>
              </w:rPr>
              <w:footnoteReference w:id="110"/>
            </w:r>
            <w:r w:rsidRPr="005B5418">
              <w:rPr>
                <w:rFonts w:eastAsia="Arial Unicode MS"/>
              </w:rPr>
              <w:t xml:space="preserve"> </w:t>
            </w:r>
            <w:r w:rsidR="00782954" w:rsidRPr="005B5418">
              <w:rPr>
                <w:rFonts w:eastAsia="Arial Unicode MS"/>
              </w:rPr>
              <w:t xml:space="preserve">including </w:t>
            </w:r>
            <w:r w:rsidRPr="005B5418">
              <w:rPr>
                <w:rFonts w:eastAsia="Arial Unicode MS"/>
              </w:rPr>
              <w:t>changes for</w:t>
            </w:r>
          </w:p>
          <w:p w14:paraId="550C5711"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interest subsidy costs, default costs, fees and other collections, and other subsidy costs;</w:t>
            </w:r>
          </w:p>
          <w:p w14:paraId="5574FE9E" w14:textId="25FE1FDC"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interest rate and technical/default reestimates; and</w:t>
            </w:r>
          </w:p>
          <w:p w14:paraId="0458E345" w14:textId="72ABB1B8"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cs="Arial"/>
                <w:szCs w:val="22"/>
              </w:rPr>
              <w:t>other adjustments?</w:t>
            </w:r>
            <w:r w:rsidRPr="005B5418">
              <w:rPr>
                <w:rFonts w:eastAsia="Arial Unicode MS"/>
              </w:rPr>
              <w:br/>
              <w:t>(SFFAS 18, par</w:t>
            </w:r>
            <w:r w:rsidR="00782954" w:rsidRPr="005B5418">
              <w:rPr>
                <w:rFonts w:eastAsia="Arial Unicode MS"/>
              </w:rPr>
              <w:t>a</w:t>
            </w:r>
            <w:r w:rsidRPr="005B5418">
              <w:rPr>
                <w:rFonts w:eastAsia="Arial Unicode MS"/>
              </w:rPr>
              <w:t xml:space="preserve">. 10; A-136, section II.3.8.8, instructions G </w:t>
            </w:r>
            <w:r w:rsidR="00D76349" w:rsidRPr="005B5418">
              <w:rPr>
                <w:rFonts w:eastAsia="Arial Unicode MS"/>
              </w:rPr>
              <w:t>and</w:t>
            </w:r>
            <w:r w:rsidRPr="005B5418">
              <w:rPr>
                <w:rFonts w:eastAsia="Arial Unicode MS"/>
              </w:rPr>
              <w:t xml:space="preserve"> N)</w:t>
            </w:r>
          </w:p>
        </w:tc>
        <w:tc>
          <w:tcPr>
            <w:tcW w:w="965" w:type="dxa"/>
          </w:tcPr>
          <w:p w14:paraId="611388CF" w14:textId="77777777" w:rsidR="00BC1CB7" w:rsidRPr="005B5418" w:rsidRDefault="00BC1CB7" w:rsidP="008848DA">
            <w:pPr>
              <w:pStyle w:val="Table-Cell-CenterBoldBefore6ptAfter6pt"/>
              <w:spacing w:before="60" w:after="60"/>
              <w:rPr>
                <w:rFonts w:cs="Arial"/>
              </w:rPr>
            </w:pPr>
          </w:p>
        </w:tc>
        <w:tc>
          <w:tcPr>
            <w:tcW w:w="3211" w:type="dxa"/>
          </w:tcPr>
          <w:p w14:paraId="457456A0" w14:textId="77777777" w:rsidR="00BC1CB7" w:rsidRPr="005B5418" w:rsidRDefault="00BC1CB7" w:rsidP="008848DA">
            <w:pPr>
              <w:pStyle w:val="Table-Cell-Left"/>
              <w:spacing w:before="60" w:after="60" w:line="240" w:lineRule="auto"/>
              <w:rPr>
                <w:rFonts w:cs="Arial"/>
              </w:rPr>
            </w:pPr>
          </w:p>
        </w:tc>
      </w:tr>
      <w:tr w:rsidR="00BC1CB7" w:rsidRPr="005B5418" w14:paraId="54FAB735" w14:textId="77777777" w:rsidTr="001C22E3">
        <w:trPr>
          <w:trHeight w:val="935"/>
        </w:trPr>
        <w:tc>
          <w:tcPr>
            <w:tcW w:w="5405" w:type="dxa"/>
          </w:tcPr>
          <w:p w14:paraId="023EBEFD"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Are components of defaulted guaranteed loans receivable from pre-1992 guarantees disclosed by loan program for</w:t>
            </w:r>
          </w:p>
          <w:p w14:paraId="3C3198F9"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defaulted guaranteed loans receivable, gross;</w:t>
            </w:r>
          </w:p>
          <w:p w14:paraId="55C6509D"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interest</w:t>
            </w:r>
            <w:r w:rsidR="00DA0737" w:rsidRPr="005B5418">
              <w:rPr>
                <w:rFonts w:eastAsia="Arial Unicode MS" w:cs="Arial"/>
                <w:szCs w:val="22"/>
              </w:rPr>
              <w:t xml:space="preserve"> and fees</w:t>
            </w:r>
            <w:r w:rsidRPr="005B5418">
              <w:rPr>
                <w:rFonts w:eastAsia="Arial Unicode MS" w:cs="Arial"/>
                <w:szCs w:val="22"/>
              </w:rPr>
              <w:t xml:space="preserve"> receivable;</w:t>
            </w:r>
          </w:p>
          <w:p w14:paraId="340F84CE" w14:textId="23DC6138"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estimated net realizable value of related foreclosed property</w:t>
            </w:r>
            <w:r w:rsidR="00C879B7" w:rsidRPr="005B5418">
              <w:rPr>
                <w:rFonts w:eastAsia="Arial Unicode MS" w:cs="Arial"/>
                <w:szCs w:val="22"/>
              </w:rPr>
              <w:t>;</w:t>
            </w:r>
          </w:p>
          <w:p w14:paraId="5266B0A5"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present value allowance (if the present value method is used);</w:t>
            </w:r>
          </w:p>
          <w:p w14:paraId="489393AA" w14:textId="77777777" w:rsidR="002539EB"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the allowance for loan losses (if the allowance for loss method is used); and</w:t>
            </w:r>
          </w:p>
          <w:p w14:paraId="6094C5E9" w14:textId="0075EF7E" w:rsidR="00BC1CB7" w:rsidRPr="005B5418" w:rsidRDefault="00BC1CB7" w:rsidP="009F69E4">
            <w:pPr>
              <w:pStyle w:val="FAM-Table-outline2"/>
              <w:tabs>
                <w:tab w:val="num" w:pos="576"/>
              </w:tabs>
              <w:spacing w:line="240" w:lineRule="auto"/>
              <w:ind w:left="1155" w:hanging="458"/>
            </w:pPr>
            <w:r w:rsidRPr="005B5418">
              <w:rPr>
                <w:rFonts w:eastAsia="Arial Unicode MS" w:cs="Arial"/>
                <w:szCs w:val="22"/>
              </w:rPr>
              <w:t>value of assets related to defaulted guaranteed loans receivable, net?</w:t>
            </w:r>
            <w:r w:rsidRPr="005B5418">
              <w:rPr>
                <w:rFonts w:eastAsia="Arial Unicode MS" w:cs="Arial"/>
                <w:szCs w:val="22"/>
              </w:rPr>
              <w:br/>
              <w:t>(A-136, sections II.3.8.8, instruction H</w:t>
            </w:r>
            <w:r w:rsidR="00C879B7" w:rsidRPr="005B5418">
              <w:rPr>
                <w:rFonts w:eastAsia="Arial Unicode MS" w:cs="Arial"/>
                <w:szCs w:val="22"/>
              </w:rPr>
              <w:t>,</w:t>
            </w:r>
            <w:r w:rsidRPr="005B5418">
              <w:rPr>
                <w:rFonts w:eastAsia="Arial Unicode MS" w:cs="Arial"/>
                <w:szCs w:val="22"/>
              </w:rPr>
              <w:t xml:space="preserve"> </w:t>
            </w:r>
            <w:r w:rsidR="00D76349" w:rsidRPr="005B5418">
              <w:rPr>
                <w:rFonts w:eastAsia="Arial Unicode MS" w:cs="Arial"/>
                <w:szCs w:val="22"/>
              </w:rPr>
              <w:t>and</w:t>
            </w:r>
            <w:r w:rsidRPr="005B5418">
              <w:rPr>
                <w:rFonts w:eastAsia="Arial Unicode MS" w:cs="Arial"/>
                <w:szCs w:val="22"/>
              </w:rPr>
              <w:t xml:space="preserve"> II.3.2.3)</w:t>
            </w:r>
          </w:p>
        </w:tc>
        <w:tc>
          <w:tcPr>
            <w:tcW w:w="965" w:type="dxa"/>
          </w:tcPr>
          <w:p w14:paraId="46795DBA" w14:textId="77777777" w:rsidR="00BC1CB7" w:rsidRPr="005B5418" w:rsidRDefault="00BC1CB7" w:rsidP="008848DA">
            <w:pPr>
              <w:pStyle w:val="Table-Cell-CenterBoldBefore6ptAfter6pt"/>
              <w:spacing w:before="60" w:after="60"/>
              <w:rPr>
                <w:rFonts w:cs="Arial"/>
              </w:rPr>
            </w:pPr>
          </w:p>
        </w:tc>
        <w:tc>
          <w:tcPr>
            <w:tcW w:w="3211" w:type="dxa"/>
          </w:tcPr>
          <w:p w14:paraId="390D797E" w14:textId="77777777" w:rsidR="00BC1CB7" w:rsidRPr="005B5418" w:rsidRDefault="00BC1CB7" w:rsidP="008848DA">
            <w:pPr>
              <w:pStyle w:val="Table-Cell-Left"/>
              <w:spacing w:before="60" w:after="60" w:line="240" w:lineRule="auto"/>
              <w:rPr>
                <w:rFonts w:cs="Arial"/>
              </w:rPr>
            </w:pPr>
          </w:p>
        </w:tc>
      </w:tr>
      <w:tr w:rsidR="00BC1CB7" w:rsidRPr="005B5418" w14:paraId="48B77D10" w14:textId="77777777" w:rsidTr="009A3F7D">
        <w:trPr>
          <w:trHeight w:val="881"/>
        </w:trPr>
        <w:tc>
          <w:tcPr>
            <w:tcW w:w="5405" w:type="dxa"/>
          </w:tcPr>
          <w:p w14:paraId="31533D54"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Are components of defaulted guaranteed loans receivable from post-1991 guarantees disclosed by loan program for</w:t>
            </w:r>
          </w:p>
          <w:p w14:paraId="61648785"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defaulted guaranteed loans receivable, gross;</w:t>
            </w:r>
          </w:p>
          <w:p w14:paraId="68AFE882" w14:textId="0C4F03E6"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interest </w:t>
            </w:r>
            <w:r w:rsidR="001B59FB" w:rsidRPr="005B5418">
              <w:rPr>
                <w:rFonts w:eastAsia="Arial Unicode MS" w:cs="Arial"/>
                <w:szCs w:val="22"/>
              </w:rPr>
              <w:t xml:space="preserve">and fees </w:t>
            </w:r>
            <w:r w:rsidRPr="005B5418">
              <w:rPr>
                <w:rFonts w:eastAsia="Arial Unicode MS" w:cs="Arial"/>
                <w:szCs w:val="22"/>
              </w:rPr>
              <w:t>receivable;</w:t>
            </w:r>
          </w:p>
          <w:p w14:paraId="3F77B258" w14:textId="411A7690"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foreclosed property;</w:t>
            </w:r>
          </w:p>
          <w:p w14:paraId="6E01C21E"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allowance for subsidy costs (present value); and</w:t>
            </w:r>
          </w:p>
          <w:p w14:paraId="5480E52B" w14:textId="13899D40"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cs="Arial"/>
                <w:szCs w:val="22"/>
              </w:rPr>
              <w:t xml:space="preserve">value of assets related to defaulted </w:t>
            </w:r>
            <w:r w:rsidRPr="005B5418">
              <w:rPr>
                <w:rFonts w:eastAsia="Arial Unicode MS" w:cs="Arial"/>
                <w:szCs w:val="22"/>
              </w:rPr>
              <w:lastRenderedPageBreak/>
              <w:t>guaranteed loans receivable, net</w:t>
            </w:r>
            <w:r w:rsidRPr="005B5418">
              <w:rPr>
                <w:rFonts w:eastAsia="Arial Unicode MS"/>
              </w:rPr>
              <w:t>?</w:t>
            </w:r>
            <w:r w:rsidRPr="005B5418">
              <w:rPr>
                <w:rFonts w:eastAsia="Arial Unicode MS"/>
              </w:rPr>
              <w:br/>
              <w:t>(A-136, sections II.3.8.8, instruction I</w:t>
            </w:r>
            <w:r w:rsidR="00030304" w:rsidRPr="005B5418">
              <w:rPr>
                <w:rFonts w:eastAsia="Arial Unicode MS"/>
              </w:rPr>
              <w:t>,</w:t>
            </w:r>
            <w:r w:rsidRPr="005B5418">
              <w:rPr>
                <w:rFonts w:eastAsia="Arial Unicode MS"/>
              </w:rPr>
              <w:t xml:space="preserve"> </w:t>
            </w:r>
            <w:r w:rsidR="007F77FC" w:rsidRPr="005B5418">
              <w:rPr>
                <w:rFonts w:eastAsia="Arial Unicode MS"/>
              </w:rPr>
              <w:t>and</w:t>
            </w:r>
            <w:r w:rsidRPr="005B5418">
              <w:rPr>
                <w:rFonts w:eastAsia="Arial Unicode MS"/>
              </w:rPr>
              <w:t xml:space="preserve"> II.3.2.3)</w:t>
            </w:r>
          </w:p>
        </w:tc>
        <w:tc>
          <w:tcPr>
            <w:tcW w:w="965" w:type="dxa"/>
          </w:tcPr>
          <w:p w14:paraId="6FE48E97" w14:textId="77777777" w:rsidR="00BC1CB7" w:rsidRPr="005B5418" w:rsidRDefault="00BC1CB7" w:rsidP="008848DA">
            <w:pPr>
              <w:pStyle w:val="Table-Cell-CenterBoldBefore6ptAfter6pt"/>
              <w:spacing w:before="60" w:after="60"/>
              <w:rPr>
                <w:rFonts w:cs="Arial"/>
              </w:rPr>
            </w:pPr>
          </w:p>
        </w:tc>
        <w:tc>
          <w:tcPr>
            <w:tcW w:w="3211" w:type="dxa"/>
          </w:tcPr>
          <w:p w14:paraId="2E3F2D3E" w14:textId="77777777" w:rsidR="00BC1CB7" w:rsidRPr="005B5418" w:rsidRDefault="00BC1CB7" w:rsidP="008848DA">
            <w:pPr>
              <w:pStyle w:val="Table-Cell-Left"/>
              <w:spacing w:before="60" w:after="60" w:line="240" w:lineRule="auto"/>
              <w:rPr>
                <w:rFonts w:cs="Arial"/>
              </w:rPr>
            </w:pPr>
          </w:p>
        </w:tc>
      </w:tr>
      <w:tr w:rsidR="00BC1CB7" w:rsidRPr="005B5418" w14:paraId="2C97D5B6" w14:textId="77777777" w:rsidTr="001C22E3">
        <w:trPr>
          <w:cantSplit/>
          <w:trHeight w:val="2160"/>
        </w:trPr>
        <w:tc>
          <w:tcPr>
            <w:tcW w:w="5405" w:type="dxa"/>
          </w:tcPr>
          <w:p w14:paraId="4245AAF9" w14:textId="015E5D55"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 xml:space="preserve">Does each loan guarantee program disclose </w:t>
            </w:r>
          </w:p>
          <w:p w14:paraId="05BCFC56" w14:textId="140D5D30"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face value of outstanding principal of guaranteed loans disbursed by a third party and </w:t>
            </w:r>
          </w:p>
          <w:p w14:paraId="3E29159B" w14:textId="31EF01A1"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cs="Arial"/>
                <w:szCs w:val="22"/>
              </w:rPr>
              <w:t>amount of outstanding principal that is guaranteed?</w:t>
            </w:r>
            <w:r w:rsidRPr="005B5418">
              <w:rPr>
                <w:rFonts w:eastAsia="Arial Unicode MS"/>
              </w:rPr>
              <w:t xml:space="preserve"> (SFFAS 2, para. 23; A-136, section II.3.8.8, instruction J)</w:t>
            </w:r>
          </w:p>
        </w:tc>
        <w:tc>
          <w:tcPr>
            <w:tcW w:w="965" w:type="dxa"/>
          </w:tcPr>
          <w:p w14:paraId="492EB526" w14:textId="77777777" w:rsidR="00BC1CB7" w:rsidRPr="005B5418" w:rsidRDefault="00BC1CB7" w:rsidP="008848DA">
            <w:pPr>
              <w:pStyle w:val="Table-Cell-CenterBoldBefore6ptAfter6pt"/>
              <w:spacing w:before="60" w:after="60"/>
              <w:rPr>
                <w:rFonts w:cs="Arial"/>
              </w:rPr>
            </w:pPr>
          </w:p>
        </w:tc>
        <w:tc>
          <w:tcPr>
            <w:tcW w:w="3211" w:type="dxa"/>
          </w:tcPr>
          <w:p w14:paraId="1FE8447B" w14:textId="77777777" w:rsidR="00BC1CB7" w:rsidRPr="005B5418" w:rsidRDefault="00BC1CB7" w:rsidP="008848DA">
            <w:pPr>
              <w:pStyle w:val="Table-Cell-Left"/>
              <w:spacing w:before="60" w:after="60" w:line="240" w:lineRule="auto"/>
              <w:rPr>
                <w:rFonts w:cs="Arial"/>
              </w:rPr>
            </w:pPr>
          </w:p>
        </w:tc>
      </w:tr>
      <w:tr w:rsidR="00BC1CB7" w:rsidRPr="005B5418" w14:paraId="7C933807" w14:textId="77777777" w:rsidTr="001C22E3">
        <w:trPr>
          <w:trHeight w:val="2160"/>
        </w:trPr>
        <w:tc>
          <w:tcPr>
            <w:tcW w:w="5405" w:type="dxa"/>
          </w:tcPr>
          <w:p w14:paraId="57EE7557"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Does the liability for loan guarantees disclose</w:t>
            </w:r>
          </w:p>
          <w:p w14:paraId="72187CB8" w14:textId="0064ABEB"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present value of liabilities for losses on pre-1992 loan guarantees (if the present value method is used)</w:t>
            </w:r>
            <w:r w:rsidR="00FD181B" w:rsidRPr="005B5418">
              <w:rPr>
                <w:rFonts w:eastAsia="Arial Unicode MS" w:cs="Arial"/>
                <w:szCs w:val="22"/>
              </w:rPr>
              <w:t>,</w:t>
            </w:r>
          </w:p>
          <w:p w14:paraId="30759130" w14:textId="2ABFFA55"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estimated future default claims on pre-1992 loan guarantees (if the estimated future default claims method is used)</w:t>
            </w:r>
            <w:r w:rsidR="00FD181B" w:rsidRPr="005B5418">
              <w:rPr>
                <w:rFonts w:eastAsia="Arial Unicode MS" w:cs="Arial"/>
                <w:szCs w:val="22"/>
              </w:rPr>
              <w:t>,</w:t>
            </w:r>
          </w:p>
          <w:p w14:paraId="294F991C" w14:textId="65D596DD"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present value of the estimated net cash flows (outflows less inflows) to be paid as a result of post-1991 loan guarantees</w:t>
            </w:r>
            <w:r w:rsidR="00FD181B" w:rsidRPr="005B5418">
              <w:rPr>
                <w:rFonts w:eastAsia="Arial Unicode MS" w:cs="Arial"/>
                <w:szCs w:val="22"/>
              </w:rPr>
              <w:t>,</w:t>
            </w:r>
            <w:r w:rsidRPr="005B5418">
              <w:rPr>
                <w:rFonts w:eastAsia="Arial Unicode MS" w:cs="Arial"/>
                <w:szCs w:val="22"/>
              </w:rPr>
              <w:t xml:space="preserve"> and</w:t>
            </w:r>
          </w:p>
          <w:p w14:paraId="6DB18343" w14:textId="695AD376"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cs="Arial"/>
                <w:szCs w:val="22"/>
              </w:rPr>
              <w:t>total liabilities for loan guarantees</w:t>
            </w:r>
            <w:r w:rsidRPr="005B5418">
              <w:rPr>
                <w:rFonts w:eastAsia="Arial Unicode MS"/>
              </w:rPr>
              <w:t xml:space="preserve">? (A-136, sections II.3.2.4 </w:t>
            </w:r>
            <w:r w:rsidR="007F77FC" w:rsidRPr="005B5418">
              <w:rPr>
                <w:rFonts w:eastAsia="Arial Unicode MS"/>
              </w:rPr>
              <w:t>and</w:t>
            </w:r>
            <w:r w:rsidRPr="005B5418">
              <w:rPr>
                <w:rFonts w:eastAsia="Arial Unicode MS"/>
              </w:rPr>
              <w:t xml:space="preserve"> II.3.8.8, instruction K)</w:t>
            </w:r>
          </w:p>
        </w:tc>
        <w:tc>
          <w:tcPr>
            <w:tcW w:w="965" w:type="dxa"/>
          </w:tcPr>
          <w:p w14:paraId="4E05951B" w14:textId="77777777" w:rsidR="00BC1CB7" w:rsidRPr="005B5418" w:rsidRDefault="00BC1CB7" w:rsidP="008848DA">
            <w:pPr>
              <w:pStyle w:val="Table-Cell-CenterBoldBefore6ptAfter6pt"/>
              <w:spacing w:before="60" w:after="60"/>
              <w:rPr>
                <w:rFonts w:cs="Arial"/>
              </w:rPr>
            </w:pPr>
          </w:p>
        </w:tc>
        <w:tc>
          <w:tcPr>
            <w:tcW w:w="3211" w:type="dxa"/>
          </w:tcPr>
          <w:p w14:paraId="4735F8B6" w14:textId="77777777" w:rsidR="00BC1CB7" w:rsidRPr="005B5418" w:rsidRDefault="00BC1CB7" w:rsidP="008848DA">
            <w:pPr>
              <w:pStyle w:val="Table-Cell-Left"/>
              <w:spacing w:before="60" w:after="60" w:line="240" w:lineRule="auto"/>
              <w:rPr>
                <w:rFonts w:cs="Arial"/>
              </w:rPr>
            </w:pPr>
          </w:p>
        </w:tc>
      </w:tr>
      <w:tr w:rsidR="00BC1CB7" w:rsidRPr="005B5418" w14:paraId="4CCCC734" w14:textId="77777777" w:rsidTr="001C22E3">
        <w:trPr>
          <w:cantSplit/>
        </w:trPr>
        <w:tc>
          <w:tcPr>
            <w:tcW w:w="9581" w:type="dxa"/>
            <w:gridSpan w:val="3"/>
          </w:tcPr>
          <w:p w14:paraId="36D9638C" w14:textId="77777777" w:rsidR="00BC1CB7" w:rsidRPr="005B5418" w:rsidRDefault="00BC1CB7" w:rsidP="008848DA">
            <w:pPr>
              <w:pStyle w:val="Table-Cell-Left"/>
              <w:spacing w:before="60" w:after="60" w:line="240" w:lineRule="auto"/>
              <w:rPr>
                <w:rFonts w:cs="Arial"/>
                <w:i/>
                <w:sz w:val="22"/>
                <w:szCs w:val="22"/>
              </w:rPr>
            </w:pPr>
            <w:r w:rsidRPr="005B5418">
              <w:rPr>
                <w:rFonts w:cs="Arial"/>
                <w:i/>
                <w:sz w:val="22"/>
                <w:szCs w:val="22"/>
              </w:rPr>
              <w:t>Subsidy Expense</w:t>
            </w:r>
          </w:p>
        </w:tc>
      </w:tr>
      <w:tr w:rsidR="00BC1CB7" w:rsidRPr="005B5418" w14:paraId="417D268E" w14:textId="77777777" w:rsidTr="001C22E3">
        <w:trPr>
          <w:cantSplit/>
        </w:trPr>
        <w:tc>
          <w:tcPr>
            <w:tcW w:w="5405" w:type="dxa"/>
          </w:tcPr>
          <w:p w14:paraId="6702EB75" w14:textId="3E42A803"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t>For each program, does the entity disclose the present value of the</w:t>
            </w:r>
            <w:r w:rsidR="001A0F09" w:rsidRPr="005B5418">
              <w:rPr>
                <w:rFonts w:eastAsia="Arial Unicode MS"/>
              </w:rPr>
              <w:t xml:space="preserve"> following</w:t>
            </w:r>
            <w:r w:rsidRPr="005B5418">
              <w:rPr>
                <w:rFonts w:eastAsia="Arial Unicode MS"/>
              </w:rPr>
              <w:t xml:space="preserve"> components of subsidy expense for new loan guarantees</w:t>
            </w:r>
            <w:r w:rsidR="001A0F09" w:rsidRPr="005B5418">
              <w:rPr>
                <w:rFonts w:eastAsia="Arial Unicode MS"/>
              </w:rPr>
              <w:t>:</w:t>
            </w:r>
          </w:p>
          <w:p w14:paraId="760FD1F9"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interest supplement costs;</w:t>
            </w:r>
          </w:p>
          <w:p w14:paraId="57F741EE"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default costs (net of recoveries);</w:t>
            </w:r>
          </w:p>
          <w:p w14:paraId="43A926B2"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fees and other collections;</w:t>
            </w:r>
          </w:p>
          <w:p w14:paraId="4B3E4F55" w14:textId="77777777"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other costs; and</w:t>
            </w:r>
          </w:p>
          <w:p w14:paraId="30765376" w14:textId="409D50AF" w:rsidR="00BC1CB7" w:rsidRPr="005B5418" w:rsidRDefault="00BC1CB7" w:rsidP="009F69E4">
            <w:pPr>
              <w:pStyle w:val="FAM-Table-outline2"/>
              <w:tabs>
                <w:tab w:val="num" w:pos="576"/>
              </w:tabs>
              <w:spacing w:line="240" w:lineRule="auto"/>
              <w:ind w:left="1155" w:hanging="458"/>
              <w:rPr>
                <w:rFonts w:cs="Arial"/>
              </w:rPr>
            </w:pPr>
            <w:r w:rsidRPr="005B5418">
              <w:rPr>
                <w:rFonts w:eastAsia="Arial Unicode MS"/>
              </w:rPr>
              <w:t>total subsidy expense for new loan guarantees? (SFFAS 18, par</w:t>
            </w:r>
            <w:r w:rsidR="001A0F09" w:rsidRPr="005B5418">
              <w:rPr>
                <w:rFonts w:eastAsia="Arial Unicode MS"/>
              </w:rPr>
              <w:t>a</w:t>
            </w:r>
            <w:r w:rsidRPr="005B5418">
              <w:rPr>
                <w:rFonts w:eastAsia="Arial Unicode MS"/>
              </w:rPr>
              <w:t>. 11 (A); A-136, section II.3.8.8, instruction L1)</w:t>
            </w:r>
          </w:p>
        </w:tc>
        <w:tc>
          <w:tcPr>
            <w:tcW w:w="965" w:type="dxa"/>
          </w:tcPr>
          <w:p w14:paraId="466C98B4" w14:textId="77777777" w:rsidR="00BC1CB7" w:rsidRPr="005B5418" w:rsidRDefault="00BC1CB7" w:rsidP="008848DA">
            <w:pPr>
              <w:pStyle w:val="Table-Cell-CenterBoldBefore6ptAfter6pt"/>
              <w:spacing w:before="60" w:after="60"/>
              <w:rPr>
                <w:rFonts w:cs="Arial"/>
              </w:rPr>
            </w:pPr>
          </w:p>
        </w:tc>
        <w:tc>
          <w:tcPr>
            <w:tcW w:w="3211" w:type="dxa"/>
          </w:tcPr>
          <w:p w14:paraId="4F2B0C21" w14:textId="77777777" w:rsidR="00BC1CB7" w:rsidRPr="005B5418" w:rsidRDefault="00BC1CB7" w:rsidP="008848DA">
            <w:pPr>
              <w:pStyle w:val="Table-Cell-Left"/>
              <w:spacing w:before="60" w:after="60" w:line="240" w:lineRule="auto"/>
              <w:rPr>
                <w:rFonts w:cs="Arial"/>
              </w:rPr>
            </w:pPr>
          </w:p>
        </w:tc>
      </w:tr>
      <w:tr w:rsidR="00BC1CB7" w:rsidRPr="005B5418" w14:paraId="2482CE57" w14:textId="77777777" w:rsidTr="001C22E3">
        <w:trPr>
          <w:cantSplit/>
          <w:trHeight w:val="2160"/>
        </w:trPr>
        <w:tc>
          <w:tcPr>
            <w:tcW w:w="5405" w:type="dxa"/>
          </w:tcPr>
          <w:p w14:paraId="793CE3E2" w14:textId="77777777" w:rsidR="00BC1CB7" w:rsidRPr="005B5418" w:rsidRDefault="00BC1CB7" w:rsidP="007B5405">
            <w:pPr>
              <w:pStyle w:val="FAM-Table-outline"/>
              <w:numPr>
                <w:ilvl w:val="0"/>
                <w:numId w:val="1"/>
              </w:numPr>
              <w:spacing w:line="240" w:lineRule="auto"/>
              <w:rPr>
                <w:rFonts w:eastAsia="Arial Unicode MS"/>
              </w:rPr>
            </w:pPr>
            <w:r w:rsidRPr="005B5418">
              <w:rPr>
                <w:rFonts w:eastAsia="Arial Unicode MS"/>
              </w:rPr>
              <w:lastRenderedPageBreak/>
              <w:t>For each loan program, does the entity disclose subsidy expense for</w:t>
            </w:r>
          </w:p>
          <w:p w14:paraId="2FFF4E30" w14:textId="1E774136"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modifications of loan guarantees on guaranteed loans</w:t>
            </w:r>
            <w:r w:rsidR="009A3F7D" w:rsidRPr="005B5418">
              <w:rPr>
                <w:rFonts w:eastAsia="Arial Unicode MS" w:cs="Arial"/>
                <w:szCs w:val="22"/>
              </w:rPr>
              <w:t>,</w:t>
            </w:r>
            <w:r w:rsidRPr="005B5418">
              <w:rPr>
                <w:rFonts w:eastAsia="Arial Unicode MS" w:cs="Arial"/>
                <w:szCs w:val="22"/>
              </w:rPr>
              <w:t xml:space="preserve"> and</w:t>
            </w:r>
          </w:p>
          <w:p w14:paraId="70674F4B" w14:textId="2A850FDA" w:rsidR="00BC1CB7" w:rsidRPr="005B5418" w:rsidRDefault="00BC1CB7" w:rsidP="009F69E4">
            <w:pPr>
              <w:pStyle w:val="FAM-Table-outline2"/>
              <w:tabs>
                <w:tab w:val="num" w:pos="576"/>
              </w:tabs>
              <w:spacing w:line="240" w:lineRule="auto"/>
              <w:ind w:left="1155" w:hanging="458"/>
              <w:rPr>
                <w:rFonts w:eastAsia="Arial Unicode MS" w:cs="Arial"/>
                <w:szCs w:val="22"/>
              </w:rPr>
            </w:pPr>
            <w:r w:rsidRPr="005B5418">
              <w:rPr>
                <w:rFonts w:eastAsia="Arial Unicode MS" w:cs="Arial"/>
                <w:szCs w:val="22"/>
              </w:rPr>
              <w:t xml:space="preserve">reestimates of the subsidy expense for loan guarantees, previously committed, by </w:t>
            </w:r>
            <w:r w:rsidR="00B14BE6" w:rsidRPr="005B5418">
              <w:rPr>
                <w:rFonts w:eastAsia="Arial Unicode MS" w:cs="Arial"/>
                <w:szCs w:val="22"/>
              </w:rPr>
              <w:t xml:space="preserve">the following </w:t>
            </w:r>
            <w:r w:rsidRPr="005B5418">
              <w:rPr>
                <w:rFonts w:eastAsia="Arial Unicode MS" w:cs="Arial"/>
                <w:szCs w:val="22"/>
              </w:rPr>
              <w:t>component</w:t>
            </w:r>
            <w:r w:rsidR="00B14BE6" w:rsidRPr="005B5418">
              <w:rPr>
                <w:rFonts w:eastAsia="Arial Unicode MS" w:cs="Arial"/>
                <w:szCs w:val="22"/>
              </w:rPr>
              <w:t>s</w:t>
            </w:r>
            <w:r w:rsidRPr="005B5418">
              <w:rPr>
                <w:rFonts w:eastAsia="Arial Unicode MS" w:cs="Arial"/>
                <w:szCs w:val="22"/>
              </w:rPr>
              <w:t>:</w:t>
            </w:r>
          </w:p>
          <w:p w14:paraId="4659D181" w14:textId="770D7609" w:rsidR="00BC1CB7" w:rsidRPr="005B5418" w:rsidRDefault="00BC1CB7"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interest rate and</w:t>
            </w:r>
          </w:p>
          <w:p w14:paraId="7EC71302" w14:textId="246A97C8" w:rsidR="00BC1CB7" w:rsidRPr="005B5418" w:rsidRDefault="00BC1CB7" w:rsidP="005425ED">
            <w:pPr>
              <w:pStyle w:val="FAM-Table-outline3"/>
              <w:widowControl/>
              <w:adjustRightInd/>
              <w:spacing w:before="60" w:after="60" w:line="240" w:lineRule="auto"/>
              <w:ind w:left="1410" w:hanging="432"/>
              <w:textAlignment w:val="auto"/>
            </w:pPr>
            <w:r w:rsidRPr="005B5418">
              <w:rPr>
                <w:rFonts w:cs="Arial"/>
                <w:sz w:val="22"/>
                <w:szCs w:val="22"/>
              </w:rPr>
              <w:t>technical/default?</w:t>
            </w:r>
            <w:r w:rsidRPr="005B5418">
              <w:rPr>
                <w:rFonts w:cs="Arial"/>
                <w:sz w:val="22"/>
                <w:szCs w:val="22"/>
              </w:rPr>
              <w:br/>
              <w:t>(SFFAS 18, par</w:t>
            </w:r>
            <w:r w:rsidR="00B14BE6" w:rsidRPr="005B5418">
              <w:rPr>
                <w:rFonts w:cs="Arial"/>
                <w:sz w:val="22"/>
                <w:szCs w:val="22"/>
              </w:rPr>
              <w:t>a</w:t>
            </w:r>
            <w:r w:rsidRPr="005B5418">
              <w:rPr>
                <w:rFonts w:cs="Arial"/>
                <w:sz w:val="22"/>
                <w:szCs w:val="22"/>
              </w:rPr>
              <w:t>. 11 (A); A-136, section II.3.8.8, instruction L2)</w:t>
            </w:r>
          </w:p>
        </w:tc>
        <w:tc>
          <w:tcPr>
            <w:tcW w:w="965" w:type="dxa"/>
          </w:tcPr>
          <w:p w14:paraId="36312911" w14:textId="77777777" w:rsidR="00BC1CB7" w:rsidRPr="005B5418" w:rsidRDefault="00BC1CB7" w:rsidP="008848DA">
            <w:pPr>
              <w:pStyle w:val="Table-Cell-CenterBoldBefore6ptAfter6pt"/>
              <w:spacing w:before="60" w:after="60"/>
              <w:rPr>
                <w:rFonts w:cs="Arial"/>
              </w:rPr>
            </w:pPr>
          </w:p>
        </w:tc>
        <w:tc>
          <w:tcPr>
            <w:tcW w:w="3211" w:type="dxa"/>
          </w:tcPr>
          <w:p w14:paraId="1701360A" w14:textId="77777777" w:rsidR="00BC1CB7" w:rsidRPr="005B5418" w:rsidRDefault="00BC1CB7" w:rsidP="008848DA">
            <w:pPr>
              <w:spacing w:before="60" w:after="60" w:line="240" w:lineRule="auto"/>
              <w:rPr>
                <w:rFonts w:cs="Arial"/>
              </w:rPr>
            </w:pPr>
          </w:p>
        </w:tc>
      </w:tr>
      <w:tr w:rsidR="00BC1CB7" w:rsidRPr="005B5418" w14:paraId="6D8429E7" w14:textId="77777777" w:rsidTr="001C22E3">
        <w:trPr>
          <w:cantSplit/>
          <w:trHeight w:val="1340"/>
        </w:trPr>
        <w:tc>
          <w:tcPr>
            <w:tcW w:w="5405" w:type="dxa"/>
          </w:tcPr>
          <w:p w14:paraId="493295A1" w14:textId="3488509E" w:rsidR="00BC1CB7" w:rsidRPr="005B5418" w:rsidRDefault="00BC1CB7" w:rsidP="008848DA">
            <w:pPr>
              <w:pStyle w:val="FAM-Table-outline"/>
              <w:spacing w:line="240" w:lineRule="auto"/>
              <w:rPr>
                <w:rFonts w:eastAsia="Arial Unicode MS"/>
              </w:rPr>
            </w:pPr>
            <w:r w:rsidRPr="005B5418">
              <w:rPr>
                <w:rFonts w:eastAsia="Arial Unicode MS"/>
              </w:rPr>
              <w:t>Is the total subsidy expense for current and prior year’s loan guarantees, modifications, and reestimates disclosed? (SFFAS 18, par</w:t>
            </w:r>
            <w:r w:rsidR="00B14BE6" w:rsidRPr="005B5418">
              <w:rPr>
                <w:rFonts w:eastAsia="Arial Unicode MS"/>
              </w:rPr>
              <w:t>a</w:t>
            </w:r>
            <w:r w:rsidRPr="005B5418">
              <w:rPr>
                <w:rFonts w:eastAsia="Arial Unicode MS"/>
              </w:rPr>
              <w:t>. 11 (A); A-136, section II.3.8.8, instruction L3)</w:t>
            </w:r>
          </w:p>
        </w:tc>
        <w:tc>
          <w:tcPr>
            <w:tcW w:w="965" w:type="dxa"/>
          </w:tcPr>
          <w:p w14:paraId="34A319E8" w14:textId="77777777" w:rsidR="00BC1CB7" w:rsidRPr="005B5418" w:rsidRDefault="00BC1CB7" w:rsidP="008848DA">
            <w:pPr>
              <w:pStyle w:val="Table-Cell-CenterBoldBefore6ptAfter6pt"/>
              <w:spacing w:before="60" w:after="60"/>
              <w:rPr>
                <w:rFonts w:cs="Arial"/>
                <w:lang w:val="pt-BR"/>
              </w:rPr>
            </w:pPr>
          </w:p>
        </w:tc>
        <w:tc>
          <w:tcPr>
            <w:tcW w:w="3211" w:type="dxa"/>
          </w:tcPr>
          <w:p w14:paraId="702599A4" w14:textId="77777777" w:rsidR="00BC1CB7" w:rsidRPr="005B5418" w:rsidRDefault="00BC1CB7" w:rsidP="008848DA">
            <w:pPr>
              <w:spacing w:before="60" w:after="60" w:line="240" w:lineRule="auto"/>
              <w:rPr>
                <w:rFonts w:cs="Arial"/>
                <w:lang w:val="pt-BR"/>
              </w:rPr>
            </w:pPr>
          </w:p>
        </w:tc>
      </w:tr>
      <w:tr w:rsidR="00BC1CB7" w:rsidRPr="005B5418" w14:paraId="4AEDD1D0" w14:textId="77777777" w:rsidTr="001C22E3">
        <w:trPr>
          <w:cantSplit/>
          <w:trHeight w:val="1745"/>
        </w:trPr>
        <w:tc>
          <w:tcPr>
            <w:tcW w:w="5405" w:type="dxa"/>
          </w:tcPr>
          <w:p w14:paraId="0248708B" w14:textId="6975AF34" w:rsidR="00BC1CB7" w:rsidRPr="005B5418" w:rsidRDefault="00BC1CB7" w:rsidP="007F4445">
            <w:pPr>
              <w:pStyle w:val="FAM-Table-outline"/>
              <w:spacing w:line="240" w:lineRule="auto"/>
              <w:rPr>
                <w:rFonts w:eastAsia="Arial Unicode MS"/>
              </w:rPr>
            </w:pPr>
            <w:r w:rsidRPr="005B5418">
              <w:rPr>
                <w:rFonts w:eastAsia="Arial Unicode MS"/>
              </w:rPr>
              <w:t>Does the entity report the portions of salaries and other administrative expenses that have been accounted for in support of the direct loan and loan guarantee programs and, if material, by individual program? (A-136, section II.3.8.8, instruction O)</w:t>
            </w:r>
          </w:p>
        </w:tc>
        <w:tc>
          <w:tcPr>
            <w:tcW w:w="965" w:type="dxa"/>
          </w:tcPr>
          <w:p w14:paraId="30122E15" w14:textId="77777777" w:rsidR="00BC1CB7" w:rsidRPr="005B5418" w:rsidRDefault="00BC1CB7" w:rsidP="008848DA">
            <w:pPr>
              <w:pStyle w:val="Table-Cell-CenterBoldBefore6ptAfter6pt"/>
              <w:spacing w:before="60" w:after="60"/>
              <w:rPr>
                <w:rFonts w:cs="Arial"/>
              </w:rPr>
            </w:pPr>
          </w:p>
        </w:tc>
        <w:tc>
          <w:tcPr>
            <w:tcW w:w="3211" w:type="dxa"/>
          </w:tcPr>
          <w:p w14:paraId="447EAE34" w14:textId="77777777" w:rsidR="00BC1CB7" w:rsidRPr="005B5418" w:rsidRDefault="00BC1CB7" w:rsidP="008848DA">
            <w:pPr>
              <w:spacing w:before="60" w:after="60" w:line="240" w:lineRule="auto"/>
              <w:rPr>
                <w:rFonts w:cs="Arial"/>
              </w:rPr>
            </w:pPr>
          </w:p>
        </w:tc>
      </w:tr>
      <w:tr w:rsidR="00021F04" w:rsidRPr="005B5418" w14:paraId="3FAD22FF" w14:textId="77777777" w:rsidTr="001C22E3">
        <w:trPr>
          <w:cantSplit/>
          <w:trHeight w:val="1745"/>
        </w:trPr>
        <w:tc>
          <w:tcPr>
            <w:tcW w:w="5405" w:type="dxa"/>
          </w:tcPr>
          <w:p w14:paraId="2096F8FF" w14:textId="65118790" w:rsidR="0028764C" w:rsidRPr="005B5418" w:rsidRDefault="006031D0" w:rsidP="007B5405">
            <w:pPr>
              <w:pStyle w:val="FAM-Table-outline"/>
              <w:numPr>
                <w:ilvl w:val="0"/>
                <w:numId w:val="1"/>
              </w:numPr>
              <w:spacing w:line="240" w:lineRule="auto"/>
              <w:rPr>
                <w:rFonts w:eastAsia="Arial Unicode MS"/>
              </w:rPr>
            </w:pPr>
            <w:r w:rsidRPr="005B5418">
              <w:rPr>
                <w:rFonts w:eastAsia="Arial Unicode MS"/>
                <w:b/>
              </w:rPr>
              <w:t>For significant entities only</w:t>
            </w:r>
            <w:r w:rsidR="00196DE3">
              <w:rPr>
                <w:rFonts w:eastAsia="Arial Unicode MS"/>
                <w:b/>
              </w:rPr>
              <w:t>:</w:t>
            </w:r>
            <w:r w:rsidR="00196DE3" w:rsidRPr="005B5418">
              <w:rPr>
                <w:rFonts w:eastAsia="Arial Unicode MS"/>
                <w:b/>
              </w:rPr>
              <w:t xml:space="preserve"> </w:t>
            </w:r>
            <w:r w:rsidR="006F3B9C">
              <w:rPr>
                <w:rFonts w:eastAsia="Arial Unicode MS"/>
              </w:rPr>
              <w:t>D</w:t>
            </w:r>
            <w:r w:rsidR="006F3B9C" w:rsidRPr="005B5418">
              <w:rPr>
                <w:rFonts w:eastAsia="Arial Unicode MS"/>
              </w:rPr>
              <w:t xml:space="preserve">oes </w:t>
            </w:r>
            <w:r w:rsidR="002A730A" w:rsidRPr="005B5418">
              <w:rPr>
                <w:rFonts w:eastAsia="Arial Unicode MS"/>
              </w:rPr>
              <w:t>the entity</w:t>
            </w:r>
            <w:r w:rsidR="003C60FD" w:rsidRPr="005B5418">
              <w:rPr>
                <w:rFonts w:eastAsia="Arial Unicode MS"/>
              </w:rPr>
              <w:t>’s</w:t>
            </w:r>
            <w:r w:rsidR="002A730A" w:rsidRPr="005B5418">
              <w:rPr>
                <w:rFonts w:eastAsia="Arial Unicode MS"/>
              </w:rPr>
              <w:t xml:space="preserve"> </w:t>
            </w:r>
            <w:r w:rsidR="00AE0290" w:rsidRPr="005B5418">
              <w:rPr>
                <w:rFonts w:eastAsia="Arial Unicode MS"/>
              </w:rPr>
              <w:t>disclos</w:t>
            </w:r>
            <w:r w:rsidR="003C60FD" w:rsidRPr="005B5418">
              <w:rPr>
                <w:rFonts w:eastAsia="Arial Unicode MS"/>
              </w:rPr>
              <w:t xml:space="preserve">ure include a table </w:t>
            </w:r>
            <w:r w:rsidR="00AB0028" w:rsidRPr="005B5418">
              <w:rPr>
                <w:rFonts w:eastAsia="Arial Unicode MS"/>
              </w:rPr>
              <w:t>of</w:t>
            </w:r>
            <w:r w:rsidR="003C60FD" w:rsidRPr="005B5418">
              <w:rPr>
                <w:rFonts w:eastAsia="Arial Unicode MS"/>
              </w:rPr>
              <w:t xml:space="preserve"> the change in loans receivable</w:t>
            </w:r>
            <w:r w:rsidR="007E2D78" w:rsidRPr="005B5418">
              <w:rPr>
                <w:rFonts w:eastAsia="Arial Unicode MS"/>
              </w:rPr>
              <w:t>, net</w:t>
            </w:r>
            <w:r w:rsidR="00C16787" w:rsidRPr="005B5418">
              <w:rPr>
                <w:rFonts w:eastAsia="Arial Unicode MS"/>
              </w:rPr>
              <w:t xml:space="preserve"> </w:t>
            </w:r>
            <w:r w:rsidR="007E2D78" w:rsidRPr="005B5418">
              <w:rPr>
                <w:rFonts w:eastAsia="Arial Unicode MS"/>
              </w:rPr>
              <w:t>consistent</w:t>
            </w:r>
            <w:r w:rsidR="00C16787" w:rsidRPr="005B5418">
              <w:rPr>
                <w:rFonts w:eastAsia="Arial Unicode MS"/>
              </w:rPr>
              <w:t xml:space="preserve"> with A-136, section II.3.8.8, instruction P</w:t>
            </w:r>
            <w:r w:rsidR="00A43F3E" w:rsidRPr="005B5418">
              <w:rPr>
                <w:rFonts w:eastAsia="Arial Unicode MS"/>
              </w:rPr>
              <w:t>?</w:t>
            </w:r>
            <w:r w:rsidR="007E2D78" w:rsidRPr="005B5418">
              <w:rPr>
                <w:rStyle w:val="FootnoteReference"/>
                <w:rFonts w:eastAsia="Arial Unicode MS"/>
              </w:rPr>
              <w:t xml:space="preserve"> </w:t>
            </w:r>
          </w:p>
          <w:p w14:paraId="72DA97A0" w14:textId="31F78F56" w:rsidR="00021F04" w:rsidRPr="005B5418" w:rsidRDefault="00021F04" w:rsidP="00F14D70">
            <w:pPr>
              <w:pStyle w:val="FAM-Table-outline"/>
              <w:numPr>
                <w:ilvl w:val="0"/>
                <w:numId w:val="0"/>
              </w:numPr>
              <w:spacing w:line="240" w:lineRule="auto"/>
              <w:ind w:left="936"/>
              <w:rPr>
                <w:rFonts w:eastAsia="Arial Unicode MS"/>
              </w:rPr>
            </w:pPr>
          </w:p>
        </w:tc>
        <w:tc>
          <w:tcPr>
            <w:tcW w:w="965" w:type="dxa"/>
          </w:tcPr>
          <w:p w14:paraId="46F7B7A8" w14:textId="77777777" w:rsidR="00021F04" w:rsidRPr="005B5418" w:rsidRDefault="00021F04" w:rsidP="008848DA">
            <w:pPr>
              <w:pStyle w:val="Table-Cell-CenterBoldBefore6ptAfter6pt"/>
              <w:spacing w:before="60" w:after="60"/>
              <w:rPr>
                <w:rFonts w:cs="Arial"/>
              </w:rPr>
            </w:pPr>
          </w:p>
        </w:tc>
        <w:tc>
          <w:tcPr>
            <w:tcW w:w="3211" w:type="dxa"/>
          </w:tcPr>
          <w:p w14:paraId="284D7C7A" w14:textId="77777777" w:rsidR="00021F04" w:rsidRPr="005B5418" w:rsidRDefault="00021F04" w:rsidP="008848DA">
            <w:pPr>
              <w:spacing w:before="60" w:after="60" w:line="240" w:lineRule="auto"/>
              <w:rPr>
                <w:rFonts w:cs="Arial"/>
              </w:rPr>
            </w:pPr>
          </w:p>
        </w:tc>
      </w:tr>
    </w:tbl>
    <w:p w14:paraId="70245FD5" w14:textId="77777777" w:rsidR="00217DBF" w:rsidRPr="005B5418" w:rsidRDefault="005B43CC" w:rsidP="00AF57E6">
      <w:pPr>
        <w:spacing w:line="240" w:lineRule="auto"/>
        <w:rPr>
          <w:rFonts w:cs="Arial"/>
        </w:rPr>
      </w:pPr>
      <w:r w:rsidRPr="005B5418">
        <w:rPr>
          <w:rFonts w:cs="Arial"/>
        </w:rPr>
        <w:br w:type="page"/>
      </w:r>
      <w:bookmarkStart w:id="140" w:name="_II.3.8.8_Direct_Loans"/>
      <w:bookmarkEnd w:id="140"/>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4"/>
        <w:gridCol w:w="965"/>
        <w:gridCol w:w="19"/>
        <w:gridCol w:w="3193"/>
      </w:tblGrid>
      <w:tr w:rsidR="00D76D4F" w:rsidRPr="005B5418" w14:paraId="23EEDC0E" w14:textId="77777777" w:rsidTr="005425ED">
        <w:trPr>
          <w:tblHeader/>
        </w:trPr>
        <w:tc>
          <w:tcPr>
            <w:tcW w:w="5404" w:type="dxa"/>
          </w:tcPr>
          <w:p w14:paraId="3E7D6E5B" w14:textId="77777777" w:rsidR="00D76D4F" w:rsidRPr="005B5418" w:rsidRDefault="00217DBF" w:rsidP="003C2B38">
            <w:pPr>
              <w:pStyle w:val="Heading4"/>
              <w:spacing w:line="240" w:lineRule="auto"/>
              <w:jc w:val="left"/>
              <w:rPr>
                <w:b/>
                <w:u w:val="none"/>
              </w:rPr>
            </w:pPr>
            <w:bookmarkStart w:id="141" w:name="_II.3.8.9_Inventory_and_1"/>
            <w:bookmarkEnd w:id="141"/>
            <w:r w:rsidRPr="005B5418">
              <w:lastRenderedPageBreak/>
              <w:br w:type="page"/>
            </w:r>
            <w:bookmarkStart w:id="142" w:name="_II.3.8.9_Inventory_and"/>
            <w:bookmarkStart w:id="143" w:name="_Ref8063298"/>
            <w:bookmarkEnd w:id="142"/>
            <w:r w:rsidR="00D76D4F" w:rsidRPr="005B5418">
              <w:rPr>
                <w:b/>
                <w:u w:val="none"/>
              </w:rPr>
              <w:t>II.3.8.9 Inventory and Related Property</w:t>
            </w:r>
            <w:bookmarkStart w:id="144" w:name="_Toc72727018"/>
            <w:bookmarkStart w:id="145" w:name="_Toc72727527"/>
            <w:r w:rsidR="00D76D4F" w:rsidRPr="005B5418">
              <w:rPr>
                <w:b/>
                <w:u w:val="none"/>
              </w:rPr>
              <w:t>, Net</w:t>
            </w:r>
            <w:bookmarkEnd w:id="143"/>
            <w:r w:rsidR="00D76D4F" w:rsidRPr="005B5418">
              <w:rPr>
                <w:b/>
                <w:u w:val="none"/>
              </w:rPr>
              <w:t xml:space="preserve"> </w:t>
            </w:r>
            <w:bookmarkEnd w:id="144"/>
            <w:bookmarkEnd w:id="145"/>
          </w:p>
        </w:tc>
        <w:tc>
          <w:tcPr>
            <w:tcW w:w="965" w:type="dxa"/>
          </w:tcPr>
          <w:p w14:paraId="6CFF7C30" w14:textId="77777777" w:rsidR="00D76D4F" w:rsidRPr="005B5418" w:rsidRDefault="00D76D4F" w:rsidP="003C2B38">
            <w:pPr>
              <w:pStyle w:val="TableCellCenter"/>
              <w:jc w:val="left"/>
            </w:pPr>
            <w:r w:rsidRPr="005B5418">
              <w:t>Yes, No, or N/A</w:t>
            </w:r>
          </w:p>
        </w:tc>
        <w:tc>
          <w:tcPr>
            <w:tcW w:w="3212" w:type="dxa"/>
            <w:gridSpan w:val="2"/>
          </w:tcPr>
          <w:p w14:paraId="204C2331" w14:textId="0C9AD13E" w:rsidR="00D76D4F" w:rsidRPr="005B5418" w:rsidRDefault="00D76D4F" w:rsidP="00C53A80">
            <w:pPr>
              <w:pStyle w:val="TableCellCenter"/>
              <w:jc w:val="left"/>
            </w:pPr>
            <w:r w:rsidRPr="005B5418">
              <w:t xml:space="preserve">Explanation </w:t>
            </w:r>
            <w:r w:rsidR="00C53A80" w:rsidRPr="005B5418">
              <w:t xml:space="preserve">and </w:t>
            </w:r>
            <w:r w:rsidRPr="005B5418">
              <w:t>Reference</w:t>
            </w:r>
          </w:p>
        </w:tc>
      </w:tr>
      <w:tr w:rsidR="00BA0E27" w:rsidRPr="005B5418" w:rsidDel="0026435A" w14:paraId="62616E07" w14:textId="77777777" w:rsidTr="008848DA">
        <w:tc>
          <w:tcPr>
            <w:tcW w:w="9581" w:type="dxa"/>
            <w:gridSpan w:val="4"/>
          </w:tcPr>
          <w:p w14:paraId="1D7CC2FB" w14:textId="77777777" w:rsidR="00BA0E27" w:rsidRPr="005B5418" w:rsidRDefault="00BA0E27" w:rsidP="00BA0E27">
            <w:pPr>
              <w:autoSpaceDE w:val="0"/>
              <w:autoSpaceDN w:val="0"/>
              <w:spacing w:line="240" w:lineRule="auto"/>
              <w:ind w:left="-23"/>
              <w:rPr>
                <w:rFonts w:ascii="Arial" w:eastAsia="Arial Unicode MS" w:hAnsi="Arial" w:cs="Arial"/>
              </w:rPr>
            </w:pPr>
            <w:r w:rsidRPr="005B5418">
              <w:rPr>
                <w:rFonts w:ascii="Arial" w:eastAsia="Arial Unicode MS" w:hAnsi="Arial" w:cs="Arial"/>
              </w:rPr>
              <w:t>The Inventory and Related Property, Net topic is subdivided into the following six subtopics:</w:t>
            </w:r>
          </w:p>
          <w:p w14:paraId="0966294E" w14:textId="6E70A1AA" w:rsidR="00173044" w:rsidRPr="005425ED" w:rsidRDefault="00173044" w:rsidP="00825C76">
            <w:pPr>
              <w:pStyle w:val="ListParagraph"/>
              <w:numPr>
                <w:ilvl w:val="0"/>
                <w:numId w:val="70"/>
              </w:numPr>
              <w:autoSpaceDE w:val="0"/>
              <w:autoSpaceDN w:val="0"/>
              <w:spacing w:line="240" w:lineRule="auto"/>
              <w:rPr>
                <w:rFonts w:eastAsia="Arial Unicode MS" w:cs="Arial"/>
              </w:rPr>
            </w:pPr>
            <w:r w:rsidRPr="005B5418">
              <w:rPr>
                <w:rFonts w:eastAsia="Arial Unicode MS" w:cs="Arial"/>
              </w:rPr>
              <w:t xml:space="preserve">Inventory and Related Property, Net </w:t>
            </w:r>
            <w:r w:rsidR="00DE0E56">
              <w:rPr>
                <w:rFonts w:eastAsia="Arial Unicode MS" w:cs="Arial"/>
              </w:rPr>
              <w:t>(</w:t>
            </w:r>
            <w:r w:rsidRPr="005B5418">
              <w:rPr>
                <w:rFonts w:eastAsia="Arial Unicode MS" w:cs="Arial"/>
              </w:rPr>
              <w:t>Significant Entities Only</w:t>
            </w:r>
            <w:r w:rsidR="00DE0E56">
              <w:rPr>
                <w:rFonts w:eastAsia="Arial Unicode MS" w:cs="Arial"/>
              </w:rPr>
              <w:t>)</w:t>
            </w:r>
          </w:p>
          <w:p w14:paraId="5650CC02" w14:textId="375D17C8" w:rsidR="00BA0E27" w:rsidRPr="005B5418" w:rsidRDefault="00BA0E27" w:rsidP="00825C76">
            <w:pPr>
              <w:pStyle w:val="ListParagraph"/>
              <w:numPr>
                <w:ilvl w:val="0"/>
                <w:numId w:val="70"/>
              </w:numPr>
              <w:autoSpaceDE w:val="0"/>
              <w:autoSpaceDN w:val="0"/>
              <w:spacing w:line="240" w:lineRule="auto"/>
              <w:rPr>
                <w:rFonts w:eastAsia="Arial Unicode MS" w:cs="Arial"/>
              </w:rPr>
            </w:pPr>
            <w:r w:rsidRPr="005B5418">
              <w:rPr>
                <w:rFonts w:eastAsia="Arial Unicode MS" w:cs="Arial"/>
                <w:sz w:val="22"/>
                <w:szCs w:val="22"/>
              </w:rPr>
              <w:t>Inventory</w:t>
            </w:r>
          </w:p>
          <w:p w14:paraId="74AF44BC" w14:textId="77777777" w:rsidR="00BA0E27" w:rsidRPr="005B5418" w:rsidRDefault="00BA0E27" w:rsidP="00825C76">
            <w:pPr>
              <w:pStyle w:val="ListParagraph"/>
              <w:numPr>
                <w:ilvl w:val="0"/>
                <w:numId w:val="70"/>
              </w:numPr>
              <w:autoSpaceDE w:val="0"/>
              <w:autoSpaceDN w:val="0"/>
              <w:spacing w:line="240" w:lineRule="auto"/>
              <w:rPr>
                <w:rFonts w:eastAsia="Arial Unicode MS" w:cs="Arial"/>
              </w:rPr>
            </w:pPr>
            <w:r w:rsidRPr="005B5418">
              <w:rPr>
                <w:rFonts w:eastAsia="Arial Unicode MS" w:cs="Arial"/>
                <w:sz w:val="22"/>
                <w:szCs w:val="22"/>
              </w:rPr>
              <w:t>Operating Materials and Supplies</w:t>
            </w:r>
          </w:p>
          <w:p w14:paraId="02ECE29A" w14:textId="77777777" w:rsidR="00BA0E27" w:rsidRPr="005B5418" w:rsidRDefault="00BA0E27" w:rsidP="00825C76">
            <w:pPr>
              <w:pStyle w:val="ListParagraph"/>
              <w:numPr>
                <w:ilvl w:val="0"/>
                <w:numId w:val="70"/>
              </w:numPr>
              <w:autoSpaceDE w:val="0"/>
              <w:autoSpaceDN w:val="0"/>
              <w:spacing w:line="240" w:lineRule="auto"/>
              <w:rPr>
                <w:rFonts w:eastAsia="Arial Unicode MS" w:cs="Arial"/>
              </w:rPr>
            </w:pPr>
            <w:r w:rsidRPr="005B5418">
              <w:rPr>
                <w:rFonts w:eastAsia="Arial Unicode MS" w:cs="Arial"/>
                <w:sz w:val="22"/>
                <w:szCs w:val="22"/>
              </w:rPr>
              <w:t>Stockpile Materials</w:t>
            </w:r>
          </w:p>
          <w:p w14:paraId="54BDDCA0" w14:textId="529F48FA" w:rsidR="00BA0E27" w:rsidRPr="005B5418" w:rsidRDefault="00BA0E27" w:rsidP="00825C76">
            <w:pPr>
              <w:pStyle w:val="ListParagraph"/>
              <w:numPr>
                <w:ilvl w:val="0"/>
                <w:numId w:val="70"/>
              </w:numPr>
              <w:autoSpaceDE w:val="0"/>
              <w:autoSpaceDN w:val="0"/>
              <w:spacing w:line="240" w:lineRule="auto"/>
              <w:rPr>
                <w:rFonts w:eastAsia="Arial Unicode MS" w:cs="Arial"/>
              </w:rPr>
            </w:pPr>
            <w:r w:rsidRPr="005B5418">
              <w:rPr>
                <w:rFonts w:eastAsia="Arial Unicode MS" w:cs="Arial"/>
                <w:sz w:val="22"/>
                <w:szCs w:val="22"/>
              </w:rPr>
              <w:t>Seized Property</w:t>
            </w:r>
            <w:r w:rsidR="00436193" w:rsidRPr="005B5418">
              <w:rPr>
                <w:rFonts w:eastAsia="Arial Unicode MS" w:cs="Arial"/>
                <w:sz w:val="22"/>
                <w:szCs w:val="22"/>
              </w:rPr>
              <w:t xml:space="preserve">, </w:t>
            </w:r>
            <w:r w:rsidR="001C3F36">
              <w:rPr>
                <w:rFonts w:eastAsia="Arial Unicode MS" w:cs="Arial"/>
                <w:sz w:val="22"/>
                <w:szCs w:val="22"/>
              </w:rPr>
              <w:t>I</w:t>
            </w:r>
            <w:r w:rsidR="001C3F36" w:rsidRPr="005B5418">
              <w:rPr>
                <w:rFonts w:eastAsia="Arial Unicode MS" w:cs="Arial"/>
                <w:sz w:val="22"/>
                <w:szCs w:val="22"/>
              </w:rPr>
              <w:t xml:space="preserve">ncluding </w:t>
            </w:r>
            <w:r w:rsidR="001C3F36">
              <w:rPr>
                <w:rFonts w:eastAsia="Arial Unicode MS" w:cs="Arial"/>
                <w:sz w:val="22"/>
                <w:szCs w:val="22"/>
              </w:rPr>
              <w:t>D</w:t>
            </w:r>
            <w:r w:rsidR="001C3F36" w:rsidRPr="005B5418">
              <w:rPr>
                <w:rFonts w:eastAsia="Arial Unicode MS" w:cs="Arial"/>
                <w:sz w:val="22"/>
                <w:szCs w:val="22"/>
              </w:rPr>
              <w:t xml:space="preserve">igital </w:t>
            </w:r>
            <w:r w:rsidR="001C3F36">
              <w:rPr>
                <w:rFonts w:eastAsia="Arial Unicode MS" w:cs="Arial"/>
                <w:sz w:val="22"/>
                <w:szCs w:val="22"/>
              </w:rPr>
              <w:t>A</w:t>
            </w:r>
            <w:r w:rsidR="001C3F36" w:rsidRPr="005B5418">
              <w:rPr>
                <w:rFonts w:eastAsia="Arial Unicode MS" w:cs="Arial"/>
                <w:sz w:val="22"/>
                <w:szCs w:val="22"/>
              </w:rPr>
              <w:t>ssets</w:t>
            </w:r>
          </w:p>
          <w:p w14:paraId="12C5C630" w14:textId="385C0FBD" w:rsidR="00BA0E27" w:rsidRPr="005B5418" w:rsidRDefault="00BA0E27" w:rsidP="00825C76">
            <w:pPr>
              <w:pStyle w:val="ListParagraph"/>
              <w:numPr>
                <w:ilvl w:val="0"/>
                <w:numId w:val="70"/>
              </w:numPr>
              <w:autoSpaceDE w:val="0"/>
              <w:autoSpaceDN w:val="0"/>
              <w:spacing w:line="240" w:lineRule="auto"/>
              <w:rPr>
                <w:rFonts w:cs="Arial"/>
                <w:b/>
                <w:color w:val="auto"/>
              </w:rPr>
            </w:pPr>
            <w:r w:rsidRPr="005B5418">
              <w:rPr>
                <w:rFonts w:eastAsia="Arial Unicode MS" w:cs="Arial"/>
                <w:sz w:val="22"/>
                <w:szCs w:val="22"/>
              </w:rPr>
              <w:t>Forfeited Property</w:t>
            </w:r>
            <w:r w:rsidR="00436193" w:rsidRPr="005B5418">
              <w:rPr>
                <w:rFonts w:eastAsia="Arial Unicode MS" w:cs="Arial"/>
                <w:sz w:val="22"/>
                <w:szCs w:val="22"/>
              </w:rPr>
              <w:t xml:space="preserve">, </w:t>
            </w:r>
            <w:r w:rsidR="001C3F36">
              <w:rPr>
                <w:rFonts w:eastAsia="Arial Unicode MS" w:cs="Arial"/>
                <w:sz w:val="22"/>
                <w:szCs w:val="22"/>
              </w:rPr>
              <w:t>I</w:t>
            </w:r>
            <w:r w:rsidR="001C3F36" w:rsidRPr="005B5418">
              <w:rPr>
                <w:rFonts w:eastAsia="Arial Unicode MS" w:cs="Arial"/>
                <w:sz w:val="22"/>
                <w:szCs w:val="22"/>
              </w:rPr>
              <w:t xml:space="preserve">ncluding </w:t>
            </w:r>
            <w:r w:rsidR="001C3F36">
              <w:rPr>
                <w:rFonts w:eastAsia="Arial Unicode MS" w:cs="Arial"/>
                <w:sz w:val="22"/>
                <w:szCs w:val="22"/>
              </w:rPr>
              <w:t>D</w:t>
            </w:r>
            <w:r w:rsidR="001C3F36" w:rsidRPr="005B5418">
              <w:rPr>
                <w:rFonts w:eastAsia="Arial Unicode MS" w:cs="Arial"/>
                <w:sz w:val="22"/>
                <w:szCs w:val="22"/>
              </w:rPr>
              <w:t xml:space="preserve">igital </w:t>
            </w:r>
            <w:r w:rsidR="001C3F36">
              <w:rPr>
                <w:rFonts w:eastAsia="Arial Unicode MS" w:cs="Arial"/>
                <w:sz w:val="22"/>
                <w:szCs w:val="22"/>
              </w:rPr>
              <w:t>A</w:t>
            </w:r>
            <w:r w:rsidR="001C3F36" w:rsidRPr="005B5418">
              <w:rPr>
                <w:rFonts w:eastAsia="Arial Unicode MS" w:cs="Arial"/>
                <w:sz w:val="22"/>
                <w:szCs w:val="22"/>
              </w:rPr>
              <w:t>ssets</w:t>
            </w:r>
          </w:p>
          <w:p w14:paraId="035D7F38" w14:textId="3AAF5752" w:rsidR="00BA0E27" w:rsidRPr="005B5418" w:rsidRDefault="001C3F36" w:rsidP="00825C76">
            <w:pPr>
              <w:pStyle w:val="ListParagraph"/>
              <w:numPr>
                <w:ilvl w:val="0"/>
                <w:numId w:val="70"/>
              </w:numPr>
              <w:autoSpaceDE w:val="0"/>
              <w:autoSpaceDN w:val="0"/>
              <w:spacing w:line="240" w:lineRule="auto"/>
              <w:rPr>
                <w:rFonts w:cs="Arial"/>
                <w:b/>
                <w:color w:val="auto"/>
              </w:rPr>
            </w:pPr>
            <w:r>
              <w:rPr>
                <w:rFonts w:eastAsia="Arial Unicode MS" w:cs="Arial"/>
                <w:sz w:val="22"/>
                <w:szCs w:val="22"/>
              </w:rPr>
              <w:t xml:space="preserve">Goods Held Under </w:t>
            </w:r>
            <w:r w:rsidR="00BA0E27" w:rsidRPr="005B5418">
              <w:rPr>
                <w:rFonts w:eastAsia="Arial Unicode MS" w:cs="Arial"/>
                <w:sz w:val="22"/>
                <w:szCs w:val="22"/>
              </w:rPr>
              <w:t>Price Support and Stabilization Programs</w:t>
            </w:r>
          </w:p>
          <w:p w14:paraId="4850E4AC" w14:textId="77777777" w:rsidR="00C06077" w:rsidRPr="005B5418" w:rsidDel="0026435A" w:rsidRDefault="00C06077" w:rsidP="005425ED">
            <w:pPr>
              <w:pStyle w:val="ListParagraph"/>
              <w:autoSpaceDE w:val="0"/>
              <w:autoSpaceDN w:val="0"/>
              <w:spacing w:line="240" w:lineRule="auto"/>
              <w:ind w:left="1080"/>
              <w:rPr>
                <w:rFonts w:cs="Arial"/>
                <w:b/>
                <w:color w:val="auto"/>
              </w:rPr>
            </w:pPr>
          </w:p>
        </w:tc>
      </w:tr>
      <w:tr w:rsidR="00173044" w:rsidRPr="005B5418" w:rsidDel="0026435A" w14:paraId="54D96C6A" w14:textId="77777777" w:rsidTr="008848DA">
        <w:tc>
          <w:tcPr>
            <w:tcW w:w="9581" w:type="dxa"/>
            <w:gridSpan w:val="4"/>
          </w:tcPr>
          <w:p w14:paraId="0292379C" w14:textId="03733907" w:rsidR="00173044" w:rsidRPr="005425ED" w:rsidRDefault="00173044" w:rsidP="005425ED">
            <w:pPr>
              <w:pStyle w:val="Heading5"/>
              <w:spacing w:line="240" w:lineRule="auto"/>
              <w:jc w:val="center"/>
              <w:rPr>
                <w:rFonts w:cs="Arial"/>
                <w:b/>
                <w:color w:val="auto"/>
              </w:rPr>
            </w:pPr>
            <w:r w:rsidRPr="005425ED">
              <w:rPr>
                <w:rFonts w:ascii="Arial" w:hAnsi="Arial" w:cs="Arial"/>
                <w:b/>
                <w:color w:val="auto"/>
              </w:rPr>
              <w:t xml:space="preserve">Inventory and Related Property, Net </w:t>
            </w:r>
            <w:r w:rsidR="00DE0E56">
              <w:rPr>
                <w:rFonts w:ascii="Arial" w:hAnsi="Arial" w:cs="Arial"/>
                <w:b/>
                <w:color w:val="auto"/>
              </w:rPr>
              <w:t>(</w:t>
            </w:r>
            <w:r w:rsidRPr="005425ED">
              <w:rPr>
                <w:rFonts w:ascii="Arial" w:hAnsi="Arial" w:cs="Arial"/>
                <w:b/>
                <w:color w:val="auto"/>
              </w:rPr>
              <w:t>Significant Entities Only</w:t>
            </w:r>
            <w:r w:rsidR="00DE0E56">
              <w:rPr>
                <w:rFonts w:ascii="Arial" w:hAnsi="Arial" w:cs="Arial"/>
                <w:b/>
                <w:color w:val="auto"/>
              </w:rPr>
              <w:t>)</w:t>
            </w:r>
          </w:p>
          <w:p w14:paraId="3BAC1CCB" w14:textId="77777777" w:rsidR="00173044" w:rsidRPr="005B5418" w:rsidDel="0026435A" w:rsidRDefault="00173044" w:rsidP="00BA0E27">
            <w:pPr>
              <w:pStyle w:val="Heading5"/>
              <w:spacing w:line="240" w:lineRule="auto"/>
              <w:jc w:val="center"/>
              <w:rPr>
                <w:rFonts w:ascii="Arial" w:hAnsi="Arial" w:cs="Arial"/>
                <w:b/>
                <w:color w:val="auto"/>
              </w:rPr>
            </w:pPr>
          </w:p>
        </w:tc>
      </w:tr>
      <w:tr w:rsidR="00173044" w:rsidRPr="005B5418" w:rsidDel="0026435A" w14:paraId="58175B6D" w14:textId="77777777" w:rsidTr="005425ED">
        <w:tc>
          <w:tcPr>
            <w:tcW w:w="5404" w:type="dxa"/>
          </w:tcPr>
          <w:p w14:paraId="119F07E9" w14:textId="590DDEDD" w:rsidR="00173044" w:rsidRPr="005B5418" w:rsidDel="0026435A" w:rsidRDefault="00173044" w:rsidP="005425ED">
            <w:pPr>
              <w:pStyle w:val="FAM-Table-outline"/>
              <w:numPr>
                <w:ilvl w:val="0"/>
                <w:numId w:val="689"/>
              </w:numPr>
              <w:rPr>
                <w:rFonts w:cs="Arial"/>
                <w:b/>
                <w:color w:val="auto"/>
              </w:rPr>
            </w:pPr>
            <w:r w:rsidRPr="005425ED">
              <w:rPr>
                <w:rFonts w:eastAsia="Arial Unicode MS"/>
              </w:rPr>
              <w:t xml:space="preserve">For </w:t>
            </w:r>
            <w:r w:rsidR="00280C55" w:rsidRPr="005425ED">
              <w:rPr>
                <w:rFonts w:eastAsia="Arial Unicode MS"/>
                <w:b/>
                <w:bCs/>
              </w:rPr>
              <w:t>s</w:t>
            </w:r>
            <w:r w:rsidRPr="005425ED">
              <w:rPr>
                <w:rFonts w:eastAsia="Arial Unicode MS"/>
                <w:b/>
                <w:bCs/>
              </w:rPr>
              <w:t xml:space="preserve">ignificant </w:t>
            </w:r>
            <w:r w:rsidR="00280C55" w:rsidRPr="005425ED">
              <w:rPr>
                <w:rFonts w:eastAsia="Arial Unicode MS"/>
                <w:b/>
                <w:bCs/>
              </w:rPr>
              <w:t>e</w:t>
            </w:r>
            <w:r w:rsidRPr="005425ED">
              <w:rPr>
                <w:rFonts w:eastAsia="Arial Unicode MS"/>
                <w:b/>
                <w:bCs/>
              </w:rPr>
              <w:t xml:space="preserve">ntities </w:t>
            </w:r>
            <w:r w:rsidR="00280C55" w:rsidRPr="005425ED">
              <w:rPr>
                <w:rFonts w:eastAsia="Arial Unicode MS"/>
                <w:b/>
                <w:bCs/>
              </w:rPr>
              <w:t>o</w:t>
            </w:r>
            <w:r w:rsidRPr="005425ED">
              <w:rPr>
                <w:rFonts w:eastAsia="Arial Unicode MS"/>
                <w:b/>
                <w:bCs/>
              </w:rPr>
              <w:t>nly</w:t>
            </w:r>
            <w:r w:rsidR="00196DE3">
              <w:rPr>
                <w:rFonts w:eastAsia="Arial Unicode MS"/>
                <w:b/>
                <w:bCs/>
              </w:rPr>
              <w:t>:</w:t>
            </w:r>
            <w:r w:rsidRPr="005425ED">
              <w:rPr>
                <w:rFonts w:eastAsia="Arial Unicode MS"/>
              </w:rPr>
              <w:t xml:space="preserve"> </w:t>
            </w:r>
            <w:r w:rsidR="006F3B9C">
              <w:rPr>
                <w:rFonts w:eastAsia="Arial Unicode MS"/>
              </w:rPr>
              <w:t>D</w:t>
            </w:r>
            <w:r w:rsidRPr="005425ED">
              <w:rPr>
                <w:rFonts w:eastAsia="Arial Unicode MS"/>
              </w:rPr>
              <w:t>oes the entity either include the illustrative Inventory and Related Property, Net table in A-136, section II.3.8.9</w:t>
            </w:r>
            <w:r w:rsidR="00DD79FD">
              <w:rPr>
                <w:rFonts w:eastAsia="Arial Unicode MS"/>
              </w:rPr>
              <w:t>,</w:t>
            </w:r>
            <w:r w:rsidRPr="005425ED">
              <w:rPr>
                <w:rFonts w:eastAsia="Arial Unicode MS"/>
              </w:rPr>
              <w:t xml:space="preserve"> or disclose the asterisked items in the note narrative? (A-136, section II.3.8.9)</w:t>
            </w:r>
          </w:p>
        </w:tc>
        <w:tc>
          <w:tcPr>
            <w:tcW w:w="984" w:type="dxa"/>
            <w:gridSpan w:val="2"/>
          </w:tcPr>
          <w:p w14:paraId="1CFF3A5B" w14:textId="77777777" w:rsidR="00173044" w:rsidRPr="005B5418" w:rsidDel="0026435A" w:rsidRDefault="00173044" w:rsidP="00BA0E27">
            <w:pPr>
              <w:pStyle w:val="Heading5"/>
              <w:spacing w:line="240" w:lineRule="auto"/>
              <w:jc w:val="center"/>
              <w:rPr>
                <w:rFonts w:ascii="Arial" w:hAnsi="Arial" w:cs="Arial"/>
                <w:b/>
                <w:color w:val="auto"/>
              </w:rPr>
            </w:pPr>
          </w:p>
        </w:tc>
        <w:tc>
          <w:tcPr>
            <w:tcW w:w="3193" w:type="dxa"/>
          </w:tcPr>
          <w:p w14:paraId="6900A06D" w14:textId="3C25CFBB" w:rsidR="00173044" w:rsidRPr="005B5418" w:rsidDel="0026435A" w:rsidRDefault="00173044" w:rsidP="00BA0E27">
            <w:pPr>
              <w:pStyle w:val="Heading5"/>
              <w:spacing w:line="240" w:lineRule="auto"/>
              <w:jc w:val="center"/>
              <w:rPr>
                <w:rFonts w:ascii="Arial" w:hAnsi="Arial" w:cs="Arial"/>
                <w:b/>
                <w:color w:val="auto"/>
              </w:rPr>
            </w:pPr>
          </w:p>
        </w:tc>
      </w:tr>
      <w:tr w:rsidR="00BA0E27" w:rsidRPr="005B5418" w:rsidDel="0026435A" w14:paraId="410C6A3A" w14:textId="77777777" w:rsidTr="008848DA">
        <w:tc>
          <w:tcPr>
            <w:tcW w:w="9581" w:type="dxa"/>
            <w:gridSpan w:val="4"/>
          </w:tcPr>
          <w:p w14:paraId="4EC6F0B0" w14:textId="322ABA86" w:rsidR="00BA0E27" w:rsidRPr="005B5418" w:rsidDel="0026435A" w:rsidRDefault="00BA0E27" w:rsidP="00BA0E27">
            <w:pPr>
              <w:pStyle w:val="Heading5"/>
              <w:spacing w:line="240" w:lineRule="auto"/>
              <w:jc w:val="center"/>
              <w:rPr>
                <w:rFonts w:ascii="Arial" w:hAnsi="Arial" w:cs="Arial"/>
                <w:b/>
              </w:rPr>
            </w:pPr>
            <w:bookmarkStart w:id="146" w:name="_Ref392094264"/>
            <w:bookmarkStart w:id="147" w:name="_Toc394667894"/>
            <w:bookmarkStart w:id="148" w:name="_Ref390347453"/>
            <w:r w:rsidRPr="005B5418" w:rsidDel="0026435A">
              <w:rPr>
                <w:rFonts w:ascii="Arial" w:hAnsi="Arial" w:cs="Arial"/>
                <w:b/>
                <w:color w:val="auto"/>
              </w:rPr>
              <w:t>Inventory</w:t>
            </w:r>
            <w:bookmarkEnd w:id="146"/>
            <w:bookmarkEnd w:id="147"/>
            <w:bookmarkEnd w:id="148"/>
          </w:p>
        </w:tc>
      </w:tr>
      <w:tr w:rsidR="00BA0E27" w:rsidRPr="005B5418" w:rsidDel="000B7F3A" w14:paraId="262AC787" w14:textId="77777777" w:rsidTr="008848DA">
        <w:tc>
          <w:tcPr>
            <w:tcW w:w="9581" w:type="dxa"/>
            <w:gridSpan w:val="4"/>
          </w:tcPr>
          <w:p w14:paraId="14540831" w14:textId="3835EA46" w:rsidR="00BA0E27" w:rsidRPr="005B5418" w:rsidRDefault="00BA0E27" w:rsidP="00062302">
            <w:pPr>
              <w:autoSpaceDE w:val="0"/>
              <w:autoSpaceDN w:val="0"/>
              <w:spacing w:before="60" w:after="60" w:line="240" w:lineRule="auto"/>
              <w:rPr>
                <w:rFonts w:ascii="Arial" w:eastAsia="Arial Unicode MS" w:hAnsi="Arial" w:cs="Arial"/>
              </w:rPr>
            </w:pPr>
            <w:r w:rsidRPr="005B5418">
              <w:rPr>
                <w:rFonts w:ascii="Arial" w:eastAsia="Arial Unicode MS" w:hAnsi="Arial" w:cs="Arial"/>
              </w:rPr>
              <w:t>Inventory is tangible personal property that is (1) held for sale</w:t>
            </w:r>
            <w:r w:rsidR="00DA5605" w:rsidRPr="005B5418">
              <w:rPr>
                <w:rFonts w:ascii="Arial" w:eastAsia="Arial Unicode MS" w:hAnsi="Arial" w:cs="Arial"/>
              </w:rPr>
              <w:t>,</w:t>
            </w:r>
            <w:r w:rsidRPr="005B5418">
              <w:rPr>
                <w:rFonts w:ascii="Arial" w:eastAsia="Arial Unicode MS" w:hAnsi="Arial" w:cs="Arial"/>
              </w:rPr>
              <w:t xml:space="preserve"> including raw materials and work in process</w:t>
            </w:r>
            <w:r w:rsidR="00DA5605" w:rsidRPr="005B5418">
              <w:rPr>
                <w:rFonts w:ascii="Arial" w:eastAsia="Arial Unicode MS" w:hAnsi="Arial" w:cs="Arial"/>
              </w:rPr>
              <w:t>;</w:t>
            </w:r>
            <w:r w:rsidRPr="005B5418">
              <w:rPr>
                <w:rFonts w:ascii="Arial" w:eastAsia="Arial Unicode MS" w:hAnsi="Arial" w:cs="Arial"/>
              </w:rPr>
              <w:t xml:space="preserve"> (2) in process of production for sale</w:t>
            </w:r>
            <w:r w:rsidR="00DA5605" w:rsidRPr="005B5418">
              <w:rPr>
                <w:rFonts w:ascii="Arial" w:eastAsia="Arial Unicode MS" w:hAnsi="Arial" w:cs="Arial"/>
              </w:rPr>
              <w:t>;</w:t>
            </w:r>
            <w:r w:rsidRPr="005B5418">
              <w:rPr>
                <w:rFonts w:ascii="Arial" w:eastAsia="Arial Unicode MS" w:hAnsi="Arial" w:cs="Arial"/>
              </w:rPr>
              <w:t xml:space="preserve"> or (3) to be consumed in the production of goods for sale or in the provision of services for a fee. Inventory does not include other assets held for sale</w:t>
            </w:r>
            <w:r w:rsidR="00DA5605" w:rsidRPr="005B5418">
              <w:rPr>
                <w:rFonts w:ascii="Arial" w:eastAsia="Arial Unicode MS" w:hAnsi="Arial" w:cs="Arial"/>
              </w:rPr>
              <w:t>,</w:t>
            </w:r>
            <w:r w:rsidRPr="005B5418">
              <w:rPr>
                <w:rFonts w:ascii="Arial" w:eastAsia="Arial Unicode MS" w:hAnsi="Arial" w:cs="Arial"/>
              </w:rPr>
              <w:t xml:space="preserve"> such as (1) stockpile materials, (2) seized and forfeited property, (3) foreclosed property, and (4) goods held under price support and stabilization programs. (SFFAS 3, par</w:t>
            </w:r>
            <w:r w:rsidR="00DA5605" w:rsidRPr="005B5418">
              <w:rPr>
                <w:rFonts w:ascii="Arial" w:eastAsia="Arial Unicode MS" w:hAnsi="Arial" w:cs="Arial"/>
              </w:rPr>
              <w:t>as</w:t>
            </w:r>
            <w:r w:rsidRPr="005B5418">
              <w:rPr>
                <w:rFonts w:ascii="Arial" w:eastAsia="Arial Unicode MS" w:hAnsi="Arial" w:cs="Arial"/>
              </w:rPr>
              <w:t xml:space="preserve">. 1 and 17) </w:t>
            </w:r>
          </w:p>
          <w:p w14:paraId="76CB0076" w14:textId="79C06E1F" w:rsidR="00BA0E27" w:rsidRPr="005B5418" w:rsidRDefault="00BA0E27" w:rsidP="00062302">
            <w:pPr>
              <w:pStyle w:val="Table-Note"/>
              <w:spacing w:before="60" w:after="60" w:line="240" w:lineRule="auto"/>
              <w:ind w:left="0"/>
              <w:jc w:val="left"/>
              <w:rPr>
                <w:rFonts w:cs="Arial"/>
                <w:i w:val="0"/>
              </w:rPr>
            </w:pPr>
            <w:r w:rsidRPr="005B5418">
              <w:rPr>
                <w:rFonts w:cs="Arial"/>
                <w:i w:val="0"/>
                <w:sz w:val="22"/>
                <w:szCs w:val="22"/>
              </w:rPr>
              <w:t xml:space="preserve">FASAB issued </w:t>
            </w:r>
            <w:r w:rsidRPr="005B5418">
              <w:rPr>
                <w:rFonts w:cs="Arial"/>
                <w:sz w:val="22"/>
                <w:szCs w:val="22"/>
              </w:rPr>
              <w:t xml:space="preserve">Opening Balances </w:t>
            </w:r>
            <w:r w:rsidR="006163FF" w:rsidRPr="005B5418">
              <w:rPr>
                <w:rFonts w:cs="Arial"/>
                <w:sz w:val="22"/>
                <w:szCs w:val="22"/>
              </w:rPr>
              <w:t>f</w:t>
            </w:r>
            <w:r w:rsidRPr="005B5418">
              <w:rPr>
                <w:rFonts w:cs="Arial"/>
                <w:sz w:val="22"/>
                <w:szCs w:val="22"/>
              </w:rPr>
              <w:t xml:space="preserve">or Inventory, Operating Materials </w:t>
            </w:r>
            <w:r w:rsidR="006163FF" w:rsidRPr="005B5418">
              <w:rPr>
                <w:rFonts w:cs="Arial"/>
                <w:sz w:val="22"/>
                <w:szCs w:val="22"/>
              </w:rPr>
              <w:t>a</w:t>
            </w:r>
            <w:r w:rsidRPr="005B5418">
              <w:rPr>
                <w:rFonts w:cs="Arial"/>
                <w:sz w:val="22"/>
                <w:szCs w:val="22"/>
              </w:rPr>
              <w:t xml:space="preserve">nd Supplies, </w:t>
            </w:r>
            <w:r w:rsidR="006163FF" w:rsidRPr="005B5418">
              <w:rPr>
                <w:rFonts w:cs="Arial"/>
                <w:sz w:val="22"/>
                <w:szCs w:val="22"/>
              </w:rPr>
              <w:t>a</w:t>
            </w:r>
            <w:r w:rsidRPr="005B5418">
              <w:rPr>
                <w:rFonts w:cs="Arial"/>
                <w:sz w:val="22"/>
                <w:szCs w:val="22"/>
              </w:rPr>
              <w:t>nd Stockpile Materials</w:t>
            </w:r>
            <w:r w:rsidRPr="005B5418">
              <w:rPr>
                <w:rFonts w:cs="Arial"/>
                <w:i w:val="0"/>
                <w:sz w:val="22"/>
                <w:szCs w:val="22"/>
              </w:rPr>
              <w:t xml:space="preserve"> (SFFAS 48</w:t>
            </w:r>
            <w:r w:rsidR="0081779A" w:rsidRPr="005B5418">
              <w:rPr>
                <w:rFonts w:cs="Arial"/>
                <w:i w:val="0"/>
                <w:sz w:val="22"/>
                <w:szCs w:val="22"/>
              </w:rPr>
              <w:t>, which amended SFFAS 3</w:t>
            </w:r>
            <w:r w:rsidRPr="005B5418">
              <w:rPr>
                <w:rFonts w:cs="Arial"/>
                <w:i w:val="0"/>
                <w:sz w:val="22"/>
                <w:szCs w:val="22"/>
              </w:rPr>
              <w:t xml:space="preserve">). SFFAS 48 permits a reporting entity to apply deemed cost in establishing opening balances for inventory, operating materials and supplies, and stockpile materials. </w:t>
            </w:r>
          </w:p>
          <w:p w14:paraId="7258067E" w14:textId="77777777" w:rsidR="003E60D0" w:rsidRPr="005B5418" w:rsidRDefault="00BA0E27" w:rsidP="00062302">
            <w:pPr>
              <w:autoSpaceDE w:val="0"/>
              <w:autoSpaceDN w:val="0"/>
              <w:spacing w:before="60" w:after="60" w:line="240" w:lineRule="auto"/>
              <w:rPr>
                <w:rFonts w:ascii="Arial" w:hAnsi="Arial" w:cs="Arial"/>
              </w:rPr>
            </w:pPr>
            <w:r w:rsidRPr="005B5418">
              <w:rPr>
                <w:rFonts w:ascii="Arial" w:eastAsia="Times New Roman" w:hAnsi="Arial" w:cs="Arial"/>
                <w:color w:val="000000"/>
              </w:rPr>
              <w:t>T</w:t>
            </w:r>
            <w:r w:rsidRPr="005B5418">
              <w:rPr>
                <w:rFonts w:ascii="Arial" w:hAnsi="Arial" w:cs="Arial"/>
              </w:rPr>
              <w:t xml:space="preserve">his method is permitted when presenting financial statements, or one or more line items addressed by this statement, following </w:t>
            </w:r>
            <w:r w:rsidR="00C93E2C" w:rsidRPr="005B5418">
              <w:rPr>
                <w:rFonts w:ascii="Arial" w:hAnsi="Arial" w:cs="Arial"/>
              </w:rPr>
              <w:t xml:space="preserve">FASAB-promulgated </w:t>
            </w:r>
            <w:r w:rsidR="00DA5605" w:rsidRPr="005B5418">
              <w:rPr>
                <w:rFonts w:ascii="Arial" w:hAnsi="Arial" w:cs="Arial"/>
              </w:rPr>
              <w:t xml:space="preserve">U.S. </w:t>
            </w:r>
            <w:r w:rsidRPr="005B5418">
              <w:rPr>
                <w:rFonts w:ascii="Arial" w:hAnsi="Arial" w:cs="Arial"/>
              </w:rPr>
              <w:t>generally accepted accounting principles (GAAP) either (1) for the first</w:t>
            </w:r>
            <w:r w:rsidR="00DA5605" w:rsidRPr="005B5418">
              <w:rPr>
                <w:rFonts w:ascii="Arial" w:hAnsi="Arial" w:cs="Arial"/>
              </w:rPr>
              <w:t xml:space="preserve"> </w:t>
            </w:r>
            <w:r w:rsidRPr="005B5418">
              <w:rPr>
                <w:rFonts w:ascii="Arial" w:hAnsi="Arial" w:cs="Arial"/>
              </w:rPr>
              <w:t xml:space="preserve">time or (2) after a period during which existing systems could not provide the information necessary for producing such GAAP-based financial statements without use of the alternative valuation method. SFFAS 48 is intended to provide an alternative valuation method when historical records and systems do not provide a basis for valuation of opening balances in accordance with SFFAS 3, </w:t>
            </w:r>
            <w:r w:rsidRPr="005B5418">
              <w:rPr>
                <w:rFonts w:ascii="Arial" w:hAnsi="Arial" w:cs="Arial"/>
                <w:i/>
                <w:iCs/>
              </w:rPr>
              <w:t>Accounting for Inventory and Related Property</w:t>
            </w:r>
            <w:r w:rsidRPr="005B5418">
              <w:rPr>
                <w:rFonts w:ascii="Arial" w:hAnsi="Arial" w:cs="Arial"/>
              </w:rPr>
              <w:t xml:space="preserve">. Questions relating to SFFAS 48 are incorporated in this checklist as it relates to </w:t>
            </w:r>
            <w:r w:rsidRPr="005B5418">
              <w:rPr>
                <w:rFonts w:ascii="Arial" w:hAnsi="Arial" w:cs="Arial"/>
                <w:b/>
              </w:rPr>
              <w:t>opening balances</w:t>
            </w:r>
            <w:r w:rsidRPr="005B5418">
              <w:rPr>
                <w:rFonts w:ascii="Arial" w:hAnsi="Arial" w:cs="Arial"/>
              </w:rPr>
              <w:t>.</w:t>
            </w:r>
          </w:p>
          <w:p w14:paraId="64DDA5B4" w14:textId="3CCA0546" w:rsidR="00E41CA2" w:rsidRPr="005B5418" w:rsidDel="000B7F3A" w:rsidRDefault="00E41CA2" w:rsidP="00062302">
            <w:pPr>
              <w:autoSpaceDE w:val="0"/>
              <w:autoSpaceDN w:val="0"/>
              <w:spacing w:before="60" w:after="60" w:line="240" w:lineRule="auto"/>
              <w:rPr>
                <w:rFonts w:ascii="Arial" w:hAnsi="Arial" w:cs="Arial"/>
              </w:rPr>
            </w:pPr>
            <w:r w:rsidRPr="005B5418">
              <w:rPr>
                <w:rFonts w:ascii="Arial" w:hAnsi="Arial" w:cs="Arial"/>
              </w:rPr>
              <w:t xml:space="preserve">See </w:t>
            </w:r>
            <w:r w:rsidR="0054084B" w:rsidRPr="005B5418">
              <w:rPr>
                <w:rFonts w:ascii="Arial" w:hAnsi="Arial" w:cs="Arial"/>
              </w:rPr>
              <w:t>topic</w:t>
            </w:r>
            <w:r w:rsidRPr="005B5418">
              <w:rPr>
                <w:rFonts w:ascii="Arial" w:hAnsi="Arial" w:cs="Arial"/>
              </w:rPr>
              <w:t xml:space="preserve"> II.3.8.8</w:t>
            </w:r>
            <w:r w:rsidR="00DA6818" w:rsidRPr="005B5418">
              <w:rPr>
                <w:rFonts w:ascii="Arial" w:hAnsi="Arial" w:cs="Arial"/>
              </w:rPr>
              <w:t xml:space="preserve">, </w:t>
            </w:r>
            <w:r w:rsidR="0081779A" w:rsidRPr="005B5418">
              <w:rPr>
                <w:rFonts w:ascii="Arial" w:hAnsi="Arial" w:cs="Arial"/>
              </w:rPr>
              <w:t>Loans Receivable, Net and Loan Guarantee Liabilities</w:t>
            </w:r>
            <w:r w:rsidR="00146C26" w:rsidRPr="005B5418">
              <w:rPr>
                <w:rFonts w:ascii="Arial" w:hAnsi="Arial" w:cs="Arial"/>
              </w:rPr>
              <w:t>,</w:t>
            </w:r>
            <w:r w:rsidR="0081779A" w:rsidRPr="005B5418">
              <w:rPr>
                <w:rFonts w:ascii="Arial" w:hAnsi="Arial" w:cs="Arial"/>
              </w:rPr>
              <w:t xml:space="preserve"> </w:t>
            </w:r>
            <w:r w:rsidRPr="005B5418">
              <w:rPr>
                <w:rFonts w:ascii="Arial" w:hAnsi="Arial" w:cs="Arial"/>
              </w:rPr>
              <w:t xml:space="preserve">for questions relating to </w:t>
            </w:r>
            <w:r w:rsidR="00146C26" w:rsidRPr="005B5418">
              <w:rPr>
                <w:rFonts w:ascii="Arial" w:hAnsi="Arial" w:cs="Arial"/>
              </w:rPr>
              <w:t>f</w:t>
            </w:r>
            <w:r w:rsidRPr="005B5418">
              <w:rPr>
                <w:rFonts w:ascii="Arial" w:hAnsi="Arial" w:cs="Arial"/>
              </w:rPr>
              <w:t xml:space="preserve">oreclosed </w:t>
            </w:r>
            <w:r w:rsidR="00146C26" w:rsidRPr="005B5418">
              <w:rPr>
                <w:rFonts w:ascii="Arial" w:hAnsi="Arial" w:cs="Arial"/>
              </w:rPr>
              <w:t>p</w:t>
            </w:r>
            <w:r w:rsidRPr="005B5418">
              <w:rPr>
                <w:rFonts w:ascii="Arial" w:hAnsi="Arial" w:cs="Arial"/>
              </w:rPr>
              <w:t>roperty.</w:t>
            </w:r>
          </w:p>
        </w:tc>
      </w:tr>
      <w:tr w:rsidR="00124999" w:rsidRPr="005B5418" w:rsidDel="000B7F3A" w14:paraId="3FFFF988" w14:textId="77777777" w:rsidTr="005425ED">
        <w:trPr>
          <w:trHeight w:val="1250"/>
        </w:trPr>
        <w:tc>
          <w:tcPr>
            <w:tcW w:w="5404" w:type="dxa"/>
          </w:tcPr>
          <w:p w14:paraId="04BF2E21" w14:textId="29F47BE6" w:rsidR="00124999" w:rsidRPr="005B5418" w:rsidRDefault="00124999" w:rsidP="005425ED">
            <w:pPr>
              <w:pStyle w:val="FAM-Table-outline"/>
              <w:rPr>
                <w:rFonts w:eastAsia="Arial Unicode MS"/>
              </w:rPr>
            </w:pPr>
            <w:r w:rsidRPr="005B5418">
              <w:rPr>
                <w:rFonts w:eastAsia="Arial Unicode MS"/>
              </w:rPr>
              <w:lastRenderedPageBreak/>
              <w:t xml:space="preserve">Are operating materials and supplies expensed upon purchase using the purchase method only when </w:t>
            </w:r>
          </w:p>
          <w:p w14:paraId="35596B6D" w14:textId="77777777" w:rsidR="00124999" w:rsidRPr="005B5418" w:rsidRDefault="00124999"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amounts are not significant and are in the hands of end users for use in normal operations or </w:t>
            </w:r>
          </w:p>
          <w:p w14:paraId="70DFFB9A" w14:textId="30473708" w:rsidR="00195A4D" w:rsidRPr="005B5418" w:rsidRDefault="00124999"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it is not cost beneficial to apply the consumption method of accounting? (SFFAS 3, para. 40)</w:t>
            </w:r>
            <w:r w:rsidR="00195A4D" w:rsidRPr="005B5418">
              <w:rPr>
                <w:rFonts w:eastAsia="Arial Unicode MS" w:cs="Arial"/>
                <w:szCs w:val="22"/>
              </w:rPr>
              <w:t xml:space="preserve"> </w:t>
            </w:r>
          </w:p>
          <w:p w14:paraId="567224D0" w14:textId="7B6C1CD0" w:rsidR="00124999" w:rsidRPr="005B5418" w:rsidRDefault="00195A4D" w:rsidP="00452122">
            <w:pPr>
              <w:pStyle w:val="FAM-Table-outline"/>
              <w:numPr>
                <w:ilvl w:val="0"/>
                <w:numId w:val="0"/>
              </w:numPr>
              <w:spacing w:line="240" w:lineRule="auto"/>
              <w:ind w:left="360"/>
              <w:rPr>
                <w:rFonts w:eastAsia="Arial Unicode MS" w:cs="Arial"/>
                <w:szCs w:val="22"/>
              </w:rPr>
            </w:pPr>
            <w:r w:rsidRPr="005B5418">
              <w:rPr>
                <w:rFonts w:eastAsia="Arial Unicode MS" w:cs="Arial"/>
                <w:szCs w:val="22"/>
              </w:rPr>
              <w:t>(See O</w:t>
            </w:r>
            <w:r w:rsidR="00B50941" w:rsidRPr="005B5418">
              <w:rPr>
                <w:rFonts w:eastAsia="Arial Unicode MS" w:cs="Arial"/>
                <w:szCs w:val="22"/>
              </w:rPr>
              <w:t xml:space="preserve">perating </w:t>
            </w:r>
            <w:r w:rsidRPr="005B5418">
              <w:rPr>
                <w:rFonts w:eastAsia="Arial Unicode MS" w:cs="Arial"/>
                <w:szCs w:val="22"/>
              </w:rPr>
              <w:t>M</w:t>
            </w:r>
            <w:r w:rsidR="00B50941" w:rsidRPr="005B5418">
              <w:rPr>
                <w:rFonts w:eastAsia="Arial Unicode MS" w:cs="Arial"/>
                <w:szCs w:val="22"/>
              </w:rPr>
              <w:t xml:space="preserve">aterials and </w:t>
            </w:r>
            <w:r w:rsidRPr="005B5418">
              <w:rPr>
                <w:rFonts w:eastAsia="Arial Unicode MS" w:cs="Arial"/>
                <w:szCs w:val="22"/>
              </w:rPr>
              <w:t>S</w:t>
            </w:r>
            <w:r w:rsidR="00B50941" w:rsidRPr="005B5418">
              <w:rPr>
                <w:rFonts w:eastAsia="Arial Unicode MS" w:cs="Arial"/>
                <w:szCs w:val="22"/>
              </w:rPr>
              <w:t>upplies</w:t>
            </w:r>
            <w:r w:rsidRPr="005B5418">
              <w:rPr>
                <w:rFonts w:eastAsia="Arial Unicode MS" w:cs="Arial"/>
                <w:szCs w:val="22"/>
              </w:rPr>
              <w:t xml:space="preserve"> section if using </w:t>
            </w:r>
            <w:r w:rsidR="009817B2" w:rsidRPr="005B5418">
              <w:rPr>
                <w:rFonts w:eastAsia="Arial Unicode MS" w:cs="Arial"/>
                <w:szCs w:val="22"/>
              </w:rPr>
              <w:t xml:space="preserve">the </w:t>
            </w:r>
            <w:r w:rsidRPr="005B5418">
              <w:rPr>
                <w:rFonts w:eastAsia="Arial Unicode MS" w:cs="Arial"/>
                <w:szCs w:val="22"/>
              </w:rPr>
              <w:t>consumption method)</w:t>
            </w:r>
          </w:p>
        </w:tc>
        <w:tc>
          <w:tcPr>
            <w:tcW w:w="965" w:type="dxa"/>
          </w:tcPr>
          <w:p w14:paraId="73FB2F94" w14:textId="77777777" w:rsidR="00124999" w:rsidRPr="005B5418" w:rsidDel="000B7F3A" w:rsidRDefault="00124999" w:rsidP="00BA0E27">
            <w:pPr>
              <w:pStyle w:val="Table-Cell-CenterBoldBefore6ptAfter6pt"/>
              <w:rPr>
                <w:rFonts w:cs="Arial"/>
              </w:rPr>
            </w:pPr>
          </w:p>
        </w:tc>
        <w:tc>
          <w:tcPr>
            <w:tcW w:w="3212" w:type="dxa"/>
            <w:gridSpan w:val="2"/>
          </w:tcPr>
          <w:p w14:paraId="065D2FD0" w14:textId="37C40715" w:rsidR="00124999" w:rsidRPr="005B5418" w:rsidDel="000B7F3A" w:rsidRDefault="00124999" w:rsidP="00BB2C7B">
            <w:pPr>
              <w:spacing w:line="240" w:lineRule="auto"/>
              <w:rPr>
                <w:rFonts w:cs="Arial"/>
              </w:rPr>
            </w:pPr>
          </w:p>
        </w:tc>
      </w:tr>
      <w:tr w:rsidR="00BA0E27" w:rsidRPr="005B5418" w:rsidDel="000B7F3A" w14:paraId="67BC7382" w14:textId="77777777" w:rsidTr="005425ED">
        <w:trPr>
          <w:trHeight w:val="1250"/>
        </w:trPr>
        <w:tc>
          <w:tcPr>
            <w:tcW w:w="5404" w:type="dxa"/>
          </w:tcPr>
          <w:p w14:paraId="63676163" w14:textId="749F2269" w:rsidR="00BA0E27" w:rsidRPr="005B5418" w:rsidRDefault="00BA0E27" w:rsidP="005425ED">
            <w:pPr>
              <w:pStyle w:val="FAM-Table-outline"/>
              <w:numPr>
                <w:ilvl w:val="0"/>
                <w:numId w:val="65"/>
              </w:numPr>
              <w:rPr>
                <w:u w:val="single"/>
              </w:rPr>
            </w:pPr>
            <w:r w:rsidRPr="005B5418">
              <w:rPr>
                <w:rFonts w:eastAsia="Arial Unicode MS"/>
              </w:rPr>
              <w:t xml:space="preserve">Is </w:t>
            </w:r>
            <w:r w:rsidR="00776F6A" w:rsidRPr="005B5418">
              <w:rPr>
                <w:rFonts w:eastAsia="Arial Unicode MS"/>
              </w:rPr>
              <w:t xml:space="preserve">the rest of </w:t>
            </w:r>
            <w:r w:rsidRPr="005B5418">
              <w:rPr>
                <w:rFonts w:eastAsia="Arial Unicode MS"/>
              </w:rPr>
              <w:t>this topic applicable to the entity’s financial statements? (Answer Y if applicable, N/A if not applicable, or N/S if not significant. If N/A or N/S, skip to the next topic</w:t>
            </w:r>
            <w:r w:rsidR="00E409A1" w:rsidRPr="005B5418">
              <w:rPr>
                <w:rFonts w:eastAsia="Arial Unicode MS"/>
              </w:rPr>
              <w:t>.</w:t>
            </w:r>
            <w:r w:rsidRPr="005B5418">
              <w:rPr>
                <w:rFonts w:eastAsia="Arial Unicode MS"/>
              </w:rPr>
              <w:t>)</w:t>
            </w:r>
          </w:p>
        </w:tc>
        <w:tc>
          <w:tcPr>
            <w:tcW w:w="965" w:type="dxa"/>
          </w:tcPr>
          <w:p w14:paraId="100FF1AD" w14:textId="77777777" w:rsidR="00BA0E27" w:rsidRPr="005B5418" w:rsidDel="000B7F3A" w:rsidRDefault="00BA0E27" w:rsidP="00BA0E27">
            <w:pPr>
              <w:pStyle w:val="Table-Cell-CenterBoldBefore6ptAfter6pt"/>
              <w:rPr>
                <w:rFonts w:cs="Arial"/>
              </w:rPr>
            </w:pPr>
          </w:p>
        </w:tc>
        <w:tc>
          <w:tcPr>
            <w:tcW w:w="3212" w:type="dxa"/>
            <w:gridSpan w:val="2"/>
          </w:tcPr>
          <w:p w14:paraId="4EB7441A" w14:textId="77777777" w:rsidR="00BA0E27" w:rsidRPr="005B5418" w:rsidDel="000B7F3A" w:rsidRDefault="00BA0E27" w:rsidP="00BA0E27">
            <w:pPr>
              <w:spacing w:line="240" w:lineRule="auto"/>
              <w:rPr>
                <w:rFonts w:cs="Arial"/>
              </w:rPr>
            </w:pPr>
          </w:p>
        </w:tc>
      </w:tr>
      <w:tr w:rsidR="00BA0E27" w:rsidRPr="005B5418" w14:paraId="253233DD" w14:textId="77777777" w:rsidTr="008848DA">
        <w:trPr>
          <w:trHeight w:val="422"/>
        </w:trPr>
        <w:tc>
          <w:tcPr>
            <w:tcW w:w="9581" w:type="dxa"/>
            <w:gridSpan w:val="4"/>
          </w:tcPr>
          <w:p w14:paraId="43A828CE" w14:textId="77777777" w:rsidR="00BA0E27" w:rsidRPr="005B5418" w:rsidRDefault="00BA0E27" w:rsidP="00BA0E27">
            <w:pPr>
              <w:spacing w:line="240" w:lineRule="auto"/>
              <w:rPr>
                <w:rFonts w:ascii="Arial" w:hAnsi="Arial" w:cs="Arial"/>
                <w:b/>
              </w:rPr>
            </w:pPr>
            <w:r w:rsidRPr="005B5418">
              <w:rPr>
                <w:rFonts w:ascii="Arial" w:hAnsi="Arial" w:cs="Arial"/>
                <w:b/>
              </w:rPr>
              <w:t>Accounting</w:t>
            </w:r>
          </w:p>
        </w:tc>
      </w:tr>
      <w:tr w:rsidR="0059376E" w:rsidRPr="005B5418" w14:paraId="1D135268" w14:textId="77777777" w:rsidTr="008848DA">
        <w:trPr>
          <w:trHeight w:hRule="exact" w:val="461"/>
        </w:trPr>
        <w:tc>
          <w:tcPr>
            <w:tcW w:w="9581" w:type="dxa"/>
            <w:gridSpan w:val="4"/>
          </w:tcPr>
          <w:p w14:paraId="11FC74A3" w14:textId="0AA25A44" w:rsidR="0059376E" w:rsidRPr="005B5418" w:rsidRDefault="0059376E" w:rsidP="00BA0E27">
            <w:pPr>
              <w:spacing w:line="240" w:lineRule="auto"/>
              <w:rPr>
                <w:rFonts w:ascii="Arial" w:hAnsi="Arial" w:cs="Arial"/>
                <w:b/>
                <w:i/>
              </w:rPr>
            </w:pPr>
            <w:r w:rsidRPr="005B5418">
              <w:rPr>
                <w:rFonts w:ascii="Arial" w:eastAsia="Arial Unicode MS" w:hAnsi="Arial" w:cs="Arial"/>
                <w:i/>
              </w:rPr>
              <w:t>Recognition</w:t>
            </w:r>
          </w:p>
        </w:tc>
      </w:tr>
      <w:tr w:rsidR="00BA0E27" w:rsidRPr="005B5418" w14:paraId="04342CAD" w14:textId="77777777" w:rsidTr="005425ED">
        <w:trPr>
          <w:cantSplit/>
          <w:trHeight w:val="989"/>
        </w:trPr>
        <w:tc>
          <w:tcPr>
            <w:tcW w:w="5404" w:type="dxa"/>
          </w:tcPr>
          <w:p w14:paraId="54E702D8" w14:textId="2B883298" w:rsidR="00BA0E27" w:rsidRPr="005B5418" w:rsidRDefault="002C61E6" w:rsidP="005425ED">
            <w:pPr>
              <w:pStyle w:val="FAM-Table-outline"/>
              <w:spacing w:line="240" w:lineRule="auto"/>
              <w:rPr>
                <w:rFonts w:cs="Arial"/>
                <w:u w:val="single"/>
              </w:rPr>
            </w:pPr>
            <w:r w:rsidRPr="005B5418">
              <w:rPr>
                <w:rFonts w:eastAsia="Arial Unicode MS"/>
              </w:rPr>
              <w:t>I</w:t>
            </w:r>
            <w:r w:rsidR="00BA0E27" w:rsidRPr="005B5418">
              <w:rPr>
                <w:rFonts w:eastAsia="Arial Unicode MS"/>
              </w:rPr>
              <w:t>s inventory recognized when title passes or when goods are delivered to the purchasing entity? (SFFAS 3, par</w:t>
            </w:r>
            <w:r w:rsidR="00E2294F" w:rsidRPr="005B5418">
              <w:rPr>
                <w:rFonts w:eastAsia="Arial Unicode MS"/>
              </w:rPr>
              <w:t>a</w:t>
            </w:r>
            <w:r w:rsidR="00BA0E27" w:rsidRPr="005B5418">
              <w:rPr>
                <w:rFonts w:eastAsia="Arial Unicode MS"/>
              </w:rPr>
              <w:t>. 19)</w:t>
            </w:r>
          </w:p>
        </w:tc>
        <w:tc>
          <w:tcPr>
            <w:tcW w:w="965" w:type="dxa"/>
          </w:tcPr>
          <w:p w14:paraId="3D64FB60" w14:textId="77777777" w:rsidR="00BA0E27" w:rsidRPr="005B5418" w:rsidRDefault="00BA0E27" w:rsidP="00BA0E27">
            <w:pPr>
              <w:pStyle w:val="Table-Cell-CenterBoldBefore6ptAfter6pt"/>
              <w:rPr>
                <w:rFonts w:cs="Arial"/>
              </w:rPr>
            </w:pPr>
          </w:p>
        </w:tc>
        <w:tc>
          <w:tcPr>
            <w:tcW w:w="3212" w:type="dxa"/>
            <w:gridSpan w:val="2"/>
          </w:tcPr>
          <w:p w14:paraId="660C62B8" w14:textId="77777777" w:rsidR="00BA0E27" w:rsidRPr="005B5418" w:rsidRDefault="00BA0E27" w:rsidP="00BA0E27">
            <w:pPr>
              <w:spacing w:line="240" w:lineRule="auto"/>
              <w:rPr>
                <w:rFonts w:cs="Arial"/>
              </w:rPr>
            </w:pPr>
          </w:p>
        </w:tc>
      </w:tr>
      <w:tr w:rsidR="00BA0E27" w:rsidRPr="005B5418" w:rsidDel="000B7F3A" w14:paraId="1D306503" w14:textId="77777777" w:rsidTr="005425ED">
        <w:trPr>
          <w:trHeight w:val="1187"/>
        </w:trPr>
        <w:tc>
          <w:tcPr>
            <w:tcW w:w="5404" w:type="dxa"/>
          </w:tcPr>
          <w:p w14:paraId="509553B0" w14:textId="00DE428E" w:rsidR="00BA0E27" w:rsidRPr="005B5418" w:rsidRDefault="00BA0E27" w:rsidP="005425ED">
            <w:pPr>
              <w:pStyle w:val="FAM-Table-outline"/>
              <w:spacing w:line="240" w:lineRule="auto"/>
              <w:rPr>
                <w:rFonts w:eastAsia="Arial Unicode MS" w:cs="Arial"/>
                <w:szCs w:val="22"/>
              </w:rPr>
            </w:pPr>
            <w:r w:rsidRPr="005B5418">
              <w:rPr>
                <w:rFonts w:eastAsia="Arial Unicode MS"/>
              </w:rPr>
              <w:t>Upon sale or use of inventory, is the related expense recognized and the cost of those goods removed from the inventory asset account? (SFFAS 3, par</w:t>
            </w:r>
            <w:r w:rsidR="00E2294F" w:rsidRPr="005B5418">
              <w:rPr>
                <w:rFonts w:eastAsia="Arial Unicode MS"/>
              </w:rPr>
              <w:t>a</w:t>
            </w:r>
            <w:r w:rsidRPr="005B5418">
              <w:rPr>
                <w:rFonts w:eastAsia="Arial Unicode MS"/>
              </w:rPr>
              <w:t>. 19)</w:t>
            </w:r>
          </w:p>
        </w:tc>
        <w:tc>
          <w:tcPr>
            <w:tcW w:w="965" w:type="dxa"/>
          </w:tcPr>
          <w:p w14:paraId="0BB85C0F" w14:textId="77777777" w:rsidR="00BA0E27" w:rsidRPr="005B5418" w:rsidDel="000B7F3A" w:rsidRDefault="00BA0E27" w:rsidP="00BA0E27">
            <w:pPr>
              <w:pStyle w:val="Table-Cell-CenterBoldBefore6ptAfter6pt"/>
              <w:rPr>
                <w:rFonts w:cs="Arial"/>
              </w:rPr>
            </w:pPr>
          </w:p>
        </w:tc>
        <w:tc>
          <w:tcPr>
            <w:tcW w:w="3212" w:type="dxa"/>
            <w:gridSpan w:val="2"/>
          </w:tcPr>
          <w:p w14:paraId="3AB06C1D" w14:textId="77777777" w:rsidR="00BA0E27" w:rsidRPr="005B5418" w:rsidDel="000B7F3A" w:rsidRDefault="00BA0E27" w:rsidP="00BA0E27">
            <w:pPr>
              <w:spacing w:line="240" w:lineRule="auto"/>
              <w:rPr>
                <w:rFonts w:cs="Arial"/>
              </w:rPr>
            </w:pPr>
          </w:p>
        </w:tc>
      </w:tr>
      <w:tr w:rsidR="003D6BEE" w:rsidRPr="005B5418" w:rsidDel="000B7F3A" w14:paraId="30BDE1F3" w14:textId="77777777" w:rsidTr="005425ED">
        <w:trPr>
          <w:trHeight w:hRule="exact" w:val="461"/>
        </w:trPr>
        <w:tc>
          <w:tcPr>
            <w:tcW w:w="5404" w:type="dxa"/>
          </w:tcPr>
          <w:p w14:paraId="649FDAB6" w14:textId="657C4125" w:rsidR="003D6BEE" w:rsidRPr="005B5418" w:rsidRDefault="003D6BEE" w:rsidP="003D6BEE">
            <w:pPr>
              <w:pStyle w:val="FAM-Table-outline"/>
              <w:numPr>
                <w:ilvl w:val="0"/>
                <w:numId w:val="0"/>
              </w:numPr>
              <w:spacing w:line="240" w:lineRule="auto"/>
              <w:rPr>
                <w:rFonts w:eastAsia="Arial Unicode MS"/>
                <w:i/>
              </w:rPr>
            </w:pPr>
            <w:r w:rsidRPr="005B5418">
              <w:rPr>
                <w:rFonts w:eastAsia="Arial Unicode MS" w:cs="Arial"/>
                <w:i/>
                <w:szCs w:val="22"/>
              </w:rPr>
              <w:t>Valuation</w:t>
            </w:r>
          </w:p>
        </w:tc>
        <w:tc>
          <w:tcPr>
            <w:tcW w:w="965" w:type="dxa"/>
          </w:tcPr>
          <w:p w14:paraId="639661EA" w14:textId="77777777" w:rsidR="003D6BEE" w:rsidRPr="005B5418" w:rsidDel="000B7F3A" w:rsidRDefault="003D6BEE" w:rsidP="00BA0E27">
            <w:pPr>
              <w:pStyle w:val="Table-Cell-CenterBoldBefore6ptAfter6pt"/>
              <w:rPr>
                <w:rFonts w:cs="Arial"/>
              </w:rPr>
            </w:pPr>
          </w:p>
        </w:tc>
        <w:tc>
          <w:tcPr>
            <w:tcW w:w="3212" w:type="dxa"/>
            <w:gridSpan w:val="2"/>
          </w:tcPr>
          <w:p w14:paraId="1B373A22" w14:textId="77777777" w:rsidR="003D6BEE" w:rsidRPr="005B5418" w:rsidDel="000B7F3A" w:rsidRDefault="003D6BEE" w:rsidP="00BA0E27">
            <w:pPr>
              <w:spacing w:line="240" w:lineRule="auto"/>
              <w:rPr>
                <w:rFonts w:cs="Arial"/>
              </w:rPr>
            </w:pPr>
          </w:p>
        </w:tc>
      </w:tr>
      <w:tr w:rsidR="00BA0E27" w:rsidRPr="005B5418" w14:paraId="3C38BBFC" w14:textId="77777777" w:rsidTr="005425ED">
        <w:trPr>
          <w:cantSplit/>
          <w:trHeight w:val="2160"/>
        </w:trPr>
        <w:tc>
          <w:tcPr>
            <w:tcW w:w="5404" w:type="dxa"/>
          </w:tcPr>
          <w:p w14:paraId="58A1B5D7" w14:textId="77777777" w:rsidR="00BA0E27" w:rsidRPr="005B5418" w:rsidRDefault="00BA0E27" w:rsidP="005425ED">
            <w:pPr>
              <w:pStyle w:val="FAM-Table-outline"/>
              <w:spacing w:line="240" w:lineRule="auto"/>
              <w:rPr>
                <w:rFonts w:eastAsia="Arial Unicode MS"/>
              </w:rPr>
            </w:pPr>
            <w:r w:rsidRPr="005B5418">
              <w:rPr>
                <w:rFonts w:eastAsia="Arial Unicode MS"/>
              </w:rPr>
              <w:t xml:space="preserve">Is inventory valued at either </w:t>
            </w:r>
          </w:p>
          <w:p w14:paraId="4EC9EBD2"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historical cost, or </w:t>
            </w:r>
          </w:p>
          <w:p w14:paraId="3368B4A7"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 method that reasonably approximates historical cost, and/or</w:t>
            </w:r>
          </w:p>
          <w:p w14:paraId="52E72A95" w14:textId="53D8C543" w:rsidR="00BA0E27" w:rsidRPr="005B5418" w:rsidRDefault="00BA0E27" w:rsidP="005425ED">
            <w:pPr>
              <w:pStyle w:val="FAM-Table-outline2"/>
              <w:numPr>
                <w:ilvl w:val="1"/>
                <w:numId w:val="1"/>
              </w:numPr>
              <w:tabs>
                <w:tab w:val="num" w:pos="576"/>
              </w:tabs>
              <w:spacing w:line="240" w:lineRule="auto"/>
              <w:ind w:left="1155" w:hanging="458"/>
              <w:rPr>
                <w:rFonts w:eastAsia="Arial Unicode MS"/>
                <w:szCs w:val="22"/>
              </w:rPr>
            </w:pPr>
            <w:r w:rsidRPr="005B5418">
              <w:rPr>
                <w:rFonts w:eastAsia="Arial Unicode MS" w:cs="Arial"/>
                <w:szCs w:val="22"/>
              </w:rPr>
              <w:t>for entities applying SFFAS 48, deemed cost for opening balances? (SFFAS 3, par</w:t>
            </w:r>
            <w:r w:rsidR="00E65C0B" w:rsidRPr="005B5418">
              <w:rPr>
                <w:rFonts w:eastAsia="Arial Unicode MS" w:cs="Arial"/>
                <w:szCs w:val="22"/>
              </w:rPr>
              <w:t>a</w:t>
            </w:r>
            <w:r w:rsidRPr="005B5418">
              <w:rPr>
                <w:rFonts w:eastAsia="Arial Unicode MS" w:cs="Arial"/>
                <w:szCs w:val="22"/>
              </w:rPr>
              <w:t>. 20</w:t>
            </w:r>
            <w:r w:rsidR="00620C4A" w:rsidRPr="005B5418">
              <w:rPr>
                <w:rFonts w:eastAsia="Arial Unicode MS" w:cs="Arial"/>
                <w:szCs w:val="22"/>
              </w:rPr>
              <w:t>; SFFAS 3, para. 26a</w:t>
            </w:r>
            <w:r w:rsidRPr="005B5418">
              <w:rPr>
                <w:rFonts w:eastAsia="Arial Unicode MS" w:cs="Arial"/>
                <w:szCs w:val="22"/>
              </w:rPr>
              <w:t>)</w:t>
            </w:r>
          </w:p>
        </w:tc>
        <w:tc>
          <w:tcPr>
            <w:tcW w:w="965" w:type="dxa"/>
          </w:tcPr>
          <w:p w14:paraId="09596DA6" w14:textId="77777777" w:rsidR="00BA0E27" w:rsidRPr="005B5418" w:rsidRDefault="00BA0E27" w:rsidP="00BA0E27">
            <w:pPr>
              <w:pStyle w:val="Table-Cell-CenterBoldBefore6ptAfter6pt"/>
              <w:rPr>
                <w:rFonts w:cs="Arial"/>
              </w:rPr>
            </w:pPr>
          </w:p>
        </w:tc>
        <w:tc>
          <w:tcPr>
            <w:tcW w:w="3212" w:type="dxa"/>
            <w:gridSpan w:val="2"/>
          </w:tcPr>
          <w:p w14:paraId="46D032C6" w14:textId="77777777" w:rsidR="00BA0E27" w:rsidRPr="005B5418" w:rsidRDefault="00BA0E27" w:rsidP="00BA0E27">
            <w:pPr>
              <w:spacing w:line="240" w:lineRule="auto"/>
              <w:rPr>
                <w:rFonts w:cs="Arial"/>
              </w:rPr>
            </w:pPr>
          </w:p>
        </w:tc>
      </w:tr>
      <w:tr w:rsidR="00BA0E27" w:rsidRPr="005B5418" w:rsidDel="000B7F3A" w14:paraId="0C6240ED" w14:textId="77777777" w:rsidTr="005425ED">
        <w:trPr>
          <w:trHeight w:val="1637"/>
        </w:trPr>
        <w:tc>
          <w:tcPr>
            <w:tcW w:w="5404" w:type="dxa"/>
          </w:tcPr>
          <w:p w14:paraId="05DE737E" w14:textId="2A1CD95D" w:rsidR="00BA0E27" w:rsidRPr="005425ED" w:rsidRDefault="00BA0E27" w:rsidP="005425ED">
            <w:pPr>
              <w:pStyle w:val="FAM-Table-outline"/>
              <w:spacing w:line="240" w:lineRule="auto"/>
              <w:rPr>
                <w:rFonts w:eastAsia="Arial Unicode MS"/>
              </w:rPr>
            </w:pPr>
            <w:r w:rsidRPr="005B5418">
              <w:rPr>
                <w:rFonts w:eastAsia="Arial Unicode MS"/>
              </w:rPr>
              <w:lastRenderedPageBreak/>
              <w:t>If inventory is valued at historical cost, does that cost include the purchase amount and all other costs, such as transportation and production costs, incurred to bring the inventory into its current condition and location? (SFFAS 3, par</w:t>
            </w:r>
            <w:r w:rsidR="00E65C0B" w:rsidRPr="005B5418">
              <w:rPr>
                <w:rFonts w:eastAsia="Arial Unicode MS"/>
              </w:rPr>
              <w:t>a</w:t>
            </w:r>
            <w:r w:rsidRPr="005B5418">
              <w:rPr>
                <w:rFonts w:eastAsia="Arial Unicode MS"/>
              </w:rPr>
              <w:t>. 21)</w:t>
            </w:r>
          </w:p>
        </w:tc>
        <w:tc>
          <w:tcPr>
            <w:tcW w:w="965" w:type="dxa"/>
          </w:tcPr>
          <w:p w14:paraId="420161DE" w14:textId="77777777" w:rsidR="00BA0E27" w:rsidRPr="005B5418" w:rsidDel="000B7F3A" w:rsidRDefault="00BA0E27" w:rsidP="00BA0E27">
            <w:pPr>
              <w:pStyle w:val="Table-Cell-CenterBoldBefore6ptAfter6pt"/>
              <w:rPr>
                <w:rFonts w:cs="Arial"/>
              </w:rPr>
            </w:pPr>
          </w:p>
        </w:tc>
        <w:tc>
          <w:tcPr>
            <w:tcW w:w="3212" w:type="dxa"/>
            <w:gridSpan w:val="2"/>
          </w:tcPr>
          <w:p w14:paraId="4A146B39" w14:textId="77777777" w:rsidR="00BA0E27" w:rsidRPr="005B5418" w:rsidDel="000B7F3A" w:rsidRDefault="00BA0E27" w:rsidP="00BA0E27">
            <w:pPr>
              <w:spacing w:line="240" w:lineRule="auto"/>
              <w:rPr>
                <w:rFonts w:cs="Arial"/>
              </w:rPr>
            </w:pPr>
          </w:p>
        </w:tc>
      </w:tr>
      <w:tr w:rsidR="00BA0E27" w:rsidRPr="005B5418" w:rsidDel="000B7F3A" w14:paraId="353D5615" w14:textId="77777777" w:rsidTr="005425ED">
        <w:trPr>
          <w:trHeight w:val="917"/>
        </w:trPr>
        <w:tc>
          <w:tcPr>
            <w:tcW w:w="5404" w:type="dxa"/>
          </w:tcPr>
          <w:p w14:paraId="3061880F" w14:textId="60B3A4B6" w:rsidR="00BA0E27" w:rsidRPr="005425ED" w:rsidRDefault="00BA0E27" w:rsidP="005425ED">
            <w:pPr>
              <w:pStyle w:val="FAM-Table-outline"/>
              <w:spacing w:line="240" w:lineRule="auto"/>
              <w:rPr>
                <w:rFonts w:eastAsia="Arial Unicode MS"/>
              </w:rPr>
            </w:pPr>
            <w:r w:rsidRPr="005B5418">
              <w:rPr>
                <w:rFonts w:eastAsia="Arial Unicode MS"/>
              </w:rPr>
              <w:t>Are abnormal costs, such as excessive handling or rework costs, charged to operations for the period? (SFFAS 3, par</w:t>
            </w:r>
            <w:r w:rsidR="00E65C0B" w:rsidRPr="005B5418">
              <w:rPr>
                <w:rFonts w:eastAsia="Arial Unicode MS"/>
              </w:rPr>
              <w:t>a</w:t>
            </w:r>
            <w:r w:rsidRPr="005B5418">
              <w:rPr>
                <w:rFonts w:eastAsia="Arial Unicode MS"/>
              </w:rPr>
              <w:t>. 21)</w:t>
            </w:r>
          </w:p>
        </w:tc>
        <w:tc>
          <w:tcPr>
            <w:tcW w:w="965" w:type="dxa"/>
          </w:tcPr>
          <w:p w14:paraId="28AD77A0" w14:textId="77777777" w:rsidR="00BA0E27" w:rsidRPr="005B5418" w:rsidDel="000B7F3A" w:rsidRDefault="00BA0E27" w:rsidP="00BA0E27">
            <w:pPr>
              <w:pStyle w:val="Table-Cell-CenterBoldBefore6ptAfter6pt"/>
              <w:rPr>
                <w:rFonts w:cs="Arial"/>
              </w:rPr>
            </w:pPr>
          </w:p>
        </w:tc>
        <w:tc>
          <w:tcPr>
            <w:tcW w:w="3212" w:type="dxa"/>
            <w:gridSpan w:val="2"/>
          </w:tcPr>
          <w:p w14:paraId="21D2F63D" w14:textId="77777777" w:rsidR="00BA0E27" w:rsidRPr="005B5418" w:rsidDel="000B7F3A" w:rsidRDefault="00BA0E27" w:rsidP="00BA0E27">
            <w:pPr>
              <w:spacing w:line="240" w:lineRule="auto"/>
              <w:rPr>
                <w:rFonts w:cs="Arial"/>
              </w:rPr>
            </w:pPr>
          </w:p>
        </w:tc>
      </w:tr>
      <w:tr w:rsidR="00BA0E27" w:rsidRPr="005B5418" w:rsidDel="000B7F3A" w14:paraId="3BCDF48C" w14:textId="77777777" w:rsidTr="005425ED">
        <w:trPr>
          <w:trHeight w:val="782"/>
        </w:trPr>
        <w:tc>
          <w:tcPr>
            <w:tcW w:w="5404" w:type="dxa"/>
          </w:tcPr>
          <w:p w14:paraId="0D1C27E4" w14:textId="5EFA9343" w:rsidR="00BA0E27" w:rsidRPr="005425ED" w:rsidRDefault="00BA0E27" w:rsidP="005425ED">
            <w:pPr>
              <w:pStyle w:val="FAM-Table-outline"/>
              <w:spacing w:line="240" w:lineRule="auto"/>
              <w:rPr>
                <w:rFonts w:eastAsia="Arial Unicode MS"/>
              </w:rPr>
            </w:pPr>
            <w:r w:rsidRPr="005B5418">
              <w:rPr>
                <w:rFonts w:eastAsia="Arial Unicode MS"/>
              </w:rPr>
              <w:t>Is donated inventory valued at its fair value at the time of donation? (SFFAS 3, par</w:t>
            </w:r>
            <w:r w:rsidR="00E65C0B" w:rsidRPr="005B5418">
              <w:rPr>
                <w:rFonts w:eastAsia="Arial Unicode MS"/>
              </w:rPr>
              <w:t>a</w:t>
            </w:r>
            <w:r w:rsidRPr="005B5418">
              <w:rPr>
                <w:rFonts w:eastAsia="Arial Unicode MS"/>
              </w:rPr>
              <w:t>. 21)</w:t>
            </w:r>
          </w:p>
        </w:tc>
        <w:tc>
          <w:tcPr>
            <w:tcW w:w="965" w:type="dxa"/>
          </w:tcPr>
          <w:p w14:paraId="0C331B84" w14:textId="77777777" w:rsidR="00BA0E27" w:rsidRPr="005B5418" w:rsidDel="000B7F3A" w:rsidRDefault="00BA0E27" w:rsidP="00BA0E27">
            <w:pPr>
              <w:pStyle w:val="Table-Cell-CenterBoldBefore6ptAfter6pt"/>
              <w:rPr>
                <w:rFonts w:cs="Arial"/>
              </w:rPr>
            </w:pPr>
          </w:p>
        </w:tc>
        <w:tc>
          <w:tcPr>
            <w:tcW w:w="3212" w:type="dxa"/>
            <w:gridSpan w:val="2"/>
          </w:tcPr>
          <w:p w14:paraId="1FB34795" w14:textId="77777777" w:rsidR="00BA0E27" w:rsidRPr="005B5418" w:rsidDel="000B7F3A" w:rsidRDefault="00BA0E27" w:rsidP="00BA0E27">
            <w:pPr>
              <w:spacing w:line="240" w:lineRule="auto"/>
              <w:rPr>
                <w:rFonts w:cs="Arial"/>
              </w:rPr>
            </w:pPr>
          </w:p>
        </w:tc>
      </w:tr>
      <w:tr w:rsidR="00BA0E27" w:rsidRPr="005B5418" w:rsidDel="000B7F3A" w14:paraId="2696B666" w14:textId="77777777" w:rsidTr="005425ED">
        <w:trPr>
          <w:trHeight w:val="1187"/>
        </w:trPr>
        <w:tc>
          <w:tcPr>
            <w:tcW w:w="5404" w:type="dxa"/>
          </w:tcPr>
          <w:p w14:paraId="672B7B65" w14:textId="07313E24" w:rsidR="00BA0E27" w:rsidRPr="005425ED" w:rsidRDefault="00BA0E27" w:rsidP="005425ED">
            <w:pPr>
              <w:pStyle w:val="FAM-Table-outline"/>
              <w:spacing w:line="240" w:lineRule="auto"/>
              <w:rPr>
                <w:rFonts w:eastAsia="Arial Unicode MS"/>
              </w:rPr>
            </w:pPr>
            <w:r w:rsidRPr="005B5418">
              <w:rPr>
                <w:rFonts w:eastAsia="Arial Unicode MS"/>
              </w:rPr>
              <w:t>Is inventory acquired through exchange of nonmonetary assets (e.g., barter) valued at the fair value of the asset received at the time of the exchange? (SFFAS 3, par</w:t>
            </w:r>
            <w:r w:rsidR="00E65C0B" w:rsidRPr="005B5418">
              <w:rPr>
                <w:rFonts w:eastAsia="Arial Unicode MS"/>
              </w:rPr>
              <w:t>a</w:t>
            </w:r>
            <w:r w:rsidRPr="005B5418">
              <w:rPr>
                <w:rFonts w:eastAsia="Arial Unicode MS"/>
              </w:rPr>
              <w:t>. 21)</w:t>
            </w:r>
          </w:p>
        </w:tc>
        <w:tc>
          <w:tcPr>
            <w:tcW w:w="965" w:type="dxa"/>
          </w:tcPr>
          <w:p w14:paraId="0A29B80C" w14:textId="77777777" w:rsidR="00BA0E27" w:rsidRPr="005B5418" w:rsidDel="000B7F3A" w:rsidRDefault="00BA0E27" w:rsidP="00BA0E27">
            <w:pPr>
              <w:pStyle w:val="Table-Cell-CenterBoldBefore6ptAfter6pt"/>
              <w:rPr>
                <w:rFonts w:cs="Arial"/>
              </w:rPr>
            </w:pPr>
          </w:p>
        </w:tc>
        <w:tc>
          <w:tcPr>
            <w:tcW w:w="3212" w:type="dxa"/>
            <w:gridSpan w:val="2"/>
          </w:tcPr>
          <w:p w14:paraId="7D865C7A" w14:textId="77777777" w:rsidR="00BA0E27" w:rsidRPr="005B5418" w:rsidDel="000B7F3A" w:rsidRDefault="00BA0E27" w:rsidP="00BA0E27">
            <w:pPr>
              <w:spacing w:line="240" w:lineRule="auto"/>
              <w:rPr>
                <w:rFonts w:cs="Arial"/>
              </w:rPr>
            </w:pPr>
          </w:p>
        </w:tc>
      </w:tr>
      <w:tr w:rsidR="00BA0E27" w:rsidRPr="005B5418" w:rsidDel="000B7F3A" w14:paraId="4D7A6223" w14:textId="77777777" w:rsidTr="005425ED">
        <w:trPr>
          <w:trHeight w:val="1592"/>
        </w:trPr>
        <w:tc>
          <w:tcPr>
            <w:tcW w:w="5404" w:type="dxa"/>
          </w:tcPr>
          <w:p w14:paraId="7EE0271D" w14:textId="64485146" w:rsidR="00BA0E27" w:rsidRPr="005425ED" w:rsidRDefault="00BA0E27" w:rsidP="005425ED">
            <w:pPr>
              <w:pStyle w:val="FAM-Table-outline"/>
              <w:spacing w:line="240" w:lineRule="auto"/>
              <w:rPr>
                <w:rFonts w:eastAsia="Arial Unicode MS"/>
              </w:rPr>
            </w:pPr>
            <w:r w:rsidRPr="005B5418">
              <w:rPr>
                <w:rFonts w:eastAsia="Arial Unicode MS"/>
              </w:rPr>
              <w:t>For inventory acquired through exchange of nonmonetary assets, is any difference between the recorded amount of the asset surrendered and the fair value of the asset received recognized as a gain or loss? (SFFAS 3, par</w:t>
            </w:r>
            <w:r w:rsidR="003744A3" w:rsidRPr="005B5418">
              <w:rPr>
                <w:rFonts w:eastAsia="Arial Unicode MS"/>
              </w:rPr>
              <w:t>a</w:t>
            </w:r>
            <w:r w:rsidRPr="005B5418">
              <w:rPr>
                <w:rFonts w:eastAsia="Arial Unicode MS"/>
              </w:rPr>
              <w:t>. 21)</w:t>
            </w:r>
          </w:p>
        </w:tc>
        <w:tc>
          <w:tcPr>
            <w:tcW w:w="965" w:type="dxa"/>
          </w:tcPr>
          <w:p w14:paraId="78498F59" w14:textId="77777777" w:rsidR="00BA0E27" w:rsidRPr="005B5418" w:rsidDel="000B7F3A" w:rsidRDefault="00BA0E27" w:rsidP="00BA0E27">
            <w:pPr>
              <w:pStyle w:val="Table-Cell-CenterBoldBefore6ptAfter6pt"/>
              <w:rPr>
                <w:rFonts w:cs="Arial"/>
              </w:rPr>
            </w:pPr>
          </w:p>
        </w:tc>
        <w:tc>
          <w:tcPr>
            <w:tcW w:w="3212" w:type="dxa"/>
            <w:gridSpan w:val="2"/>
          </w:tcPr>
          <w:p w14:paraId="390D4770" w14:textId="77777777" w:rsidR="00BA0E27" w:rsidRPr="005B5418" w:rsidDel="000B7F3A" w:rsidRDefault="00BA0E27" w:rsidP="00BA0E27">
            <w:pPr>
              <w:spacing w:line="240" w:lineRule="auto"/>
              <w:rPr>
                <w:rFonts w:cs="Arial"/>
              </w:rPr>
            </w:pPr>
          </w:p>
        </w:tc>
      </w:tr>
      <w:tr w:rsidR="00BA0E27" w:rsidRPr="005B5418" w:rsidDel="000B7F3A" w14:paraId="39413755" w14:textId="77777777" w:rsidTr="005425ED">
        <w:trPr>
          <w:trHeight w:val="2160"/>
        </w:trPr>
        <w:tc>
          <w:tcPr>
            <w:tcW w:w="5404" w:type="dxa"/>
          </w:tcPr>
          <w:p w14:paraId="6B13B95F" w14:textId="4E5B7D5C" w:rsidR="00BA0E27" w:rsidRPr="005B5418" w:rsidRDefault="00BA0E27" w:rsidP="005425ED">
            <w:pPr>
              <w:pStyle w:val="FAM-Table-outline"/>
              <w:spacing w:line="240" w:lineRule="auto"/>
              <w:rPr>
                <w:rFonts w:eastAsia="Arial Unicode MS"/>
              </w:rPr>
            </w:pPr>
            <w:r w:rsidRPr="005B5418">
              <w:rPr>
                <w:rFonts w:eastAsia="Arial Unicode MS"/>
              </w:rPr>
              <w:t>Is one of the following historical cost flow assumptions used to value inventory and cost of goods sold</w:t>
            </w:r>
            <w:r w:rsidR="003744A3" w:rsidRPr="005B5418">
              <w:rPr>
                <w:rFonts w:eastAsia="Arial Unicode MS"/>
              </w:rPr>
              <w:t>:</w:t>
            </w:r>
          </w:p>
          <w:p w14:paraId="6EBB577D" w14:textId="585B8CA9"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first-in, first out (FIFO)</w:t>
            </w:r>
            <w:r w:rsidR="003744A3" w:rsidRPr="005B5418">
              <w:rPr>
                <w:rFonts w:eastAsia="Arial Unicode MS" w:cs="Arial"/>
                <w:szCs w:val="22"/>
              </w:rPr>
              <w:t>;</w:t>
            </w:r>
          </w:p>
          <w:p w14:paraId="2418387E" w14:textId="54D108E0"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weighted average</w:t>
            </w:r>
            <w:r w:rsidR="003744A3" w:rsidRPr="005B5418">
              <w:rPr>
                <w:rFonts w:eastAsia="Arial Unicode MS" w:cs="Arial"/>
                <w:szCs w:val="22"/>
              </w:rPr>
              <w:t>;</w:t>
            </w:r>
            <w:r w:rsidRPr="005B5418">
              <w:rPr>
                <w:rFonts w:eastAsia="Arial Unicode MS" w:cs="Arial"/>
                <w:szCs w:val="22"/>
              </w:rPr>
              <w:t xml:space="preserve"> </w:t>
            </w:r>
          </w:p>
          <w:p w14:paraId="503C0AC5" w14:textId="000F4735"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moving average</w:t>
            </w:r>
            <w:r w:rsidR="003744A3" w:rsidRPr="005B5418">
              <w:rPr>
                <w:rFonts w:eastAsia="Arial Unicode MS" w:cs="Arial"/>
                <w:szCs w:val="22"/>
              </w:rPr>
              <w:t>;</w:t>
            </w:r>
            <w:r w:rsidRPr="005B5418">
              <w:rPr>
                <w:rFonts w:eastAsia="Arial Unicode MS" w:cs="Arial"/>
                <w:szCs w:val="22"/>
              </w:rPr>
              <w:t xml:space="preserve"> or</w:t>
            </w:r>
          </w:p>
          <w:p w14:paraId="2A760EF8" w14:textId="254BCD52"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any other valuation method whose results reasonably approximate “a</w:t>
            </w:r>
            <w:r w:rsidR="003744A3" w:rsidRPr="005B5418">
              <w:rPr>
                <w:rFonts w:eastAsia="Arial Unicode MS" w:cs="Arial"/>
                <w:szCs w:val="22"/>
              </w:rPr>
              <w:t>,</w:t>
            </w:r>
            <w:r w:rsidRPr="005B5418">
              <w:rPr>
                <w:rFonts w:eastAsia="Arial Unicode MS" w:cs="Arial"/>
                <w:szCs w:val="22"/>
              </w:rPr>
              <w:t>” “b</w:t>
            </w:r>
            <w:r w:rsidR="003744A3" w:rsidRPr="005B5418">
              <w:rPr>
                <w:rFonts w:eastAsia="Arial Unicode MS" w:cs="Arial"/>
                <w:szCs w:val="22"/>
              </w:rPr>
              <w:t>,</w:t>
            </w:r>
            <w:r w:rsidRPr="005B5418">
              <w:rPr>
                <w:rFonts w:eastAsia="Arial Unicode MS" w:cs="Arial"/>
                <w:szCs w:val="22"/>
              </w:rPr>
              <w:t>” or “c” above? (SFFAS 3, par</w:t>
            </w:r>
            <w:r w:rsidR="003744A3" w:rsidRPr="005B5418">
              <w:rPr>
                <w:rFonts w:eastAsia="Arial Unicode MS" w:cs="Arial"/>
                <w:szCs w:val="22"/>
              </w:rPr>
              <w:t>a</w:t>
            </w:r>
            <w:r w:rsidRPr="005B5418">
              <w:rPr>
                <w:rFonts w:eastAsia="Arial Unicode MS" w:cs="Arial"/>
                <w:szCs w:val="22"/>
              </w:rPr>
              <w:t>. 22)</w:t>
            </w:r>
          </w:p>
        </w:tc>
        <w:tc>
          <w:tcPr>
            <w:tcW w:w="965" w:type="dxa"/>
          </w:tcPr>
          <w:p w14:paraId="0E290D0C" w14:textId="77777777" w:rsidR="00BA0E27" w:rsidRPr="005B5418" w:rsidDel="000B7F3A" w:rsidRDefault="00BA0E27" w:rsidP="00BA0E27">
            <w:pPr>
              <w:pStyle w:val="Table-Cell-CenterBoldBefore6ptAfter6pt"/>
              <w:rPr>
                <w:rFonts w:cs="Arial"/>
              </w:rPr>
            </w:pPr>
          </w:p>
        </w:tc>
        <w:tc>
          <w:tcPr>
            <w:tcW w:w="3212" w:type="dxa"/>
            <w:gridSpan w:val="2"/>
          </w:tcPr>
          <w:p w14:paraId="57E64DBD" w14:textId="77777777" w:rsidR="00BA0E27" w:rsidRPr="005B5418" w:rsidDel="000B7F3A" w:rsidRDefault="00BA0E27" w:rsidP="00BA0E27">
            <w:pPr>
              <w:spacing w:line="240" w:lineRule="auto"/>
              <w:rPr>
                <w:rFonts w:cs="Arial"/>
              </w:rPr>
            </w:pPr>
          </w:p>
        </w:tc>
      </w:tr>
      <w:tr w:rsidR="00E71CAF" w:rsidRPr="005B5418" w:rsidDel="000B7F3A" w14:paraId="0247E03E" w14:textId="77777777" w:rsidTr="005425ED">
        <w:trPr>
          <w:trHeight w:hRule="exact" w:val="461"/>
        </w:trPr>
        <w:tc>
          <w:tcPr>
            <w:tcW w:w="5404" w:type="dxa"/>
          </w:tcPr>
          <w:p w14:paraId="15F49265" w14:textId="77777777" w:rsidR="00E71CAF" w:rsidRPr="005B5418" w:rsidRDefault="00E71CAF" w:rsidP="006163FF">
            <w:pPr>
              <w:pStyle w:val="FAM-Table-outline"/>
              <w:numPr>
                <w:ilvl w:val="0"/>
                <w:numId w:val="0"/>
              </w:numPr>
              <w:spacing w:line="240" w:lineRule="auto"/>
              <w:jc w:val="both"/>
              <w:rPr>
                <w:rFonts w:eastAsia="Arial Unicode MS" w:cs="Arial"/>
                <w:i/>
                <w:szCs w:val="22"/>
              </w:rPr>
            </w:pPr>
            <w:r w:rsidRPr="005B5418">
              <w:rPr>
                <w:rFonts w:eastAsia="Arial Unicode MS" w:cs="Arial"/>
                <w:i/>
                <w:szCs w:val="22"/>
              </w:rPr>
              <w:t>Valuation Method for Opening Balances</w:t>
            </w:r>
          </w:p>
          <w:p w14:paraId="62A0F05A" w14:textId="77777777" w:rsidR="00E71CAF" w:rsidRPr="005B5418" w:rsidRDefault="00E71CAF" w:rsidP="00E71CAF">
            <w:pPr>
              <w:pStyle w:val="FAM-Table-outline"/>
              <w:numPr>
                <w:ilvl w:val="0"/>
                <w:numId w:val="0"/>
              </w:numPr>
              <w:spacing w:line="240" w:lineRule="auto"/>
              <w:ind w:left="607"/>
              <w:rPr>
                <w:rFonts w:eastAsia="Arial Unicode MS" w:cs="Arial"/>
                <w:szCs w:val="22"/>
              </w:rPr>
            </w:pPr>
          </w:p>
        </w:tc>
        <w:tc>
          <w:tcPr>
            <w:tcW w:w="965" w:type="dxa"/>
          </w:tcPr>
          <w:p w14:paraId="5331875C" w14:textId="77777777" w:rsidR="00E71CAF" w:rsidRPr="005B5418" w:rsidDel="000B7F3A" w:rsidRDefault="00E71CAF" w:rsidP="00BA0E27">
            <w:pPr>
              <w:pStyle w:val="Table-Cell-CenterBoldBefore6ptAfter6pt"/>
              <w:rPr>
                <w:rFonts w:cs="Arial"/>
              </w:rPr>
            </w:pPr>
          </w:p>
        </w:tc>
        <w:tc>
          <w:tcPr>
            <w:tcW w:w="3212" w:type="dxa"/>
            <w:gridSpan w:val="2"/>
          </w:tcPr>
          <w:p w14:paraId="2E22A605" w14:textId="77777777" w:rsidR="00E71CAF" w:rsidRPr="005B5418" w:rsidDel="000B7F3A" w:rsidRDefault="00E71CAF" w:rsidP="00BA0E27">
            <w:pPr>
              <w:spacing w:line="240" w:lineRule="auto"/>
              <w:rPr>
                <w:rFonts w:cs="Arial"/>
              </w:rPr>
            </w:pPr>
          </w:p>
        </w:tc>
      </w:tr>
      <w:tr w:rsidR="00BA0E27" w:rsidRPr="005B5418" w:rsidDel="000B7F3A" w14:paraId="677C359E" w14:textId="77777777" w:rsidTr="005425ED">
        <w:trPr>
          <w:trHeight w:val="2160"/>
        </w:trPr>
        <w:tc>
          <w:tcPr>
            <w:tcW w:w="5404" w:type="dxa"/>
          </w:tcPr>
          <w:p w14:paraId="1A725682" w14:textId="2A7521E7" w:rsidR="00BA0E27" w:rsidRPr="005B5418" w:rsidRDefault="00BA0E27" w:rsidP="005425ED">
            <w:pPr>
              <w:pStyle w:val="FAM-Table-outline"/>
              <w:spacing w:line="240" w:lineRule="auto"/>
              <w:rPr>
                <w:rFonts w:cs="Arial"/>
                <w:u w:val="single"/>
              </w:rPr>
            </w:pPr>
            <w:r w:rsidRPr="005B5418">
              <w:rPr>
                <w:rFonts w:eastAsia="Arial Unicode MS"/>
              </w:rPr>
              <w:t xml:space="preserve">If the entity is applying </w:t>
            </w:r>
            <w:r w:rsidR="00E9309E" w:rsidRPr="005B5418">
              <w:rPr>
                <w:rFonts w:eastAsia="Arial Unicode MS"/>
              </w:rPr>
              <w:t xml:space="preserve">the </w:t>
            </w:r>
            <w:r w:rsidR="00E868CE" w:rsidRPr="005B5418">
              <w:rPr>
                <w:rFonts w:eastAsia="Arial Unicode MS"/>
              </w:rPr>
              <w:t>a</w:t>
            </w:r>
            <w:r w:rsidR="00E9309E" w:rsidRPr="005B5418">
              <w:rPr>
                <w:rFonts w:eastAsia="Arial Unicode MS"/>
              </w:rPr>
              <w:t xml:space="preserve">lternative </w:t>
            </w:r>
            <w:r w:rsidR="00E868CE" w:rsidRPr="005B5418">
              <w:rPr>
                <w:rFonts w:eastAsia="Arial Unicode MS"/>
              </w:rPr>
              <w:t>v</w:t>
            </w:r>
            <w:r w:rsidR="00E9309E" w:rsidRPr="005B5418">
              <w:rPr>
                <w:rFonts w:eastAsia="Arial Unicode MS"/>
              </w:rPr>
              <w:t xml:space="preserve">aluation </w:t>
            </w:r>
            <w:r w:rsidR="00E868CE" w:rsidRPr="005B5418">
              <w:rPr>
                <w:rFonts w:eastAsia="Arial Unicode MS"/>
              </w:rPr>
              <w:t>m</w:t>
            </w:r>
            <w:r w:rsidR="00E9309E" w:rsidRPr="005B5418">
              <w:rPr>
                <w:rFonts w:eastAsia="Arial Unicode MS"/>
              </w:rPr>
              <w:t>ethod</w:t>
            </w:r>
            <w:r w:rsidRPr="005B5418">
              <w:rPr>
                <w:rFonts w:eastAsia="Arial Unicode MS"/>
              </w:rPr>
              <w:t>, does the entity apply deemed cost only in establishing opening balances</w:t>
            </w:r>
            <w:r w:rsidR="00424368" w:rsidRPr="005B5418">
              <w:rPr>
                <w:rFonts w:eastAsia="Arial Unicode MS"/>
              </w:rPr>
              <w:t xml:space="preserve"> for inventory in the reporting period </w:t>
            </w:r>
            <w:r w:rsidR="00424368" w:rsidRPr="005B5418">
              <w:rPr>
                <w:rFonts w:eastAsia="Arial Unicode MS"/>
              </w:rPr>
              <w:lastRenderedPageBreak/>
              <w:t>that the entity,</w:t>
            </w:r>
            <w:r w:rsidRPr="00C51D5A">
              <w:rPr>
                <w:rStyle w:val="FootnoteReference"/>
                <w:rFonts w:eastAsia="Arial Unicode MS"/>
              </w:rPr>
              <w:footnoteReference w:id="111"/>
            </w:r>
            <w:r w:rsidRPr="005B5418">
              <w:rPr>
                <w:rFonts w:eastAsia="Arial Unicode MS"/>
              </w:rPr>
              <w:t xml:space="preserve"> taken as a whole, makes an unreserved assertion</w:t>
            </w:r>
            <w:r w:rsidRPr="00C51D5A">
              <w:rPr>
                <w:rStyle w:val="FootnoteReference"/>
                <w:rFonts w:eastAsia="Arial Unicode MS"/>
              </w:rPr>
              <w:footnoteReference w:id="112"/>
            </w:r>
            <w:r w:rsidRPr="005B5418">
              <w:rPr>
                <w:rFonts w:eastAsia="Arial Unicode MS"/>
              </w:rPr>
              <w:t xml:space="preserve"> that its financial statements, or the inventory line item, are presented fairly in accordance with GAAP? (SFFAS 3, par</w:t>
            </w:r>
            <w:r w:rsidR="00424368" w:rsidRPr="005B5418">
              <w:rPr>
                <w:rFonts w:eastAsia="Arial Unicode MS"/>
              </w:rPr>
              <w:t>a</w:t>
            </w:r>
            <w:r w:rsidRPr="005B5418">
              <w:rPr>
                <w:rFonts w:eastAsia="Arial Unicode MS"/>
              </w:rPr>
              <w:t>. 26a(i))</w:t>
            </w:r>
          </w:p>
        </w:tc>
        <w:tc>
          <w:tcPr>
            <w:tcW w:w="965" w:type="dxa"/>
          </w:tcPr>
          <w:p w14:paraId="2F6D849C" w14:textId="77777777" w:rsidR="00BA0E27" w:rsidRPr="005B5418" w:rsidDel="000B7F3A" w:rsidRDefault="00BA0E27" w:rsidP="00BA0E27">
            <w:pPr>
              <w:pStyle w:val="Table-Cell-CenterBoldBefore6ptAfter6pt"/>
              <w:rPr>
                <w:rFonts w:cs="Arial"/>
              </w:rPr>
            </w:pPr>
          </w:p>
        </w:tc>
        <w:tc>
          <w:tcPr>
            <w:tcW w:w="3212" w:type="dxa"/>
            <w:gridSpan w:val="2"/>
          </w:tcPr>
          <w:p w14:paraId="178514D0" w14:textId="25C6BE48" w:rsidR="00BA0E27" w:rsidRPr="005B5418" w:rsidDel="000B7F3A" w:rsidRDefault="00BA0E27" w:rsidP="00BA0E27">
            <w:pPr>
              <w:spacing w:line="240" w:lineRule="auto"/>
              <w:rPr>
                <w:rFonts w:cs="Arial"/>
              </w:rPr>
            </w:pPr>
          </w:p>
        </w:tc>
      </w:tr>
      <w:tr w:rsidR="00BA0E27" w:rsidRPr="005B5418" w:rsidDel="000B7F3A" w14:paraId="50D6935F" w14:textId="77777777" w:rsidTr="005425ED">
        <w:trPr>
          <w:trHeight w:val="2160"/>
        </w:trPr>
        <w:tc>
          <w:tcPr>
            <w:tcW w:w="5404" w:type="dxa"/>
          </w:tcPr>
          <w:p w14:paraId="2321E83C" w14:textId="5E72DEBB" w:rsidR="00BA0E27" w:rsidRPr="005B5418" w:rsidRDefault="00BA0E27" w:rsidP="005425ED">
            <w:pPr>
              <w:pStyle w:val="FAM-Table-outline"/>
              <w:spacing w:line="240" w:lineRule="auto"/>
              <w:rPr>
                <w:rFonts w:cs="Arial"/>
                <w:u w:val="single"/>
              </w:rPr>
            </w:pPr>
            <w:r w:rsidRPr="005B5418">
              <w:rPr>
                <w:rFonts w:eastAsia="Arial Unicode MS"/>
              </w:rPr>
              <w:t xml:space="preserve">If the entity is applying </w:t>
            </w:r>
            <w:r w:rsidR="00E9309E" w:rsidRPr="005B5418">
              <w:rPr>
                <w:rFonts w:eastAsia="Arial Unicode MS"/>
              </w:rPr>
              <w:t xml:space="preserve">the </w:t>
            </w:r>
            <w:r w:rsidR="00E868CE" w:rsidRPr="005B5418">
              <w:rPr>
                <w:rFonts w:eastAsia="Arial Unicode MS"/>
              </w:rPr>
              <w:t>a</w:t>
            </w:r>
            <w:r w:rsidR="00E9309E" w:rsidRPr="005B5418">
              <w:rPr>
                <w:rFonts w:eastAsia="Arial Unicode MS"/>
              </w:rPr>
              <w:t xml:space="preserve">lternative </w:t>
            </w:r>
            <w:r w:rsidR="00E868CE" w:rsidRPr="005B5418">
              <w:rPr>
                <w:rFonts w:eastAsia="Arial Unicode MS"/>
              </w:rPr>
              <w:t>v</w:t>
            </w:r>
            <w:r w:rsidR="00E9309E" w:rsidRPr="005B5418">
              <w:rPr>
                <w:rFonts w:eastAsia="Arial Unicode MS"/>
              </w:rPr>
              <w:t xml:space="preserve">aluation </w:t>
            </w:r>
            <w:r w:rsidR="00E868CE" w:rsidRPr="005B5418">
              <w:rPr>
                <w:rFonts w:eastAsia="Arial Unicode MS"/>
              </w:rPr>
              <w:t>m</w:t>
            </w:r>
            <w:r w:rsidR="00E9309E" w:rsidRPr="005B5418">
              <w:rPr>
                <w:rFonts w:eastAsia="Arial Unicode MS"/>
              </w:rPr>
              <w:t>ethod</w:t>
            </w:r>
            <w:r w:rsidRPr="005B5418">
              <w:rPr>
                <w:rFonts w:eastAsia="Arial Unicode MS"/>
              </w:rPr>
              <w:t>, does the entity apply deemed cost only once after a reporting period during which existing systems could not provide the information necessary for producing GAAP-based financial statements without the use of the alternative valuation method? (SFFAS 3, par</w:t>
            </w:r>
            <w:r w:rsidR="00D93761" w:rsidRPr="005B5418">
              <w:rPr>
                <w:rFonts w:eastAsia="Arial Unicode MS"/>
              </w:rPr>
              <w:t>a</w:t>
            </w:r>
            <w:r w:rsidRPr="005B5418">
              <w:rPr>
                <w:rFonts w:eastAsia="Arial Unicode MS"/>
              </w:rPr>
              <w:t>. 26a(ii))</w:t>
            </w:r>
          </w:p>
        </w:tc>
        <w:tc>
          <w:tcPr>
            <w:tcW w:w="965" w:type="dxa"/>
          </w:tcPr>
          <w:p w14:paraId="66D7069C" w14:textId="77777777" w:rsidR="00BA0E27" w:rsidRPr="005B5418" w:rsidDel="000B7F3A" w:rsidRDefault="00BA0E27" w:rsidP="00BA0E27">
            <w:pPr>
              <w:pStyle w:val="Table-Cell-CenterBoldBefore6ptAfter6pt"/>
              <w:rPr>
                <w:rFonts w:cs="Arial"/>
              </w:rPr>
            </w:pPr>
          </w:p>
        </w:tc>
        <w:tc>
          <w:tcPr>
            <w:tcW w:w="3212" w:type="dxa"/>
            <w:gridSpan w:val="2"/>
          </w:tcPr>
          <w:p w14:paraId="62256D14" w14:textId="6B37F746" w:rsidR="00BA0E27" w:rsidRPr="005B5418" w:rsidDel="000B7F3A" w:rsidRDefault="00BA0E27" w:rsidP="00BA0E27">
            <w:pPr>
              <w:spacing w:line="240" w:lineRule="auto"/>
              <w:rPr>
                <w:rFonts w:cs="Arial"/>
              </w:rPr>
            </w:pPr>
          </w:p>
        </w:tc>
      </w:tr>
      <w:tr w:rsidR="00BA0E27" w:rsidRPr="005B5418" w:rsidDel="000B7F3A" w14:paraId="30D48E50" w14:textId="77777777" w:rsidTr="005425ED">
        <w:trPr>
          <w:trHeight w:val="1637"/>
        </w:trPr>
        <w:tc>
          <w:tcPr>
            <w:tcW w:w="5404" w:type="dxa"/>
          </w:tcPr>
          <w:p w14:paraId="52E08E0F" w14:textId="1EFB80DC" w:rsidR="00BA0E27" w:rsidRPr="005B5418" w:rsidRDefault="00BA0E27" w:rsidP="005425ED">
            <w:pPr>
              <w:pStyle w:val="FAM-Table-outline"/>
              <w:spacing w:line="240" w:lineRule="auto"/>
              <w:rPr>
                <w:rFonts w:eastAsia="Arial Unicode MS"/>
              </w:rPr>
            </w:pPr>
            <w:r w:rsidRPr="005B5418">
              <w:rPr>
                <w:rFonts w:eastAsia="Arial Unicode MS"/>
              </w:rPr>
              <w:t>Is deemed cost</w:t>
            </w:r>
            <w:r w:rsidRPr="00C51D5A">
              <w:rPr>
                <w:rStyle w:val="FootnoteReference"/>
                <w:rFonts w:eastAsia="Arial Unicode MS"/>
              </w:rPr>
              <w:footnoteReference w:id="113"/>
            </w:r>
            <w:r w:rsidRPr="005B5418">
              <w:rPr>
                <w:rFonts w:eastAsia="Arial Unicode MS"/>
              </w:rPr>
              <w:t xml:space="preserve"> based on one, or a combination, of the following valuation methods when the entity has multiple component entities using various valuation methods simultaneously</w:t>
            </w:r>
            <w:r w:rsidR="00CE42C3" w:rsidRPr="005B5418">
              <w:rPr>
                <w:rFonts w:eastAsia="Arial Unicode MS"/>
              </w:rPr>
              <w:t>?</w:t>
            </w:r>
          </w:p>
          <w:p w14:paraId="0BB6BA88" w14:textId="3BF6E1A9" w:rsidR="00BA0E27" w:rsidRPr="005B5418" w:rsidRDefault="00CE42C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S</w:t>
            </w:r>
            <w:r w:rsidR="00BA0E27" w:rsidRPr="005B5418">
              <w:rPr>
                <w:rFonts w:eastAsia="Arial Unicode MS" w:cs="Arial"/>
                <w:szCs w:val="22"/>
              </w:rPr>
              <w:t>tandard price (selling price)</w:t>
            </w:r>
            <w:r w:rsidR="00BA0E27" w:rsidRPr="00C51D5A">
              <w:rPr>
                <w:rStyle w:val="FootnoteReference"/>
                <w:rFonts w:eastAsia="Arial Unicode MS"/>
              </w:rPr>
              <w:footnoteReference w:id="114"/>
            </w:r>
            <w:r w:rsidR="00BA0E27" w:rsidRPr="005B5418">
              <w:rPr>
                <w:rFonts w:eastAsia="Arial Unicode MS" w:cs="Arial"/>
                <w:szCs w:val="22"/>
              </w:rPr>
              <w:t xml:space="preserve"> or fair value</w:t>
            </w:r>
            <w:r w:rsidR="00BA0E27" w:rsidRPr="00C51D5A">
              <w:rPr>
                <w:rStyle w:val="FootnoteReference"/>
                <w:rFonts w:eastAsia="Arial Unicode MS"/>
              </w:rPr>
              <w:footnoteReference w:id="115"/>
            </w:r>
          </w:p>
          <w:p w14:paraId="7C1EA827" w14:textId="4FE991E9" w:rsidR="00BA0E27" w:rsidRPr="005B5418" w:rsidRDefault="00CE42C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L</w:t>
            </w:r>
            <w:r w:rsidR="00BA0E27" w:rsidRPr="005B5418">
              <w:rPr>
                <w:rFonts w:eastAsia="Arial Unicode MS" w:cs="Arial"/>
                <w:szCs w:val="22"/>
              </w:rPr>
              <w:t>atest acquisition cost</w:t>
            </w:r>
            <w:r w:rsidR="00BA0E27" w:rsidRPr="00C51D5A">
              <w:rPr>
                <w:rStyle w:val="FootnoteReference"/>
                <w:rFonts w:eastAsia="Arial Unicode MS"/>
              </w:rPr>
              <w:footnoteReference w:id="116"/>
            </w:r>
          </w:p>
          <w:p w14:paraId="3F25DB93" w14:textId="06FEA1FF" w:rsidR="00BA0E27" w:rsidRPr="005B5418" w:rsidRDefault="00CE42C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R</w:t>
            </w:r>
            <w:r w:rsidR="00BA0E27" w:rsidRPr="005B5418">
              <w:rPr>
                <w:rFonts w:eastAsia="Arial Unicode MS" w:cs="Arial"/>
                <w:szCs w:val="22"/>
              </w:rPr>
              <w:t>eplacement cost</w:t>
            </w:r>
            <w:r w:rsidR="00BA0E27" w:rsidRPr="00C51D5A">
              <w:rPr>
                <w:rStyle w:val="FootnoteReference"/>
                <w:rFonts w:eastAsia="Arial Unicode MS"/>
              </w:rPr>
              <w:footnoteReference w:id="117"/>
            </w:r>
          </w:p>
          <w:p w14:paraId="2A657689" w14:textId="2FA6E188" w:rsidR="00BA0E27" w:rsidRPr="005B5418" w:rsidRDefault="00CE42C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lastRenderedPageBreak/>
              <w:t>E</w:t>
            </w:r>
            <w:r w:rsidR="00BA0E27" w:rsidRPr="005B5418">
              <w:rPr>
                <w:rFonts w:eastAsia="Arial Unicode MS" w:cs="Arial"/>
                <w:szCs w:val="22"/>
              </w:rPr>
              <w:t>stimated historical cost (initial amount)</w:t>
            </w:r>
          </w:p>
          <w:p w14:paraId="11814156" w14:textId="44B2C9E8" w:rsidR="00BA0E27" w:rsidRPr="005B5418" w:rsidRDefault="00CE42C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w:t>
            </w:r>
            <w:r w:rsidR="00BA0E27" w:rsidRPr="005B5418">
              <w:rPr>
                <w:rFonts w:eastAsia="Arial Unicode MS" w:cs="Arial"/>
                <w:szCs w:val="22"/>
              </w:rPr>
              <w:t>ctual historical cost (initial amount) (SFFAS 3, par</w:t>
            </w:r>
            <w:r w:rsidRPr="005B5418">
              <w:rPr>
                <w:rFonts w:eastAsia="Arial Unicode MS" w:cs="Arial"/>
                <w:szCs w:val="22"/>
              </w:rPr>
              <w:t>a</w:t>
            </w:r>
            <w:r w:rsidR="00BA0E27" w:rsidRPr="005B5418">
              <w:rPr>
                <w:rFonts w:eastAsia="Arial Unicode MS" w:cs="Arial"/>
                <w:szCs w:val="22"/>
              </w:rPr>
              <w:t>. 26a(iv))</w:t>
            </w:r>
          </w:p>
        </w:tc>
        <w:tc>
          <w:tcPr>
            <w:tcW w:w="965" w:type="dxa"/>
          </w:tcPr>
          <w:p w14:paraId="26B4325F" w14:textId="77777777" w:rsidR="00BA0E27" w:rsidRPr="005B5418" w:rsidDel="000B7F3A" w:rsidRDefault="00BA0E27" w:rsidP="00BA0E27">
            <w:pPr>
              <w:pStyle w:val="Table-Cell-CenterBoldBefore6ptAfter6pt"/>
              <w:rPr>
                <w:rFonts w:cs="Arial"/>
              </w:rPr>
            </w:pPr>
          </w:p>
        </w:tc>
        <w:tc>
          <w:tcPr>
            <w:tcW w:w="3212" w:type="dxa"/>
            <w:gridSpan w:val="2"/>
          </w:tcPr>
          <w:p w14:paraId="69FD2DD7" w14:textId="77777777" w:rsidR="00BA0E27" w:rsidRPr="005B5418" w:rsidDel="000B7F3A" w:rsidRDefault="00BA0E27" w:rsidP="00BA0E27">
            <w:pPr>
              <w:spacing w:line="240" w:lineRule="auto"/>
              <w:rPr>
                <w:rFonts w:cs="Arial"/>
              </w:rPr>
            </w:pPr>
          </w:p>
        </w:tc>
      </w:tr>
      <w:tr w:rsidR="00410F9E" w:rsidRPr="005B5418" w:rsidDel="000B7F3A" w14:paraId="2F940AE3" w14:textId="77777777" w:rsidTr="005425ED">
        <w:trPr>
          <w:trHeight w:hRule="exact" w:val="461"/>
        </w:trPr>
        <w:tc>
          <w:tcPr>
            <w:tcW w:w="5404" w:type="dxa"/>
          </w:tcPr>
          <w:p w14:paraId="55F26B46" w14:textId="0748D1C0" w:rsidR="00410F9E" w:rsidRPr="005B5418" w:rsidRDefault="007B5405" w:rsidP="00F8028B">
            <w:pPr>
              <w:pStyle w:val="FAM-Table-outline"/>
              <w:numPr>
                <w:ilvl w:val="0"/>
                <w:numId w:val="0"/>
              </w:numPr>
              <w:spacing w:line="240" w:lineRule="auto"/>
              <w:rPr>
                <w:rFonts w:eastAsia="Arial Unicode MS"/>
                <w:i/>
              </w:rPr>
            </w:pPr>
            <w:r w:rsidRPr="005B5418">
              <w:rPr>
                <w:rFonts w:eastAsia="Arial Unicode MS" w:cs="Arial"/>
                <w:i/>
                <w:szCs w:val="22"/>
              </w:rPr>
              <w:t>Exceptions to Valuation</w:t>
            </w:r>
          </w:p>
        </w:tc>
        <w:tc>
          <w:tcPr>
            <w:tcW w:w="965" w:type="dxa"/>
          </w:tcPr>
          <w:p w14:paraId="500A4208" w14:textId="77777777" w:rsidR="00410F9E" w:rsidRPr="005B5418" w:rsidDel="000B7F3A" w:rsidRDefault="00410F9E" w:rsidP="00BA0E27">
            <w:pPr>
              <w:pStyle w:val="Table-Cell-CenterBoldBefore6ptAfter6pt"/>
              <w:rPr>
                <w:rFonts w:cs="Arial"/>
              </w:rPr>
            </w:pPr>
          </w:p>
        </w:tc>
        <w:tc>
          <w:tcPr>
            <w:tcW w:w="3212" w:type="dxa"/>
            <w:gridSpan w:val="2"/>
          </w:tcPr>
          <w:p w14:paraId="3494126F" w14:textId="77777777" w:rsidR="00410F9E" w:rsidRPr="005B5418" w:rsidDel="000B7F3A" w:rsidRDefault="00410F9E" w:rsidP="00BA0E27">
            <w:pPr>
              <w:spacing w:line="240" w:lineRule="auto"/>
              <w:rPr>
                <w:rFonts w:cs="Arial"/>
              </w:rPr>
            </w:pPr>
          </w:p>
        </w:tc>
      </w:tr>
      <w:tr w:rsidR="00BA0E27" w:rsidRPr="005B5418" w:rsidDel="000B7F3A" w14:paraId="36DA12E1" w14:textId="77777777" w:rsidTr="005425ED">
        <w:trPr>
          <w:trHeight w:val="737"/>
        </w:trPr>
        <w:tc>
          <w:tcPr>
            <w:tcW w:w="5404" w:type="dxa"/>
          </w:tcPr>
          <w:p w14:paraId="5D7262C8" w14:textId="5D1AA57F" w:rsidR="00BA0E27" w:rsidRPr="005B5418" w:rsidRDefault="00BA0E27" w:rsidP="005425ED">
            <w:pPr>
              <w:pStyle w:val="FAM-Table-outline"/>
              <w:spacing w:line="240" w:lineRule="auto"/>
              <w:rPr>
                <w:rFonts w:eastAsia="Arial Unicode MS"/>
              </w:rPr>
            </w:pPr>
            <w:r w:rsidRPr="005B5418">
              <w:rPr>
                <w:rFonts w:eastAsia="Arial Unicode MS"/>
              </w:rPr>
              <w:t xml:space="preserve">If the entity values agricultural, mineral, and other products (e.g., petroleum) at net realizable value, does the inventory have </w:t>
            </w:r>
            <w:r w:rsidRPr="005B5418">
              <w:rPr>
                <w:rFonts w:eastAsia="Arial Unicode MS"/>
                <w:u w:val="single"/>
              </w:rPr>
              <w:t>all</w:t>
            </w:r>
            <w:r w:rsidRPr="005B5418">
              <w:rPr>
                <w:rFonts w:eastAsia="Arial Unicode MS"/>
              </w:rPr>
              <w:t xml:space="preserve"> of the following criteria</w:t>
            </w:r>
            <w:r w:rsidR="0092661A" w:rsidRPr="005B5418">
              <w:rPr>
                <w:rFonts w:eastAsia="Arial Unicode MS"/>
              </w:rPr>
              <w:t>:</w:t>
            </w:r>
            <w:r w:rsidRPr="005B5418">
              <w:rPr>
                <w:rFonts w:eastAsia="Arial Unicode MS"/>
              </w:rPr>
              <w:t xml:space="preserve"> </w:t>
            </w:r>
          </w:p>
          <w:p w14:paraId="084474F7" w14:textId="37281CCE"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units of which are interchangeable, </w:t>
            </w:r>
          </w:p>
          <w:p w14:paraId="4547E732" w14:textId="298B88F1"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units of which have immediate marketability, and</w:t>
            </w:r>
          </w:p>
          <w:p w14:paraId="727D3D3B" w14:textId="5A89A19F"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units for which appropriate costs may be difficult to obtain</w:t>
            </w:r>
            <w:r w:rsidR="0092661A" w:rsidRPr="005B5418">
              <w:rPr>
                <w:rFonts w:eastAsia="Arial Unicode MS" w:cs="Arial"/>
                <w:szCs w:val="22"/>
              </w:rPr>
              <w:t>?</w:t>
            </w:r>
            <w:r w:rsidRPr="005B5418">
              <w:rPr>
                <w:rFonts w:eastAsia="Arial Unicode MS" w:cs="Arial"/>
                <w:szCs w:val="22"/>
              </w:rPr>
              <w:t xml:space="preserve"> (SFFAS 3, par</w:t>
            </w:r>
            <w:r w:rsidR="0092661A" w:rsidRPr="005B5418">
              <w:rPr>
                <w:rFonts w:eastAsia="Arial Unicode MS" w:cs="Arial"/>
                <w:szCs w:val="22"/>
              </w:rPr>
              <w:t>a</w:t>
            </w:r>
            <w:r w:rsidRPr="005B5418">
              <w:rPr>
                <w:rFonts w:eastAsia="Arial Unicode MS" w:cs="Arial"/>
                <w:szCs w:val="22"/>
              </w:rPr>
              <w:t>. 26b)</w:t>
            </w:r>
          </w:p>
        </w:tc>
        <w:tc>
          <w:tcPr>
            <w:tcW w:w="965" w:type="dxa"/>
          </w:tcPr>
          <w:p w14:paraId="49A2F8FE" w14:textId="77777777" w:rsidR="00BA0E27" w:rsidRPr="005B5418" w:rsidDel="000B7F3A" w:rsidRDefault="00BA0E27" w:rsidP="00BA0E27">
            <w:pPr>
              <w:pStyle w:val="Table-Cell-CenterBoldBefore6ptAfter6pt"/>
              <w:rPr>
                <w:rFonts w:cs="Arial"/>
              </w:rPr>
            </w:pPr>
          </w:p>
        </w:tc>
        <w:tc>
          <w:tcPr>
            <w:tcW w:w="3212" w:type="dxa"/>
            <w:gridSpan w:val="2"/>
          </w:tcPr>
          <w:p w14:paraId="0C370C28" w14:textId="77777777" w:rsidR="00BA0E27" w:rsidRPr="005B5418" w:rsidDel="000B7F3A" w:rsidRDefault="00BA0E27" w:rsidP="00BA0E27">
            <w:pPr>
              <w:spacing w:line="240" w:lineRule="auto"/>
              <w:rPr>
                <w:rFonts w:cs="Arial"/>
              </w:rPr>
            </w:pPr>
          </w:p>
        </w:tc>
      </w:tr>
      <w:tr w:rsidR="00410F9E" w:rsidRPr="005B5418" w:rsidDel="000B7F3A" w14:paraId="30D761C7" w14:textId="77777777" w:rsidTr="005425ED">
        <w:trPr>
          <w:trHeight w:hRule="exact" w:val="461"/>
        </w:trPr>
        <w:tc>
          <w:tcPr>
            <w:tcW w:w="5404" w:type="dxa"/>
          </w:tcPr>
          <w:p w14:paraId="67130BFD" w14:textId="77777777" w:rsidR="00410F9E" w:rsidRPr="005B5418" w:rsidRDefault="00410F9E" w:rsidP="006163FF">
            <w:pPr>
              <w:pStyle w:val="FAM-Table-outline"/>
              <w:numPr>
                <w:ilvl w:val="0"/>
                <w:numId w:val="0"/>
              </w:numPr>
              <w:spacing w:line="240" w:lineRule="auto"/>
              <w:rPr>
                <w:rFonts w:eastAsia="Arial Unicode MS" w:cs="Arial"/>
                <w:i/>
                <w:szCs w:val="22"/>
              </w:rPr>
            </w:pPr>
            <w:r w:rsidRPr="005B5418">
              <w:rPr>
                <w:rFonts w:eastAsia="Arial Unicode MS" w:cs="Arial"/>
                <w:i/>
                <w:szCs w:val="22"/>
              </w:rPr>
              <w:t>Excess, Obsolete, and Unserviceable Inventory</w:t>
            </w:r>
          </w:p>
          <w:p w14:paraId="60BFE956" w14:textId="77777777" w:rsidR="00410F9E" w:rsidRPr="005B5418" w:rsidRDefault="00410F9E" w:rsidP="00BA0E27">
            <w:pPr>
              <w:pStyle w:val="FAM-Table-outline"/>
              <w:numPr>
                <w:ilvl w:val="0"/>
                <w:numId w:val="0"/>
              </w:numPr>
              <w:spacing w:line="240" w:lineRule="auto"/>
              <w:ind w:left="360"/>
              <w:rPr>
                <w:rFonts w:eastAsia="Arial Unicode MS" w:cs="Arial"/>
                <w:szCs w:val="22"/>
                <w:u w:val="single"/>
              </w:rPr>
            </w:pPr>
          </w:p>
        </w:tc>
        <w:tc>
          <w:tcPr>
            <w:tcW w:w="965" w:type="dxa"/>
          </w:tcPr>
          <w:p w14:paraId="3D676ED2" w14:textId="77777777" w:rsidR="00410F9E" w:rsidRPr="005B5418" w:rsidDel="000B7F3A" w:rsidRDefault="00410F9E" w:rsidP="00BA0E27">
            <w:pPr>
              <w:pStyle w:val="Table-Cell-CenterBoldBefore6ptAfter6pt"/>
              <w:rPr>
                <w:rFonts w:cs="Arial"/>
              </w:rPr>
            </w:pPr>
          </w:p>
        </w:tc>
        <w:tc>
          <w:tcPr>
            <w:tcW w:w="3212" w:type="dxa"/>
            <w:gridSpan w:val="2"/>
          </w:tcPr>
          <w:p w14:paraId="44133B51" w14:textId="77777777" w:rsidR="00410F9E" w:rsidRPr="005B5418" w:rsidDel="000B7F3A" w:rsidRDefault="00410F9E" w:rsidP="00BA0E27">
            <w:pPr>
              <w:spacing w:line="240" w:lineRule="auto"/>
              <w:rPr>
                <w:rFonts w:cs="Arial"/>
              </w:rPr>
            </w:pPr>
          </w:p>
        </w:tc>
      </w:tr>
      <w:tr w:rsidR="00BA0E27" w:rsidRPr="005B5418" w:rsidDel="000B7F3A" w14:paraId="174D468F" w14:textId="77777777" w:rsidTr="005425ED">
        <w:trPr>
          <w:trHeight w:val="980"/>
        </w:trPr>
        <w:tc>
          <w:tcPr>
            <w:tcW w:w="5404" w:type="dxa"/>
          </w:tcPr>
          <w:p w14:paraId="51CED07B" w14:textId="45F18E46" w:rsidR="00BA0E27" w:rsidRPr="005425ED" w:rsidRDefault="00BA0E27" w:rsidP="005425ED">
            <w:pPr>
              <w:pStyle w:val="FAM-Table-outline"/>
              <w:spacing w:line="240" w:lineRule="auto"/>
              <w:rPr>
                <w:rFonts w:eastAsia="Arial Unicode MS"/>
              </w:rPr>
            </w:pPr>
            <w:r w:rsidRPr="005B5418">
              <w:rPr>
                <w:rFonts w:eastAsia="Arial Unicode MS"/>
              </w:rPr>
              <w:t>Is excess, obsolete, and unserviceable inventory valued at its expected net realizable value? (SFFAS 3, par</w:t>
            </w:r>
            <w:r w:rsidR="00BC3615" w:rsidRPr="005B5418">
              <w:rPr>
                <w:rFonts w:eastAsia="Arial Unicode MS"/>
              </w:rPr>
              <w:t>a</w:t>
            </w:r>
            <w:r w:rsidRPr="005B5418">
              <w:rPr>
                <w:rFonts w:eastAsia="Arial Unicode MS"/>
              </w:rPr>
              <w:t>. 30)</w:t>
            </w:r>
          </w:p>
        </w:tc>
        <w:tc>
          <w:tcPr>
            <w:tcW w:w="965" w:type="dxa"/>
          </w:tcPr>
          <w:p w14:paraId="0620D993" w14:textId="77777777" w:rsidR="00BA0E27" w:rsidRPr="005B5418" w:rsidDel="000B7F3A" w:rsidRDefault="00BA0E27" w:rsidP="00BA0E27">
            <w:pPr>
              <w:pStyle w:val="Table-Cell-CenterBoldBefore6ptAfter6pt"/>
              <w:rPr>
                <w:rFonts w:cs="Arial"/>
              </w:rPr>
            </w:pPr>
          </w:p>
        </w:tc>
        <w:tc>
          <w:tcPr>
            <w:tcW w:w="3212" w:type="dxa"/>
            <w:gridSpan w:val="2"/>
          </w:tcPr>
          <w:p w14:paraId="35479C8B" w14:textId="77777777" w:rsidR="00BA0E27" w:rsidRPr="005B5418" w:rsidDel="000B7F3A" w:rsidRDefault="00BA0E27" w:rsidP="00BA0E27">
            <w:pPr>
              <w:spacing w:line="240" w:lineRule="auto"/>
              <w:rPr>
                <w:rFonts w:cs="Arial"/>
              </w:rPr>
            </w:pPr>
          </w:p>
        </w:tc>
      </w:tr>
      <w:tr w:rsidR="00BA0E27" w:rsidRPr="005B5418" w:rsidDel="000B7F3A" w14:paraId="75B58F7E" w14:textId="77777777" w:rsidTr="005425ED">
        <w:trPr>
          <w:trHeight w:val="1610"/>
        </w:trPr>
        <w:tc>
          <w:tcPr>
            <w:tcW w:w="5404" w:type="dxa"/>
          </w:tcPr>
          <w:p w14:paraId="0A98890F" w14:textId="5C7A7C88" w:rsidR="00BA0E27" w:rsidRPr="005425ED" w:rsidRDefault="00BA0E27" w:rsidP="005425ED">
            <w:pPr>
              <w:pStyle w:val="FAM-Table-outline"/>
              <w:spacing w:line="240" w:lineRule="auto"/>
              <w:rPr>
                <w:rFonts w:eastAsia="Arial Unicode MS"/>
              </w:rPr>
            </w:pPr>
            <w:r w:rsidRPr="005B5418">
              <w:rPr>
                <w:rFonts w:eastAsia="Arial Unicode MS"/>
              </w:rPr>
              <w:t>When inventory is declared excess, obsolete, or unserviceable, is the difference between the carrying amount and the expected net realizable value recognized as a loss (or gain)? (SFFAS 3, par</w:t>
            </w:r>
            <w:r w:rsidR="00BC3615" w:rsidRPr="005B5418">
              <w:rPr>
                <w:rFonts w:eastAsia="Arial Unicode MS"/>
              </w:rPr>
              <w:t>a</w:t>
            </w:r>
            <w:r w:rsidRPr="005B5418">
              <w:rPr>
                <w:rFonts w:eastAsia="Arial Unicode MS"/>
              </w:rPr>
              <w:t>. 30)</w:t>
            </w:r>
          </w:p>
        </w:tc>
        <w:tc>
          <w:tcPr>
            <w:tcW w:w="965" w:type="dxa"/>
          </w:tcPr>
          <w:p w14:paraId="18CEC544" w14:textId="77777777" w:rsidR="00BA0E27" w:rsidRPr="005B5418" w:rsidDel="000B7F3A" w:rsidRDefault="00BA0E27" w:rsidP="00BA0E27">
            <w:pPr>
              <w:pStyle w:val="Table-Cell-CenterBoldBefore6ptAfter6pt"/>
              <w:rPr>
                <w:rFonts w:cs="Arial"/>
              </w:rPr>
            </w:pPr>
          </w:p>
        </w:tc>
        <w:tc>
          <w:tcPr>
            <w:tcW w:w="3212" w:type="dxa"/>
            <w:gridSpan w:val="2"/>
          </w:tcPr>
          <w:p w14:paraId="4F7279C0" w14:textId="77777777" w:rsidR="00BA0E27" w:rsidRPr="005B5418" w:rsidDel="000B7F3A" w:rsidRDefault="00BA0E27" w:rsidP="00BA0E27">
            <w:pPr>
              <w:spacing w:line="240" w:lineRule="auto"/>
              <w:rPr>
                <w:rFonts w:cs="Arial"/>
              </w:rPr>
            </w:pPr>
          </w:p>
        </w:tc>
      </w:tr>
      <w:tr w:rsidR="00BA0E27" w:rsidRPr="005B5418" w:rsidDel="000B7F3A" w14:paraId="688EFDAA" w14:textId="77777777" w:rsidTr="005425ED">
        <w:trPr>
          <w:trHeight w:val="1520"/>
        </w:trPr>
        <w:tc>
          <w:tcPr>
            <w:tcW w:w="5404" w:type="dxa"/>
          </w:tcPr>
          <w:p w14:paraId="514EBF52" w14:textId="16308109" w:rsidR="00BA0E27" w:rsidRPr="005425ED" w:rsidRDefault="00BA0E27" w:rsidP="005425ED">
            <w:pPr>
              <w:pStyle w:val="FAM-Table-outline"/>
              <w:spacing w:line="240" w:lineRule="auto"/>
              <w:rPr>
                <w:rFonts w:eastAsia="Arial Unicode MS"/>
              </w:rPr>
            </w:pPr>
            <w:r w:rsidRPr="005B5418">
              <w:rPr>
                <w:rFonts w:eastAsia="Arial Unicode MS"/>
              </w:rPr>
              <w:t>For excess, obsolete, or unserviceable inventory, are any subsequent adjustments to the inventory’s net realizable value or any loss (or gain) upon disposal recognized as losses (or gains)? (SFFAS 3, par</w:t>
            </w:r>
            <w:r w:rsidR="00BC3615" w:rsidRPr="005B5418">
              <w:rPr>
                <w:rFonts w:eastAsia="Arial Unicode MS"/>
              </w:rPr>
              <w:t>a</w:t>
            </w:r>
            <w:r w:rsidRPr="005B5418">
              <w:rPr>
                <w:rFonts w:eastAsia="Arial Unicode MS"/>
              </w:rPr>
              <w:t>. 30)</w:t>
            </w:r>
          </w:p>
        </w:tc>
        <w:tc>
          <w:tcPr>
            <w:tcW w:w="965" w:type="dxa"/>
          </w:tcPr>
          <w:p w14:paraId="550E9204" w14:textId="77777777" w:rsidR="00BA0E27" w:rsidRPr="005B5418" w:rsidDel="000B7F3A" w:rsidRDefault="00BA0E27" w:rsidP="00BA0E27">
            <w:pPr>
              <w:pStyle w:val="Table-Cell-CenterBoldBefore6ptAfter6pt"/>
              <w:rPr>
                <w:rFonts w:cs="Arial"/>
              </w:rPr>
            </w:pPr>
          </w:p>
        </w:tc>
        <w:tc>
          <w:tcPr>
            <w:tcW w:w="3212" w:type="dxa"/>
            <w:gridSpan w:val="2"/>
          </w:tcPr>
          <w:p w14:paraId="2B048C81" w14:textId="77777777" w:rsidR="00BA0E27" w:rsidRPr="005B5418" w:rsidDel="000B7F3A" w:rsidRDefault="00BA0E27" w:rsidP="00BA0E27">
            <w:pPr>
              <w:spacing w:line="240" w:lineRule="auto"/>
              <w:rPr>
                <w:rFonts w:cs="Arial"/>
              </w:rPr>
            </w:pPr>
          </w:p>
        </w:tc>
      </w:tr>
      <w:tr w:rsidR="00DB0C42" w:rsidRPr="005B5418" w:rsidDel="000B7F3A" w14:paraId="7A7B93EC" w14:textId="77777777" w:rsidTr="005425ED">
        <w:trPr>
          <w:trHeight w:hRule="exact" w:val="461"/>
        </w:trPr>
        <w:tc>
          <w:tcPr>
            <w:tcW w:w="5404" w:type="dxa"/>
          </w:tcPr>
          <w:p w14:paraId="50A64391" w14:textId="77777777" w:rsidR="00DB0C42" w:rsidRPr="005B5418" w:rsidRDefault="00DB0C42" w:rsidP="006163FF">
            <w:pPr>
              <w:pStyle w:val="FAM-Table-outline"/>
              <w:numPr>
                <w:ilvl w:val="0"/>
                <w:numId w:val="0"/>
              </w:numPr>
              <w:spacing w:line="240" w:lineRule="auto"/>
              <w:rPr>
                <w:rFonts w:eastAsia="Arial Unicode MS" w:cs="Arial"/>
                <w:i/>
                <w:szCs w:val="22"/>
              </w:rPr>
            </w:pPr>
            <w:r w:rsidRPr="005B5418">
              <w:rPr>
                <w:rFonts w:eastAsia="Arial Unicode MS" w:cs="Arial"/>
                <w:i/>
                <w:szCs w:val="22"/>
              </w:rPr>
              <w:t>Inventory Held for Repair</w:t>
            </w:r>
          </w:p>
          <w:p w14:paraId="157ADF3B" w14:textId="77777777" w:rsidR="00DB0C42" w:rsidRPr="005B5418" w:rsidRDefault="00DB0C42" w:rsidP="00BA0E27">
            <w:pPr>
              <w:pStyle w:val="FAM-Table-outline"/>
              <w:numPr>
                <w:ilvl w:val="0"/>
                <w:numId w:val="0"/>
              </w:numPr>
              <w:spacing w:line="240" w:lineRule="auto"/>
              <w:ind w:left="360"/>
              <w:rPr>
                <w:rFonts w:eastAsia="Arial Unicode MS" w:cs="Arial"/>
                <w:szCs w:val="22"/>
                <w:u w:val="single"/>
              </w:rPr>
            </w:pPr>
          </w:p>
        </w:tc>
        <w:tc>
          <w:tcPr>
            <w:tcW w:w="965" w:type="dxa"/>
          </w:tcPr>
          <w:p w14:paraId="25D28DD6" w14:textId="77777777" w:rsidR="00DB0C42" w:rsidRPr="005B5418" w:rsidDel="000B7F3A" w:rsidRDefault="00DB0C42" w:rsidP="00BA0E27">
            <w:pPr>
              <w:pStyle w:val="Table-Cell-CenterBoldBefore6ptAfter6pt"/>
              <w:rPr>
                <w:rFonts w:cs="Arial"/>
              </w:rPr>
            </w:pPr>
          </w:p>
        </w:tc>
        <w:tc>
          <w:tcPr>
            <w:tcW w:w="3212" w:type="dxa"/>
            <w:gridSpan w:val="2"/>
          </w:tcPr>
          <w:p w14:paraId="19981573" w14:textId="77777777" w:rsidR="00DB0C42" w:rsidRPr="005B5418" w:rsidDel="000B7F3A" w:rsidRDefault="00DB0C42" w:rsidP="00BA0E27">
            <w:pPr>
              <w:spacing w:line="240" w:lineRule="auto"/>
              <w:rPr>
                <w:rFonts w:cs="Arial"/>
              </w:rPr>
            </w:pPr>
          </w:p>
        </w:tc>
      </w:tr>
      <w:tr w:rsidR="00BA0E27" w:rsidRPr="005B5418" w:rsidDel="000B7F3A" w14:paraId="5DC3DDBB" w14:textId="77777777" w:rsidTr="005425ED">
        <w:trPr>
          <w:trHeight w:val="2160"/>
        </w:trPr>
        <w:tc>
          <w:tcPr>
            <w:tcW w:w="5404" w:type="dxa"/>
          </w:tcPr>
          <w:p w14:paraId="71E6B8F2" w14:textId="77777777" w:rsidR="00BA0E27" w:rsidRPr="005B5418" w:rsidRDefault="00BA0E27" w:rsidP="005425ED">
            <w:pPr>
              <w:pStyle w:val="FAM-Table-outline"/>
              <w:spacing w:line="240" w:lineRule="auto"/>
              <w:rPr>
                <w:rFonts w:eastAsia="Arial Unicode MS"/>
              </w:rPr>
            </w:pPr>
            <w:r w:rsidRPr="005B5418">
              <w:rPr>
                <w:rFonts w:eastAsia="Arial Unicode MS"/>
              </w:rPr>
              <w:lastRenderedPageBreak/>
              <w:t>When inventory is held for repair, is it valued using</w:t>
            </w:r>
          </w:p>
          <w:p w14:paraId="3B5211A1" w14:textId="692EF00A"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allowance method (valued at the same value as a serviceable item and a contra-asset repair allowance account is established) or</w:t>
            </w:r>
          </w:p>
          <w:p w14:paraId="567B0EC0" w14:textId="7354C03C"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direct method (valued at the same value as a serviceable item less estimated repair costs)? (SFFAS 3, par</w:t>
            </w:r>
            <w:r w:rsidR="00AE14BC" w:rsidRPr="005B5418">
              <w:rPr>
                <w:rFonts w:eastAsia="Arial Unicode MS" w:cs="Arial"/>
                <w:szCs w:val="22"/>
              </w:rPr>
              <w:t>as</w:t>
            </w:r>
            <w:r w:rsidRPr="005B5418">
              <w:rPr>
                <w:rFonts w:eastAsia="Arial Unicode MS" w:cs="Arial"/>
                <w:szCs w:val="22"/>
              </w:rPr>
              <w:t>. 32</w:t>
            </w:r>
            <w:r w:rsidR="00AE14BC" w:rsidRPr="005B5418">
              <w:rPr>
                <w:rFonts w:eastAsia="Arial Unicode MS" w:cs="Arial"/>
                <w:szCs w:val="22"/>
              </w:rPr>
              <w:t>–</w:t>
            </w:r>
            <w:r w:rsidRPr="005B5418">
              <w:rPr>
                <w:rFonts w:eastAsia="Arial Unicode MS" w:cs="Arial"/>
                <w:szCs w:val="22"/>
              </w:rPr>
              <w:t>33)</w:t>
            </w:r>
          </w:p>
        </w:tc>
        <w:tc>
          <w:tcPr>
            <w:tcW w:w="965" w:type="dxa"/>
          </w:tcPr>
          <w:p w14:paraId="49F1BD9B" w14:textId="77777777" w:rsidR="00BA0E27" w:rsidRPr="005B5418" w:rsidDel="000B7F3A" w:rsidRDefault="00BA0E27" w:rsidP="00BA0E27">
            <w:pPr>
              <w:pStyle w:val="Table-Cell-CenterBoldBefore6ptAfter6pt"/>
              <w:rPr>
                <w:rFonts w:cs="Arial"/>
              </w:rPr>
            </w:pPr>
          </w:p>
        </w:tc>
        <w:tc>
          <w:tcPr>
            <w:tcW w:w="3212" w:type="dxa"/>
            <w:gridSpan w:val="2"/>
          </w:tcPr>
          <w:p w14:paraId="5A03C5B0" w14:textId="77777777" w:rsidR="00BA0E27" w:rsidRPr="005B5418" w:rsidDel="000B7F3A" w:rsidRDefault="00BA0E27" w:rsidP="00BA0E27">
            <w:pPr>
              <w:spacing w:line="240" w:lineRule="auto"/>
              <w:rPr>
                <w:rFonts w:cs="Arial"/>
              </w:rPr>
            </w:pPr>
          </w:p>
        </w:tc>
      </w:tr>
      <w:tr w:rsidR="00DB0C42" w:rsidRPr="005B5418" w:rsidDel="000B7F3A" w14:paraId="5BDAF290" w14:textId="77777777" w:rsidTr="005425ED">
        <w:trPr>
          <w:trHeight w:hRule="exact" w:val="461"/>
        </w:trPr>
        <w:tc>
          <w:tcPr>
            <w:tcW w:w="5404" w:type="dxa"/>
          </w:tcPr>
          <w:p w14:paraId="3E1E453F" w14:textId="77777777" w:rsidR="00DB0C42" w:rsidRPr="005B5418" w:rsidRDefault="00DB0C42" w:rsidP="006163FF">
            <w:pPr>
              <w:pStyle w:val="FAM-Table-outline"/>
              <w:numPr>
                <w:ilvl w:val="0"/>
                <w:numId w:val="0"/>
              </w:numPr>
              <w:spacing w:line="240" w:lineRule="auto"/>
              <w:rPr>
                <w:rFonts w:eastAsia="Arial Unicode MS" w:cs="Arial"/>
                <w:i/>
                <w:szCs w:val="22"/>
              </w:rPr>
            </w:pPr>
            <w:r w:rsidRPr="005B5418">
              <w:rPr>
                <w:rFonts w:eastAsia="Arial Unicode MS" w:cs="Arial"/>
                <w:i/>
                <w:szCs w:val="22"/>
              </w:rPr>
              <w:t>Other Categories of Inventory</w:t>
            </w:r>
          </w:p>
          <w:p w14:paraId="2A535476" w14:textId="77777777" w:rsidR="00DB0C42" w:rsidRPr="005B5418" w:rsidRDefault="00DB0C42" w:rsidP="00BA0E27">
            <w:pPr>
              <w:pStyle w:val="FAM-Table-outline"/>
              <w:numPr>
                <w:ilvl w:val="0"/>
                <w:numId w:val="0"/>
              </w:numPr>
              <w:spacing w:line="240" w:lineRule="auto"/>
              <w:ind w:left="360"/>
              <w:rPr>
                <w:rFonts w:eastAsia="Arial Unicode MS" w:cs="Arial"/>
                <w:szCs w:val="22"/>
                <w:u w:val="single"/>
              </w:rPr>
            </w:pPr>
          </w:p>
        </w:tc>
        <w:tc>
          <w:tcPr>
            <w:tcW w:w="965" w:type="dxa"/>
          </w:tcPr>
          <w:p w14:paraId="59DBECC9" w14:textId="77777777" w:rsidR="00DB0C42" w:rsidRPr="005B5418" w:rsidDel="000B7F3A" w:rsidRDefault="00DB0C42" w:rsidP="00BA0E27">
            <w:pPr>
              <w:pStyle w:val="Table-Cell-CenterBoldBefore6ptAfter6pt"/>
              <w:rPr>
                <w:rFonts w:cs="Arial"/>
              </w:rPr>
            </w:pPr>
          </w:p>
        </w:tc>
        <w:tc>
          <w:tcPr>
            <w:tcW w:w="3212" w:type="dxa"/>
            <w:gridSpan w:val="2"/>
          </w:tcPr>
          <w:p w14:paraId="6517C484" w14:textId="77777777" w:rsidR="00DB0C42" w:rsidRPr="005B5418" w:rsidDel="000B7F3A" w:rsidRDefault="00DB0C42" w:rsidP="00BA0E27">
            <w:pPr>
              <w:spacing w:line="240" w:lineRule="auto"/>
              <w:rPr>
                <w:rFonts w:cs="Arial"/>
              </w:rPr>
            </w:pPr>
          </w:p>
        </w:tc>
      </w:tr>
      <w:tr w:rsidR="00BA0E27" w:rsidRPr="005B5418" w:rsidDel="000B7F3A" w14:paraId="422773FE" w14:textId="77777777" w:rsidTr="005425ED">
        <w:trPr>
          <w:trHeight w:val="1448"/>
        </w:trPr>
        <w:tc>
          <w:tcPr>
            <w:tcW w:w="5404" w:type="dxa"/>
          </w:tcPr>
          <w:p w14:paraId="79986CC1" w14:textId="1FBA67C8" w:rsidR="00BA0E27" w:rsidRPr="005B5418" w:rsidRDefault="00BA0E27" w:rsidP="005425ED">
            <w:pPr>
              <w:pStyle w:val="FAM-Table-outline"/>
              <w:spacing w:line="240" w:lineRule="auto"/>
              <w:rPr>
                <w:rFonts w:cs="Arial"/>
                <w:u w:val="single"/>
              </w:rPr>
            </w:pPr>
            <w:r w:rsidRPr="005B5418">
              <w:rPr>
                <w:rFonts w:eastAsia="Arial Unicode MS"/>
              </w:rPr>
              <w:t>Is inventory held in reserve for future sale valued using the same basis as inventory held for sale in normal operations? (SFFAS 3, par</w:t>
            </w:r>
            <w:r w:rsidR="005B7530" w:rsidRPr="005B5418">
              <w:rPr>
                <w:rFonts w:eastAsia="Arial Unicode MS"/>
              </w:rPr>
              <w:t>a</w:t>
            </w:r>
            <w:r w:rsidRPr="005B5418">
              <w:rPr>
                <w:rFonts w:eastAsia="Arial Unicode MS"/>
              </w:rPr>
              <w:t>. 27)</w:t>
            </w:r>
          </w:p>
        </w:tc>
        <w:tc>
          <w:tcPr>
            <w:tcW w:w="965" w:type="dxa"/>
          </w:tcPr>
          <w:p w14:paraId="67911E46" w14:textId="77777777" w:rsidR="00BA0E27" w:rsidRPr="005B5418" w:rsidDel="000B7F3A" w:rsidRDefault="00BA0E27" w:rsidP="00BA0E27">
            <w:pPr>
              <w:pStyle w:val="Table-Cell-CenterBoldBefore6ptAfter6pt"/>
              <w:rPr>
                <w:rFonts w:cs="Arial"/>
              </w:rPr>
            </w:pPr>
          </w:p>
        </w:tc>
        <w:tc>
          <w:tcPr>
            <w:tcW w:w="3212" w:type="dxa"/>
            <w:gridSpan w:val="2"/>
          </w:tcPr>
          <w:p w14:paraId="45434E81" w14:textId="77777777" w:rsidR="00BA0E27" w:rsidRPr="005B5418" w:rsidDel="000B7F3A" w:rsidRDefault="00BA0E27" w:rsidP="00BA0E27">
            <w:pPr>
              <w:spacing w:line="240" w:lineRule="auto"/>
              <w:rPr>
                <w:rFonts w:cs="Arial"/>
              </w:rPr>
            </w:pPr>
          </w:p>
        </w:tc>
      </w:tr>
      <w:tr w:rsidR="00BA0E27" w:rsidRPr="005B5418" w:rsidDel="000B7F3A" w14:paraId="1366362F" w14:textId="77777777" w:rsidTr="005425ED">
        <w:trPr>
          <w:trHeight w:val="917"/>
        </w:trPr>
        <w:tc>
          <w:tcPr>
            <w:tcW w:w="5404" w:type="dxa"/>
          </w:tcPr>
          <w:p w14:paraId="7E99BBE6" w14:textId="56EAC37E" w:rsidR="00BA0E27" w:rsidRPr="005B5418" w:rsidRDefault="00BA0E27" w:rsidP="005425ED">
            <w:pPr>
              <w:pStyle w:val="FAM-Table-outline"/>
              <w:numPr>
                <w:ilvl w:val="0"/>
                <w:numId w:val="1"/>
              </w:numPr>
              <w:spacing w:line="240" w:lineRule="auto"/>
              <w:ind w:left="609" w:hanging="609"/>
              <w:rPr>
                <w:rFonts w:cs="Arial"/>
                <w:u w:val="single"/>
              </w:rPr>
            </w:pPr>
            <w:r w:rsidRPr="005B5418">
              <w:rPr>
                <w:rFonts w:eastAsia="Arial Unicode MS" w:cs="Arial"/>
                <w:szCs w:val="22"/>
              </w:rPr>
              <w:t>Are items intended for sale that are held for remanufacture</w:t>
            </w:r>
            <w:r w:rsidRPr="005B5418">
              <w:rPr>
                <w:rStyle w:val="FootnoteReference"/>
                <w:rFonts w:eastAsia="Arial Unicode MS" w:cs="Arial"/>
                <w:szCs w:val="22"/>
              </w:rPr>
              <w:footnoteReference w:id="118"/>
            </w:r>
            <w:r w:rsidRPr="005B5418">
              <w:rPr>
                <w:rFonts w:eastAsia="Arial Unicode MS" w:cs="Arial"/>
                <w:szCs w:val="22"/>
              </w:rPr>
              <w:t xml:space="preserve"> valued in the same manner as items intended for sale or items held for repair, as applicable? (FASAB Interpretation No. 7, par</w:t>
            </w:r>
            <w:r w:rsidR="005B7530" w:rsidRPr="005B5418">
              <w:rPr>
                <w:rFonts w:eastAsia="Arial Unicode MS" w:cs="Arial"/>
                <w:szCs w:val="22"/>
              </w:rPr>
              <w:t>a</w:t>
            </w:r>
            <w:r w:rsidRPr="005B5418">
              <w:rPr>
                <w:rFonts w:eastAsia="Arial Unicode MS" w:cs="Arial"/>
                <w:szCs w:val="22"/>
              </w:rPr>
              <w:t>. 10)</w:t>
            </w:r>
          </w:p>
        </w:tc>
        <w:tc>
          <w:tcPr>
            <w:tcW w:w="965" w:type="dxa"/>
          </w:tcPr>
          <w:p w14:paraId="6ACA6495" w14:textId="77777777" w:rsidR="00BA0E27" w:rsidRPr="005B5418" w:rsidDel="000B7F3A" w:rsidRDefault="00BA0E27" w:rsidP="00BA0E27">
            <w:pPr>
              <w:pStyle w:val="Table-Cell-CenterBoldBefore6ptAfter6pt"/>
              <w:rPr>
                <w:rFonts w:cs="Arial"/>
              </w:rPr>
            </w:pPr>
          </w:p>
        </w:tc>
        <w:tc>
          <w:tcPr>
            <w:tcW w:w="3212" w:type="dxa"/>
            <w:gridSpan w:val="2"/>
          </w:tcPr>
          <w:p w14:paraId="7181960C" w14:textId="77777777" w:rsidR="00BA0E27" w:rsidRPr="005B5418" w:rsidDel="000B7F3A" w:rsidRDefault="00BA0E27" w:rsidP="00BA0E27">
            <w:pPr>
              <w:spacing w:line="240" w:lineRule="auto"/>
              <w:rPr>
                <w:rFonts w:cs="Arial"/>
              </w:rPr>
            </w:pPr>
          </w:p>
        </w:tc>
      </w:tr>
      <w:tr w:rsidR="00BA0E27" w:rsidRPr="005B5418" w14:paraId="5CD3C58C" w14:textId="77777777" w:rsidTr="008848DA">
        <w:trPr>
          <w:trHeight w:val="422"/>
        </w:trPr>
        <w:tc>
          <w:tcPr>
            <w:tcW w:w="9581" w:type="dxa"/>
            <w:gridSpan w:val="4"/>
          </w:tcPr>
          <w:p w14:paraId="53396B3C" w14:textId="77777777" w:rsidR="00BA0E27" w:rsidRPr="005B5418" w:rsidRDefault="00BA0E27" w:rsidP="00BA0E27">
            <w:pPr>
              <w:spacing w:line="240" w:lineRule="auto"/>
              <w:rPr>
                <w:rFonts w:ascii="Arial" w:hAnsi="Arial" w:cs="Arial"/>
                <w:b/>
              </w:rPr>
            </w:pPr>
            <w:r w:rsidRPr="005B5418">
              <w:rPr>
                <w:rFonts w:ascii="Arial" w:hAnsi="Arial" w:cs="Arial"/>
                <w:b/>
              </w:rPr>
              <w:t>Disclosure</w:t>
            </w:r>
          </w:p>
        </w:tc>
      </w:tr>
      <w:tr w:rsidR="00BA0E27" w:rsidRPr="005B5418" w:rsidDel="000B7F3A" w14:paraId="34B4ACE7" w14:textId="77777777" w:rsidTr="005425ED">
        <w:trPr>
          <w:trHeight w:val="2160"/>
        </w:trPr>
        <w:tc>
          <w:tcPr>
            <w:tcW w:w="5404" w:type="dxa"/>
          </w:tcPr>
          <w:p w14:paraId="434E6327" w14:textId="6188C367" w:rsidR="00BA0E27" w:rsidRPr="005B5418" w:rsidRDefault="00BA0E27" w:rsidP="005425ED">
            <w:pPr>
              <w:pStyle w:val="FAM-Table-outline"/>
              <w:spacing w:line="240" w:lineRule="auto"/>
              <w:rPr>
                <w:rFonts w:eastAsia="Arial Unicode MS"/>
              </w:rPr>
            </w:pPr>
            <w:r w:rsidRPr="005B5418">
              <w:rPr>
                <w:rFonts w:eastAsia="Arial Unicode MS"/>
              </w:rPr>
              <w:t>Are inventory stocks, which are maintained because they are not readily available in the market or because there is more than a remote chance that they will eventually be needed (although not necessarily in the normal course of operations), classified as inventory held in reserve for future sale and either</w:t>
            </w:r>
          </w:p>
          <w:p w14:paraId="313E9A19" w14:textId="6647D3F1"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included in the inventory line item on the face of the financial statements with separate disclosure in the notes or</w:t>
            </w:r>
          </w:p>
          <w:p w14:paraId="49AA7D22" w14:textId="050063BA" w:rsidR="00BA0E27" w:rsidRPr="005B5418" w:rsidRDefault="00BA0E27" w:rsidP="005425ED">
            <w:pPr>
              <w:pStyle w:val="FAM-Table-outline2"/>
              <w:numPr>
                <w:ilvl w:val="1"/>
                <w:numId w:val="1"/>
              </w:numPr>
              <w:tabs>
                <w:tab w:val="num" w:pos="576"/>
              </w:tabs>
              <w:spacing w:line="240" w:lineRule="auto"/>
              <w:ind w:left="1155" w:hanging="458"/>
              <w:rPr>
                <w:rFonts w:cs="Arial"/>
              </w:rPr>
            </w:pPr>
            <w:r w:rsidRPr="005B5418">
              <w:rPr>
                <w:rFonts w:eastAsia="Arial Unicode MS" w:cs="Arial"/>
                <w:szCs w:val="22"/>
              </w:rPr>
              <w:t>shown as a separate line item on the face of the financial statements?</w:t>
            </w:r>
            <w:r w:rsidRPr="005B5418">
              <w:rPr>
                <w:rFonts w:eastAsia="Arial Unicode MS" w:cs="Arial"/>
                <w:szCs w:val="22"/>
              </w:rPr>
              <w:br/>
              <w:t>(SFFAS 3, par</w:t>
            </w:r>
            <w:r w:rsidR="006F7877" w:rsidRPr="005B5418">
              <w:rPr>
                <w:rFonts w:eastAsia="Arial Unicode MS" w:cs="Arial"/>
                <w:szCs w:val="22"/>
              </w:rPr>
              <w:t>a</w:t>
            </w:r>
            <w:r w:rsidRPr="005B5418">
              <w:rPr>
                <w:rFonts w:eastAsia="Arial Unicode MS" w:cs="Arial"/>
                <w:szCs w:val="22"/>
              </w:rPr>
              <w:t>. 27)</w:t>
            </w:r>
          </w:p>
        </w:tc>
        <w:tc>
          <w:tcPr>
            <w:tcW w:w="965" w:type="dxa"/>
          </w:tcPr>
          <w:p w14:paraId="2C8F6934" w14:textId="77777777" w:rsidR="00BA0E27" w:rsidRPr="005B5418" w:rsidDel="000B7F3A" w:rsidRDefault="00BA0E27" w:rsidP="00BA0E27">
            <w:pPr>
              <w:pStyle w:val="Table-Cell-CenterBoldBefore6ptAfter6pt"/>
              <w:rPr>
                <w:rFonts w:cs="Arial"/>
                <w:lang w:val="pt-BR"/>
              </w:rPr>
            </w:pPr>
          </w:p>
        </w:tc>
        <w:tc>
          <w:tcPr>
            <w:tcW w:w="3212" w:type="dxa"/>
            <w:gridSpan w:val="2"/>
          </w:tcPr>
          <w:p w14:paraId="14C3C04B" w14:textId="77777777" w:rsidR="00BA0E27" w:rsidRPr="005B5418" w:rsidDel="000B7F3A" w:rsidRDefault="00BA0E27" w:rsidP="00BA0E27">
            <w:pPr>
              <w:spacing w:line="240" w:lineRule="auto"/>
              <w:rPr>
                <w:rFonts w:cs="Arial"/>
                <w:lang w:val="pt-BR"/>
              </w:rPr>
            </w:pPr>
          </w:p>
        </w:tc>
      </w:tr>
      <w:tr w:rsidR="00BA0E27" w:rsidRPr="005B5418" w14:paraId="5809526F" w14:textId="77777777" w:rsidTr="005425ED">
        <w:trPr>
          <w:trHeight w:val="2160"/>
        </w:trPr>
        <w:tc>
          <w:tcPr>
            <w:tcW w:w="5404" w:type="dxa"/>
          </w:tcPr>
          <w:p w14:paraId="1259E17A" w14:textId="381D9701" w:rsidR="00BA0E27" w:rsidRPr="005B5418" w:rsidRDefault="00BA0E27" w:rsidP="005425ED">
            <w:pPr>
              <w:pStyle w:val="FAM-Table-outline"/>
              <w:spacing w:line="240" w:lineRule="auto"/>
              <w:rPr>
                <w:rFonts w:eastAsia="Arial Unicode MS"/>
              </w:rPr>
            </w:pPr>
            <w:r w:rsidRPr="005B5418">
              <w:rPr>
                <w:rFonts w:eastAsia="Arial Unicode MS"/>
              </w:rPr>
              <w:lastRenderedPageBreak/>
              <w:t>Is inventory stock that (1) exceeds the amount that can be sold in the foreseeable future and not meeting management’s criteria to be held in reserve for future sales, (2) is no longer needed, and (3) is more economical to dispose than repair reported as either</w:t>
            </w:r>
          </w:p>
          <w:p w14:paraId="1D2BCAB5" w14:textId="66D35222"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included in the inventory line item on the face of the financial statements with separate disclosures in the notes or</w:t>
            </w:r>
          </w:p>
          <w:p w14:paraId="340C3CE0" w14:textId="170387B8" w:rsidR="00BA0E27" w:rsidRPr="005B5418" w:rsidRDefault="00BA0E27" w:rsidP="005425ED">
            <w:pPr>
              <w:pStyle w:val="FAM-Table-outline2"/>
              <w:numPr>
                <w:ilvl w:val="1"/>
                <w:numId w:val="1"/>
              </w:numPr>
              <w:tabs>
                <w:tab w:val="num" w:pos="576"/>
              </w:tabs>
              <w:spacing w:line="240" w:lineRule="auto"/>
              <w:ind w:left="1155" w:hanging="458"/>
            </w:pPr>
            <w:r w:rsidRPr="005B5418">
              <w:rPr>
                <w:rFonts w:eastAsia="Arial Unicode MS" w:cs="Arial"/>
                <w:szCs w:val="22"/>
              </w:rPr>
              <w:t>shown as a separate line item on the face of the financial statements?</w:t>
            </w:r>
            <w:r w:rsidRPr="005B5418">
              <w:rPr>
                <w:rFonts w:eastAsia="Arial Unicode MS" w:cs="Arial"/>
                <w:szCs w:val="22"/>
              </w:rPr>
              <w:br/>
              <w:t>(SFFAS 3, par</w:t>
            </w:r>
            <w:r w:rsidR="00F418AF" w:rsidRPr="005B5418">
              <w:rPr>
                <w:rFonts w:eastAsia="Arial Unicode MS" w:cs="Arial"/>
                <w:szCs w:val="22"/>
              </w:rPr>
              <w:t>a</w:t>
            </w:r>
            <w:r w:rsidRPr="005B5418">
              <w:rPr>
                <w:rFonts w:eastAsia="Arial Unicode MS" w:cs="Arial"/>
                <w:szCs w:val="22"/>
              </w:rPr>
              <w:t>. 29)</w:t>
            </w:r>
          </w:p>
        </w:tc>
        <w:tc>
          <w:tcPr>
            <w:tcW w:w="965" w:type="dxa"/>
          </w:tcPr>
          <w:p w14:paraId="54881CEA" w14:textId="77777777" w:rsidR="00BA0E27" w:rsidRPr="005B5418" w:rsidRDefault="00BA0E27" w:rsidP="00BA0E27">
            <w:pPr>
              <w:pStyle w:val="Table-Cell-CenterBoldBefore6ptAfter6pt"/>
              <w:rPr>
                <w:rFonts w:cs="Arial"/>
              </w:rPr>
            </w:pPr>
          </w:p>
        </w:tc>
        <w:tc>
          <w:tcPr>
            <w:tcW w:w="3212" w:type="dxa"/>
            <w:gridSpan w:val="2"/>
          </w:tcPr>
          <w:p w14:paraId="04CA180D" w14:textId="77777777" w:rsidR="00BA0E27" w:rsidRPr="005B5418" w:rsidRDefault="00BA0E27" w:rsidP="00BA0E27">
            <w:pPr>
              <w:spacing w:line="240" w:lineRule="auto"/>
              <w:rPr>
                <w:rFonts w:cs="Arial"/>
              </w:rPr>
            </w:pPr>
          </w:p>
        </w:tc>
      </w:tr>
      <w:tr w:rsidR="00BA0E27" w:rsidRPr="005B5418" w:rsidDel="000B7F3A" w14:paraId="61CE03EC" w14:textId="77777777" w:rsidTr="005425ED">
        <w:trPr>
          <w:trHeight w:val="2160"/>
        </w:trPr>
        <w:tc>
          <w:tcPr>
            <w:tcW w:w="5404" w:type="dxa"/>
          </w:tcPr>
          <w:p w14:paraId="78AC5080" w14:textId="77777777" w:rsidR="00BA0E27" w:rsidRPr="005B5418" w:rsidRDefault="00BA0E27" w:rsidP="005425ED">
            <w:pPr>
              <w:pStyle w:val="FAM-Table-outline"/>
              <w:spacing w:line="240" w:lineRule="auto"/>
              <w:rPr>
                <w:rFonts w:eastAsia="Arial Unicode MS"/>
              </w:rPr>
            </w:pPr>
            <w:r w:rsidRPr="005B5418">
              <w:rPr>
                <w:rFonts w:eastAsia="Arial Unicode MS"/>
              </w:rPr>
              <w:t>Does the entity disclosure of inventory include</w:t>
            </w:r>
          </w:p>
          <w:p w14:paraId="05993916"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general composition;</w:t>
            </w:r>
          </w:p>
          <w:p w14:paraId="622FBAC3" w14:textId="664DF8F4" w:rsidR="00BA0E27" w:rsidRPr="005B5418" w:rsidRDefault="006555CE"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a </w:t>
            </w:r>
            <w:r w:rsidR="00BA0E27" w:rsidRPr="005B5418">
              <w:rPr>
                <w:rFonts w:eastAsia="Arial Unicode MS" w:cs="Arial"/>
                <w:szCs w:val="22"/>
              </w:rPr>
              <w:t>basis for determining inventory values (including the valuation method and any cost flow assumptions);</w:t>
            </w:r>
          </w:p>
          <w:p w14:paraId="5C1CA667"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changes from prior years’ accounting methods, if any;</w:t>
            </w:r>
          </w:p>
          <w:p w14:paraId="522895E8"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balances for each of the following categories of inventory (unless otherwise presented on the financial statements):</w:t>
            </w:r>
          </w:p>
          <w:p w14:paraId="7A0BD2F9"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inventory held for current sale</w:t>
            </w:r>
          </w:p>
          <w:p w14:paraId="32A997AA"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inventory held in reserve for future sale</w:t>
            </w:r>
          </w:p>
          <w:p w14:paraId="2F2C1C51"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excess, obsolete, and unserviceable inventory</w:t>
            </w:r>
          </w:p>
          <w:p w14:paraId="4A4714CF" w14:textId="72E69FD3"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inventory held for repair</w:t>
            </w:r>
            <w:r w:rsidR="006555CE" w:rsidRPr="005B5418">
              <w:rPr>
                <w:rFonts w:cs="Arial"/>
                <w:sz w:val="22"/>
                <w:szCs w:val="22"/>
              </w:rPr>
              <w:t>;</w:t>
            </w:r>
          </w:p>
          <w:p w14:paraId="23F62AAF"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difference between the carrying amount of the inventory before identification as excess, obsolete, or unserviceable, and its expected net realizable value;</w:t>
            </w:r>
          </w:p>
          <w:p w14:paraId="35D03B1D"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restriction on the sale of inventory;</w:t>
            </w:r>
          </w:p>
          <w:p w14:paraId="1078A294"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decision criteria for categorizing inventory; and</w:t>
            </w:r>
          </w:p>
          <w:p w14:paraId="7F01AF79" w14:textId="0C717741" w:rsidR="00BA0E27" w:rsidRPr="005B5418" w:rsidDel="000B7F3A"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changes in the criteria for categorizing inventory? (SFFAS 3, par</w:t>
            </w:r>
            <w:r w:rsidR="006555CE" w:rsidRPr="005B5418">
              <w:rPr>
                <w:rFonts w:eastAsia="Arial Unicode MS" w:cs="Arial"/>
                <w:szCs w:val="22"/>
              </w:rPr>
              <w:t>as</w:t>
            </w:r>
            <w:r w:rsidRPr="005B5418">
              <w:rPr>
                <w:rFonts w:eastAsia="Arial Unicode MS" w:cs="Arial"/>
                <w:szCs w:val="22"/>
              </w:rPr>
              <w:t>. 18, 28, 30, 31, 32</w:t>
            </w:r>
            <w:r w:rsidR="006555CE" w:rsidRPr="005B5418">
              <w:rPr>
                <w:rFonts w:eastAsia="Arial Unicode MS" w:cs="Arial"/>
                <w:szCs w:val="22"/>
              </w:rPr>
              <w:t>,</w:t>
            </w:r>
            <w:r w:rsidRPr="005B5418">
              <w:rPr>
                <w:rFonts w:eastAsia="Arial Unicode MS" w:cs="Arial"/>
                <w:szCs w:val="22"/>
              </w:rPr>
              <w:t xml:space="preserve"> and 35)</w:t>
            </w:r>
          </w:p>
        </w:tc>
        <w:tc>
          <w:tcPr>
            <w:tcW w:w="965" w:type="dxa"/>
          </w:tcPr>
          <w:p w14:paraId="7EB5BF7F" w14:textId="77777777" w:rsidR="00BA0E27" w:rsidRPr="005B5418" w:rsidDel="000B7F3A" w:rsidRDefault="00BA0E27" w:rsidP="00BA0E27">
            <w:pPr>
              <w:pStyle w:val="Table-Cell-CenterBoldBefore6ptAfter6pt"/>
              <w:rPr>
                <w:rFonts w:cs="Arial"/>
                <w:lang w:val="pt-BR"/>
              </w:rPr>
            </w:pPr>
          </w:p>
        </w:tc>
        <w:tc>
          <w:tcPr>
            <w:tcW w:w="3212" w:type="dxa"/>
            <w:gridSpan w:val="2"/>
          </w:tcPr>
          <w:p w14:paraId="1D8065CC" w14:textId="77777777" w:rsidR="00BA0E27" w:rsidRPr="005B5418" w:rsidDel="000B7F3A" w:rsidRDefault="00BA0E27" w:rsidP="00BA0E27">
            <w:pPr>
              <w:spacing w:line="240" w:lineRule="auto"/>
              <w:rPr>
                <w:rFonts w:cs="Arial"/>
                <w:lang w:val="pt-BR"/>
              </w:rPr>
            </w:pPr>
          </w:p>
        </w:tc>
      </w:tr>
      <w:tr w:rsidR="00BA0E27" w:rsidRPr="005B5418" w:rsidDel="000B7F3A" w14:paraId="70D3EE05" w14:textId="77777777" w:rsidTr="005425ED">
        <w:trPr>
          <w:trHeight w:val="467"/>
        </w:trPr>
        <w:tc>
          <w:tcPr>
            <w:tcW w:w="5404" w:type="dxa"/>
          </w:tcPr>
          <w:p w14:paraId="37795325" w14:textId="3985CA8C" w:rsidR="00BA0E27" w:rsidRPr="005B5418" w:rsidRDefault="00BA0E27" w:rsidP="005425ED">
            <w:pPr>
              <w:pStyle w:val="FAM-Table-outline"/>
              <w:spacing w:line="240" w:lineRule="auto"/>
              <w:rPr>
                <w:rFonts w:eastAsia="Arial Unicode MS"/>
              </w:rPr>
            </w:pPr>
            <w:r w:rsidRPr="005B5418">
              <w:rPr>
                <w:rFonts w:eastAsia="Arial Unicode MS"/>
              </w:rPr>
              <w:t xml:space="preserve">If, during any of the periods presented, the entity initially elected to apply an alternative valuation method (i.e., deemed cost) in establishing opening balances for one or more </w:t>
            </w:r>
            <w:r w:rsidRPr="005B5418">
              <w:rPr>
                <w:rFonts w:eastAsia="Arial Unicode MS"/>
              </w:rPr>
              <w:lastRenderedPageBreak/>
              <w:t>line items related to inventory, did the entity</w:t>
            </w:r>
          </w:p>
          <w:p w14:paraId="4477872F"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disclose that it elected to apply deemed cost in establishing opening balances for inventory; </w:t>
            </w:r>
          </w:p>
          <w:p w14:paraId="388A009F"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describe the method; and</w:t>
            </w:r>
          </w:p>
          <w:p w14:paraId="2146B8D8" w14:textId="7BCFDC40"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treat the election as a change in accounting principle by reporting the change in accordance with SFFAS 21, par</w:t>
            </w:r>
            <w:r w:rsidR="00E80DF5" w:rsidRPr="005B5418">
              <w:rPr>
                <w:rFonts w:eastAsia="Arial Unicode MS" w:cs="Arial"/>
                <w:szCs w:val="22"/>
              </w:rPr>
              <w:t>agraph</w:t>
            </w:r>
            <w:r w:rsidRPr="005B5418">
              <w:rPr>
                <w:rFonts w:eastAsia="Arial Unicode MS" w:cs="Arial"/>
                <w:szCs w:val="22"/>
              </w:rPr>
              <w:t xml:space="preserve"> 13?</w:t>
            </w:r>
            <w:r w:rsidRPr="005B5418">
              <w:rPr>
                <w:rFonts w:eastAsia="Arial Unicode MS" w:cs="Arial"/>
                <w:szCs w:val="22"/>
              </w:rPr>
              <w:br/>
              <w:t>(SFFAS 3, par</w:t>
            </w:r>
            <w:r w:rsidR="00E80DF5" w:rsidRPr="005B5418">
              <w:rPr>
                <w:rFonts w:eastAsia="Arial Unicode MS" w:cs="Arial"/>
                <w:szCs w:val="22"/>
              </w:rPr>
              <w:t>as</w:t>
            </w:r>
            <w:r w:rsidRPr="005B5418">
              <w:rPr>
                <w:rFonts w:eastAsia="Arial Unicode MS" w:cs="Arial"/>
                <w:szCs w:val="22"/>
              </w:rPr>
              <w:t xml:space="preserve">. 26(a)(iii) and 26(a)(v)) </w:t>
            </w:r>
          </w:p>
        </w:tc>
        <w:tc>
          <w:tcPr>
            <w:tcW w:w="965" w:type="dxa"/>
          </w:tcPr>
          <w:p w14:paraId="312DEB38" w14:textId="77777777" w:rsidR="00BA0E27" w:rsidRPr="005B5418" w:rsidDel="000B7F3A" w:rsidRDefault="00BA0E27" w:rsidP="00BA0E27">
            <w:pPr>
              <w:pStyle w:val="Table-Cell-CenterBoldBefore6ptAfter6pt"/>
              <w:rPr>
                <w:rFonts w:cs="Arial"/>
                <w:lang w:val="pt-BR"/>
              </w:rPr>
            </w:pPr>
          </w:p>
        </w:tc>
        <w:tc>
          <w:tcPr>
            <w:tcW w:w="3212" w:type="dxa"/>
            <w:gridSpan w:val="2"/>
          </w:tcPr>
          <w:p w14:paraId="49A59863" w14:textId="77777777" w:rsidR="00BA0E27" w:rsidRPr="005B5418" w:rsidDel="000B7F3A" w:rsidRDefault="00BA0E27" w:rsidP="00BA0E27">
            <w:pPr>
              <w:spacing w:line="240" w:lineRule="auto"/>
              <w:rPr>
                <w:rFonts w:cs="Arial"/>
                <w:lang w:val="pt-BR"/>
              </w:rPr>
            </w:pPr>
          </w:p>
        </w:tc>
      </w:tr>
      <w:tr w:rsidR="00BA0E27" w:rsidRPr="005B5418" w14:paraId="17DEF89E" w14:textId="77777777" w:rsidTr="008848DA">
        <w:tc>
          <w:tcPr>
            <w:tcW w:w="9581" w:type="dxa"/>
            <w:gridSpan w:val="4"/>
          </w:tcPr>
          <w:p w14:paraId="0D5F30C7" w14:textId="77777777" w:rsidR="00BA0E27" w:rsidRPr="005B5418" w:rsidRDefault="00BA0E27" w:rsidP="00BA0E27">
            <w:pPr>
              <w:pStyle w:val="Heading5"/>
              <w:spacing w:line="240" w:lineRule="auto"/>
              <w:jc w:val="center"/>
              <w:rPr>
                <w:rFonts w:ascii="Arial" w:hAnsi="Arial" w:cs="Arial"/>
                <w:b/>
                <w:color w:val="auto"/>
              </w:rPr>
            </w:pPr>
            <w:bookmarkStart w:id="149" w:name="_Ref392094273"/>
            <w:bookmarkStart w:id="150" w:name="_Toc394667895"/>
            <w:bookmarkStart w:id="151" w:name="_Ref390347489"/>
            <w:r w:rsidRPr="005B5418">
              <w:rPr>
                <w:rFonts w:ascii="Arial" w:hAnsi="Arial" w:cs="Arial"/>
                <w:b/>
                <w:color w:val="auto"/>
              </w:rPr>
              <w:t>Operating Materials and Supplies</w:t>
            </w:r>
            <w:bookmarkEnd w:id="149"/>
            <w:bookmarkEnd w:id="150"/>
            <w:r w:rsidRPr="005B5418">
              <w:rPr>
                <w:rFonts w:ascii="Arial" w:hAnsi="Arial" w:cs="Arial"/>
                <w:b/>
                <w:color w:val="auto"/>
              </w:rPr>
              <w:t xml:space="preserve"> </w:t>
            </w:r>
            <w:bookmarkEnd w:id="151"/>
          </w:p>
        </w:tc>
      </w:tr>
      <w:tr w:rsidR="00BA0E27" w:rsidRPr="005B5418" w:rsidDel="000B7F3A" w14:paraId="035616D5" w14:textId="77777777" w:rsidTr="008848DA">
        <w:trPr>
          <w:trHeight w:val="1493"/>
        </w:trPr>
        <w:tc>
          <w:tcPr>
            <w:tcW w:w="9581" w:type="dxa"/>
            <w:gridSpan w:val="4"/>
          </w:tcPr>
          <w:p w14:paraId="5FF49352" w14:textId="18478A42" w:rsidR="00BA0E27" w:rsidRPr="005B5418" w:rsidRDefault="00BA0E27" w:rsidP="00D7798C">
            <w:pPr>
              <w:pStyle w:val="Table-Note"/>
              <w:spacing w:before="60" w:after="60" w:line="240" w:lineRule="auto"/>
              <w:ind w:left="-14"/>
              <w:jc w:val="left"/>
              <w:rPr>
                <w:rFonts w:cs="Arial"/>
                <w:i w:val="0"/>
                <w:sz w:val="22"/>
                <w:szCs w:val="22"/>
              </w:rPr>
            </w:pPr>
            <w:r w:rsidRPr="005B5418">
              <w:rPr>
                <w:rFonts w:cs="Arial"/>
                <w:i w:val="0"/>
                <w:sz w:val="22"/>
                <w:szCs w:val="22"/>
              </w:rPr>
              <w:t xml:space="preserve">Operating materials and supplies are tangible personal property and are to be accounted for under the consumption method and valued at historical cost or any method approximating historical cost. </w:t>
            </w:r>
          </w:p>
          <w:p w14:paraId="44C4AD65" w14:textId="37F23C54" w:rsidR="00BA0E27" w:rsidRPr="005B5418" w:rsidRDefault="00BA0E27" w:rsidP="00D7798C">
            <w:pPr>
              <w:pStyle w:val="Table-Note"/>
              <w:spacing w:before="60" w:after="60" w:line="240" w:lineRule="auto"/>
              <w:ind w:left="-14"/>
              <w:jc w:val="left"/>
              <w:rPr>
                <w:rFonts w:cs="Arial"/>
                <w:i w:val="0"/>
                <w:sz w:val="22"/>
                <w:szCs w:val="22"/>
              </w:rPr>
            </w:pPr>
            <w:r w:rsidRPr="005B5418">
              <w:rPr>
                <w:rFonts w:cs="Arial"/>
                <w:i w:val="0"/>
                <w:sz w:val="22"/>
                <w:szCs w:val="22"/>
              </w:rPr>
              <w:t>The cost of goods shall be removed from operating materials and supplies (i.e., the asset account) and reported as an operating expense in the period they are issued to an end user for consumption in normal operations. (SFFAS 3, par</w:t>
            </w:r>
            <w:r w:rsidR="00C9450B" w:rsidRPr="005B5418">
              <w:rPr>
                <w:rFonts w:cs="Arial"/>
                <w:i w:val="0"/>
                <w:sz w:val="22"/>
                <w:szCs w:val="22"/>
              </w:rPr>
              <w:t>a</w:t>
            </w:r>
            <w:r w:rsidRPr="005B5418">
              <w:rPr>
                <w:rFonts w:cs="Arial"/>
                <w:i w:val="0"/>
                <w:sz w:val="22"/>
                <w:szCs w:val="22"/>
              </w:rPr>
              <w:t>. 39)</w:t>
            </w:r>
          </w:p>
          <w:p w14:paraId="483CD827" w14:textId="521AD860" w:rsidR="00BA0E27" w:rsidRPr="005B5418" w:rsidRDefault="00BA0E27" w:rsidP="00D7798C">
            <w:pPr>
              <w:pStyle w:val="Table-Note"/>
              <w:spacing w:before="60" w:after="60" w:line="240" w:lineRule="auto"/>
              <w:ind w:left="-14"/>
              <w:jc w:val="left"/>
              <w:rPr>
                <w:rFonts w:cs="Arial"/>
                <w:i w:val="0"/>
                <w:sz w:val="22"/>
                <w:szCs w:val="22"/>
              </w:rPr>
            </w:pPr>
            <w:r w:rsidRPr="005B5418">
              <w:rPr>
                <w:rFonts w:cs="Arial"/>
                <w:i w:val="0"/>
                <w:sz w:val="22"/>
                <w:szCs w:val="22"/>
              </w:rPr>
              <w:t xml:space="preserve">SFFAS 48 </w:t>
            </w:r>
            <w:r w:rsidR="00107949" w:rsidRPr="005B5418">
              <w:rPr>
                <w:rFonts w:cs="Arial"/>
                <w:i w:val="0"/>
                <w:sz w:val="22"/>
                <w:szCs w:val="22"/>
              </w:rPr>
              <w:t xml:space="preserve">(which amended SFFAS 3) </w:t>
            </w:r>
            <w:r w:rsidRPr="005B5418">
              <w:rPr>
                <w:rFonts w:cs="Arial"/>
                <w:i w:val="0"/>
                <w:sz w:val="22"/>
                <w:szCs w:val="22"/>
              </w:rPr>
              <w:t xml:space="preserve">permits a reporting entity to apply deemed cost in establishing opening balances for inventory, operating materials and supplies, and stockpile materials. </w:t>
            </w:r>
          </w:p>
          <w:p w14:paraId="0985F86C" w14:textId="77777777" w:rsidR="00BA0E27" w:rsidRPr="005B5418" w:rsidRDefault="00BA0E27" w:rsidP="00D7798C">
            <w:pPr>
              <w:pStyle w:val="Table-Note"/>
              <w:spacing w:before="60" w:after="60" w:line="240" w:lineRule="auto"/>
              <w:ind w:left="-14"/>
              <w:jc w:val="left"/>
              <w:rPr>
                <w:rFonts w:cs="Arial"/>
                <w:i w:val="0"/>
                <w:sz w:val="22"/>
                <w:szCs w:val="22"/>
              </w:rPr>
            </w:pPr>
            <w:r w:rsidRPr="005B5418">
              <w:rPr>
                <w:rFonts w:cs="Arial"/>
                <w:i w:val="0"/>
                <w:sz w:val="22"/>
                <w:szCs w:val="22"/>
              </w:rPr>
              <w:t xml:space="preserve">This method is permitted when presenting financial statements, or one or more line items addressed by this statement, following </w:t>
            </w:r>
            <w:r w:rsidR="00A23F67" w:rsidRPr="005B5418">
              <w:rPr>
                <w:rFonts w:cs="Arial"/>
                <w:i w:val="0"/>
                <w:sz w:val="22"/>
                <w:szCs w:val="22"/>
              </w:rPr>
              <w:t>FASAB-</w:t>
            </w:r>
            <w:r w:rsidRPr="005B5418">
              <w:rPr>
                <w:rFonts w:cs="Arial"/>
                <w:i w:val="0"/>
                <w:sz w:val="22"/>
                <w:szCs w:val="22"/>
              </w:rPr>
              <w:t xml:space="preserve">promulgated </w:t>
            </w:r>
            <w:r w:rsidR="00A23F67" w:rsidRPr="005B5418">
              <w:rPr>
                <w:rFonts w:cs="Arial"/>
                <w:i w:val="0"/>
                <w:sz w:val="22"/>
                <w:szCs w:val="22"/>
              </w:rPr>
              <w:t>GAAP</w:t>
            </w:r>
            <w:r w:rsidRPr="005B5418">
              <w:rPr>
                <w:rFonts w:cs="Arial"/>
                <w:i w:val="0"/>
                <w:sz w:val="22"/>
                <w:szCs w:val="22"/>
              </w:rPr>
              <w:t xml:space="preserve"> either (1) for the first-time or (2) after a period during which existing systems could not provide the information necessary for producing such GAAP-based financial statements without use of the alternative valuation method. SFFAS 48 is intended to provide an alternative valuation method when historical records and systems do not provide a basis for valuation of opening balances in accordance with SFFAS 3. Questions relating to SFFAS 48 are incorporated in this checklist as it relates to opening balances.</w:t>
            </w:r>
          </w:p>
          <w:p w14:paraId="613D2F8D" w14:textId="3D4CA6D8" w:rsidR="00195A4D" w:rsidRPr="005B5418" w:rsidDel="000B7F3A" w:rsidRDefault="00195A4D" w:rsidP="00041968">
            <w:pPr>
              <w:pStyle w:val="Table-Note"/>
              <w:spacing w:before="60" w:after="60" w:line="240" w:lineRule="auto"/>
              <w:ind w:left="-14"/>
              <w:jc w:val="left"/>
              <w:rPr>
                <w:rFonts w:cs="Arial"/>
                <w:i w:val="0"/>
                <w:sz w:val="22"/>
                <w:szCs w:val="22"/>
              </w:rPr>
            </w:pPr>
            <w:r w:rsidRPr="005B5418">
              <w:rPr>
                <w:rFonts w:cs="Arial"/>
                <w:i w:val="0"/>
                <w:sz w:val="22"/>
                <w:szCs w:val="22"/>
              </w:rPr>
              <w:t xml:space="preserve">This section relates to operating material and supplies recorded under the consumption method. See question </w:t>
            </w:r>
            <w:r w:rsidR="0093085D">
              <w:rPr>
                <w:rFonts w:cs="Arial"/>
                <w:i w:val="0"/>
                <w:sz w:val="22"/>
                <w:szCs w:val="22"/>
              </w:rPr>
              <w:t>2</w:t>
            </w:r>
            <w:r w:rsidRPr="005B5418">
              <w:rPr>
                <w:rFonts w:cs="Arial"/>
                <w:i w:val="0"/>
                <w:sz w:val="22"/>
                <w:szCs w:val="22"/>
              </w:rPr>
              <w:t xml:space="preserve"> </w:t>
            </w:r>
            <w:r w:rsidR="00041968" w:rsidRPr="005B5418">
              <w:rPr>
                <w:rFonts w:cs="Arial"/>
                <w:i w:val="0"/>
                <w:sz w:val="22"/>
                <w:szCs w:val="22"/>
              </w:rPr>
              <w:t xml:space="preserve">(above) of the inventory section </w:t>
            </w:r>
            <w:r w:rsidRPr="005B5418">
              <w:rPr>
                <w:rFonts w:cs="Arial"/>
                <w:i w:val="0"/>
                <w:sz w:val="22"/>
                <w:szCs w:val="22"/>
              </w:rPr>
              <w:t>for operating material and supplies recorded under the purchase method.</w:t>
            </w:r>
          </w:p>
        </w:tc>
      </w:tr>
      <w:tr w:rsidR="00BA0E27" w:rsidRPr="005B5418" w14:paraId="30E5CCA5" w14:textId="77777777" w:rsidTr="008848DA">
        <w:trPr>
          <w:trHeight w:val="503"/>
        </w:trPr>
        <w:tc>
          <w:tcPr>
            <w:tcW w:w="9581" w:type="dxa"/>
            <w:gridSpan w:val="4"/>
          </w:tcPr>
          <w:p w14:paraId="18B69E5B" w14:textId="77777777" w:rsidR="00BA0E27" w:rsidRPr="005B5418" w:rsidRDefault="00BA0E27" w:rsidP="00BA0E27">
            <w:pPr>
              <w:spacing w:line="240" w:lineRule="auto"/>
              <w:rPr>
                <w:rFonts w:ascii="Arial" w:hAnsi="Arial" w:cs="Arial"/>
                <w:b/>
              </w:rPr>
            </w:pPr>
            <w:r w:rsidRPr="005B5418">
              <w:rPr>
                <w:rFonts w:ascii="Arial" w:hAnsi="Arial" w:cs="Arial"/>
                <w:b/>
              </w:rPr>
              <w:t>Accounting</w:t>
            </w:r>
          </w:p>
        </w:tc>
      </w:tr>
      <w:tr w:rsidR="00D21D64" w:rsidRPr="005B5418" w14:paraId="397339E1" w14:textId="77777777" w:rsidTr="005425ED">
        <w:trPr>
          <w:trHeight w:hRule="exact" w:val="461"/>
        </w:trPr>
        <w:tc>
          <w:tcPr>
            <w:tcW w:w="5404" w:type="dxa"/>
          </w:tcPr>
          <w:p w14:paraId="7AE8A9A2" w14:textId="72242B80" w:rsidR="00D21D64" w:rsidRPr="005B5418" w:rsidRDefault="00D21D64" w:rsidP="00D51FB5">
            <w:pPr>
              <w:pStyle w:val="FAM-Table-outline"/>
              <w:numPr>
                <w:ilvl w:val="0"/>
                <w:numId w:val="0"/>
              </w:numPr>
              <w:spacing w:line="240" w:lineRule="auto"/>
              <w:ind w:left="576" w:hanging="576"/>
              <w:rPr>
                <w:rFonts w:eastAsia="Arial Unicode MS" w:cs="Arial"/>
                <w:i/>
                <w:szCs w:val="22"/>
              </w:rPr>
            </w:pPr>
            <w:r w:rsidRPr="005B5418">
              <w:rPr>
                <w:rFonts w:eastAsia="Arial Unicode MS" w:cs="Arial"/>
                <w:i/>
                <w:szCs w:val="22"/>
              </w:rPr>
              <w:t xml:space="preserve">Recognition  </w:t>
            </w:r>
          </w:p>
        </w:tc>
        <w:tc>
          <w:tcPr>
            <w:tcW w:w="984" w:type="dxa"/>
            <w:gridSpan w:val="2"/>
          </w:tcPr>
          <w:p w14:paraId="4AC0A7EF" w14:textId="77777777" w:rsidR="00D21D64" w:rsidRPr="005B5418" w:rsidRDefault="00D21D64" w:rsidP="00BA0E27">
            <w:pPr>
              <w:pStyle w:val="Table-Cell-CenterBoldBefore6ptAfter6pt"/>
              <w:rPr>
                <w:rFonts w:cs="Arial"/>
              </w:rPr>
            </w:pPr>
          </w:p>
        </w:tc>
        <w:tc>
          <w:tcPr>
            <w:tcW w:w="3193" w:type="dxa"/>
          </w:tcPr>
          <w:p w14:paraId="5BF74DDF" w14:textId="77777777" w:rsidR="00D21D64" w:rsidRPr="005B5418" w:rsidRDefault="00D21D64" w:rsidP="00BA0E27">
            <w:pPr>
              <w:spacing w:line="240" w:lineRule="auto"/>
              <w:rPr>
                <w:rFonts w:cs="Arial"/>
              </w:rPr>
            </w:pPr>
          </w:p>
        </w:tc>
      </w:tr>
      <w:tr w:rsidR="00BA0E27" w:rsidRPr="005B5418" w14:paraId="75888248" w14:textId="77777777" w:rsidTr="005425ED">
        <w:trPr>
          <w:trHeight w:val="1124"/>
        </w:trPr>
        <w:tc>
          <w:tcPr>
            <w:tcW w:w="5404" w:type="dxa"/>
          </w:tcPr>
          <w:p w14:paraId="467B857F" w14:textId="2C7EBFC6" w:rsidR="00BA0E27" w:rsidRPr="005B5418" w:rsidRDefault="00BA0E27" w:rsidP="005425ED">
            <w:pPr>
              <w:pStyle w:val="FAM-Table-outline"/>
              <w:spacing w:line="240" w:lineRule="auto"/>
              <w:rPr>
                <w:rFonts w:eastAsia="Arial Unicode MS"/>
              </w:rPr>
            </w:pPr>
            <w:r w:rsidRPr="005B5418">
              <w:rPr>
                <w:rFonts w:eastAsia="Arial Unicode MS"/>
              </w:rPr>
              <w:t>Are operating materials and supplies recognized as assets when produced or purchased (the consumption method of accounting)? (SFFAS 3, par</w:t>
            </w:r>
            <w:r w:rsidR="00CD5E8C" w:rsidRPr="005B5418">
              <w:rPr>
                <w:rFonts w:eastAsia="Arial Unicode MS"/>
              </w:rPr>
              <w:t>a</w:t>
            </w:r>
            <w:r w:rsidRPr="005B5418">
              <w:rPr>
                <w:rFonts w:eastAsia="Arial Unicode MS"/>
              </w:rPr>
              <w:t>. 38)</w:t>
            </w:r>
          </w:p>
        </w:tc>
        <w:tc>
          <w:tcPr>
            <w:tcW w:w="984" w:type="dxa"/>
            <w:gridSpan w:val="2"/>
          </w:tcPr>
          <w:p w14:paraId="0BBD29FD" w14:textId="77777777" w:rsidR="00BA0E27" w:rsidRPr="005B5418" w:rsidRDefault="00BA0E27" w:rsidP="00BA0E27">
            <w:pPr>
              <w:pStyle w:val="Table-Cell-CenterBoldBefore6ptAfter6pt"/>
              <w:rPr>
                <w:rFonts w:cs="Arial"/>
              </w:rPr>
            </w:pPr>
          </w:p>
        </w:tc>
        <w:tc>
          <w:tcPr>
            <w:tcW w:w="3193" w:type="dxa"/>
          </w:tcPr>
          <w:p w14:paraId="73008202" w14:textId="77777777" w:rsidR="00BA0E27" w:rsidRPr="005B5418" w:rsidRDefault="00BA0E27" w:rsidP="00BA0E27">
            <w:pPr>
              <w:spacing w:line="240" w:lineRule="auto"/>
              <w:rPr>
                <w:rFonts w:cs="Arial"/>
              </w:rPr>
            </w:pPr>
          </w:p>
        </w:tc>
      </w:tr>
      <w:tr w:rsidR="00BA0E27" w:rsidRPr="005B5418" w:rsidDel="000B7F3A" w14:paraId="7E72CA37" w14:textId="77777777" w:rsidTr="005425ED">
        <w:trPr>
          <w:trHeight w:val="1646"/>
        </w:trPr>
        <w:tc>
          <w:tcPr>
            <w:tcW w:w="5404" w:type="dxa"/>
          </w:tcPr>
          <w:p w14:paraId="10FAF23B" w14:textId="658056C6" w:rsidR="009F69E4" w:rsidRPr="005B5418" w:rsidRDefault="00BA0E27" w:rsidP="005425ED">
            <w:pPr>
              <w:pStyle w:val="FAM-Table-outline"/>
              <w:spacing w:line="240" w:lineRule="auto"/>
              <w:rPr>
                <w:rFonts w:eastAsia="Arial Unicode MS"/>
              </w:rPr>
            </w:pPr>
            <w:r w:rsidRPr="005B5418">
              <w:rPr>
                <w:rFonts w:eastAsia="Arial Unicode MS"/>
              </w:rPr>
              <w:lastRenderedPageBreak/>
              <w:t>Are operating materials and supplies expensed using the consumption method (i.e., reported as an operating expense when they are issued to the end user for consumption in normal operations)? (SFFAS 3, par</w:t>
            </w:r>
            <w:r w:rsidR="00CD5E8C" w:rsidRPr="005B5418">
              <w:rPr>
                <w:rFonts w:eastAsia="Arial Unicode MS"/>
              </w:rPr>
              <w:t>as</w:t>
            </w:r>
            <w:r w:rsidRPr="005B5418">
              <w:rPr>
                <w:rFonts w:eastAsia="Arial Unicode MS"/>
              </w:rPr>
              <w:t>. 38</w:t>
            </w:r>
            <w:r w:rsidR="00CD5E8C" w:rsidRPr="005B5418">
              <w:rPr>
                <w:rFonts w:eastAsia="Arial Unicode MS"/>
              </w:rPr>
              <w:t>–</w:t>
            </w:r>
            <w:r w:rsidRPr="005B5418">
              <w:rPr>
                <w:rFonts w:eastAsia="Arial Unicode MS"/>
              </w:rPr>
              <w:t>39)</w:t>
            </w:r>
          </w:p>
        </w:tc>
        <w:tc>
          <w:tcPr>
            <w:tcW w:w="984" w:type="dxa"/>
            <w:gridSpan w:val="2"/>
          </w:tcPr>
          <w:p w14:paraId="062B6E78" w14:textId="77777777" w:rsidR="00BA0E27" w:rsidRPr="005B5418" w:rsidDel="000B7F3A" w:rsidRDefault="00BA0E27" w:rsidP="00BA0E27">
            <w:pPr>
              <w:pStyle w:val="Table-Cell-CenterBoldBefore6ptAfter6pt"/>
              <w:rPr>
                <w:rFonts w:cs="Arial"/>
              </w:rPr>
            </w:pPr>
          </w:p>
        </w:tc>
        <w:tc>
          <w:tcPr>
            <w:tcW w:w="3193" w:type="dxa"/>
          </w:tcPr>
          <w:p w14:paraId="4B39AB70" w14:textId="77777777" w:rsidR="00BA0E27" w:rsidRPr="005B5418" w:rsidDel="000B7F3A" w:rsidRDefault="00BA0E27" w:rsidP="00BA0E27">
            <w:pPr>
              <w:spacing w:line="240" w:lineRule="auto"/>
              <w:rPr>
                <w:rFonts w:cs="Arial"/>
              </w:rPr>
            </w:pPr>
          </w:p>
        </w:tc>
      </w:tr>
      <w:tr w:rsidR="00D21D64" w:rsidRPr="005B5418" w:rsidDel="000B7F3A" w14:paraId="01B00980" w14:textId="77777777" w:rsidTr="005425ED">
        <w:trPr>
          <w:trHeight w:hRule="exact" w:val="461"/>
        </w:trPr>
        <w:tc>
          <w:tcPr>
            <w:tcW w:w="5404" w:type="dxa"/>
          </w:tcPr>
          <w:p w14:paraId="14C49AB7" w14:textId="59A834F3" w:rsidR="00D21D64" w:rsidRPr="005B5418" w:rsidRDefault="00D21D64" w:rsidP="00D51FB5">
            <w:pPr>
              <w:pStyle w:val="FAM-Table-outline"/>
              <w:numPr>
                <w:ilvl w:val="0"/>
                <w:numId w:val="0"/>
              </w:numPr>
              <w:spacing w:line="240" w:lineRule="auto"/>
              <w:ind w:left="269" w:hanging="269"/>
              <w:rPr>
                <w:rFonts w:eastAsia="Arial Unicode MS" w:cs="Arial"/>
                <w:i/>
                <w:szCs w:val="22"/>
              </w:rPr>
            </w:pPr>
            <w:r w:rsidRPr="005B5418">
              <w:rPr>
                <w:rFonts w:eastAsia="Arial Unicode MS" w:cs="Arial"/>
                <w:i/>
                <w:szCs w:val="22"/>
              </w:rPr>
              <w:t xml:space="preserve">Valuation </w:t>
            </w:r>
            <w:r w:rsidR="00CD5E8C" w:rsidRPr="005B5418">
              <w:rPr>
                <w:rFonts w:eastAsia="Arial Unicode MS" w:cs="Arial"/>
                <w:i/>
                <w:szCs w:val="22"/>
              </w:rPr>
              <w:t xml:space="preserve">under </w:t>
            </w:r>
            <w:r w:rsidRPr="005B5418">
              <w:rPr>
                <w:rFonts w:eastAsia="Arial Unicode MS" w:cs="Arial"/>
                <w:i/>
                <w:szCs w:val="22"/>
              </w:rPr>
              <w:t xml:space="preserve">the Consumption Method </w:t>
            </w:r>
          </w:p>
        </w:tc>
        <w:tc>
          <w:tcPr>
            <w:tcW w:w="965" w:type="dxa"/>
          </w:tcPr>
          <w:p w14:paraId="55702656" w14:textId="77777777" w:rsidR="00D21D64" w:rsidRPr="005B5418" w:rsidDel="000B7F3A" w:rsidRDefault="00D21D64" w:rsidP="00D21D64">
            <w:pPr>
              <w:pStyle w:val="Table-Cell-CenterBoldBefore6ptAfter6pt"/>
              <w:ind w:hanging="269"/>
              <w:rPr>
                <w:rFonts w:cs="Arial"/>
              </w:rPr>
            </w:pPr>
          </w:p>
        </w:tc>
        <w:tc>
          <w:tcPr>
            <w:tcW w:w="3212" w:type="dxa"/>
            <w:gridSpan w:val="2"/>
          </w:tcPr>
          <w:p w14:paraId="4A7B9280" w14:textId="77777777" w:rsidR="00D21D64" w:rsidRPr="005B5418" w:rsidDel="000B7F3A" w:rsidRDefault="00D21D64" w:rsidP="00D21D64">
            <w:pPr>
              <w:spacing w:line="240" w:lineRule="auto"/>
              <w:ind w:hanging="269"/>
              <w:rPr>
                <w:rFonts w:cs="Arial"/>
              </w:rPr>
            </w:pPr>
          </w:p>
        </w:tc>
      </w:tr>
      <w:tr w:rsidR="00BA0E27" w:rsidRPr="005B5418" w14:paraId="693FA175" w14:textId="77777777" w:rsidTr="005425ED">
        <w:trPr>
          <w:cantSplit/>
          <w:trHeight w:hRule="exact" w:val="3097"/>
        </w:trPr>
        <w:tc>
          <w:tcPr>
            <w:tcW w:w="5404" w:type="dxa"/>
          </w:tcPr>
          <w:p w14:paraId="5472338A" w14:textId="2D8F913D" w:rsidR="00BA0E27" w:rsidRPr="005B5418" w:rsidRDefault="00BA0E27" w:rsidP="002D3200">
            <w:pPr>
              <w:pStyle w:val="FAM-Table-outline"/>
              <w:numPr>
                <w:ilvl w:val="0"/>
                <w:numId w:val="0"/>
              </w:numPr>
              <w:spacing w:line="20" w:lineRule="exact"/>
              <w:ind w:left="576" w:hanging="576"/>
              <w:rPr>
                <w:rFonts w:eastAsia="Arial Unicode MS" w:cs="Arial"/>
                <w:szCs w:val="22"/>
                <w:u w:val="single"/>
              </w:rPr>
            </w:pPr>
            <w:r w:rsidRPr="005B5418">
              <w:rPr>
                <w:rFonts w:eastAsia="Arial Unicode MS" w:cs="Arial"/>
                <w:szCs w:val="22"/>
              </w:rPr>
              <w:t xml:space="preserve">  </w:t>
            </w:r>
          </w:p>
          <w:p w14:paraId="3C3008AE" w14:textId="77777777" w:rsidR="00BA0E27" w:rsidRPr="005B5418" w:rsidRDefault="00BA0E27" w:rsidP="005425ED">
            <w:pPr>
              <w:pStyle w:val="FAM-Table-outline"/>
              <w:spacing w:line="240" w:lineRule="auto"/>
              <w:rPr>
                <w:rFonts w:eastAsia="Arial Unicode MS"/>
              </w:rPr>
            </w:pPr>
            <w:r w:rsidRPr="005B5418">
              <w:rPr>
                <w:rFonts w:eastAsia="Arial Unicode MS"/>
              </w:rPr>
              <w:t xml:space="preserve">Are operating materials and supplies valued </w:t>
            </w:r>
          </w:p>
          <w:p w14:paraId="19C9C2FF" w14:textId="77777777" w:rsidR="00BA0E27" w:rsidRPr="005B5418" w:rsidRDefault="00CD5E8C"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at </w:t>
            </w:r>
            <w:r w:rsidR="00BA0E27" w:rsidRPr="005B5418">
              <w:rPr>
                <w:rFonts w:eastAsia="Arial Unicode MS" w:cs="Arial"/>
                <w:szCs w:val="22"/>
              </w:rPr>
              <w:t xml:space="preserve">historical cost, </w:t>
            </w:r>
          </w:p>
          <w:p w14:paraId="6C4A648F"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on a basis that reasonably approximates historical cost, and/or </w:t>
            </w:r>
          </w:p>
          <w:p w14:paraId="7D00BD6D" w14:textId="540520D8"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for entities applying SFFAS 48,</w:t>
            </w:r>
            <w:r w:rsidR="00CD5E8C" w:rsidRPr="005B5418">
              <w:rPr>
                <w:rFonts w:eastAsia="Arial Unicode MS" w:cs="Arial"/>
                <w:szCs w:val="22"/>
              </w:rPr>
              <w:t xml:space="preserve"> at</w:t>
            </w:r>
            <w:r w:rsidRPr="005B5418">
              <w:rPr>
                <w:rFonts w:eastAsia="Arial Unicode MS" w:cs="Arial"/>
                <w:szCs w:val="22"/>
              </w:rPr>
              <w:t xml:space="preserve"> deemed cost for opening balances, including all appropriate purchase and production costs incurred to bring the items to their current condition and location? (SFFAS 3, par</w:t>
            </w:r>
            <w:r w:rsidR="00CD5E8C" w:rsidRPr="005B5418">
              <w:rPr>
                <w:rFonts w:eastAsia="Arial Unicode MS" w:cs="Arial"/>
                <w:szCs w:val="22"/>
              </w:rPr>
              <w:t>as</w:t>
            </w:r>
            <w:r w:rsidRPr="005B5418">
              <w:rPr>
                <w:rFonts w:eastAsia="Arial Unicode MS" w:cs="Arial"/>
                <w:szCs w:val="22"/>
              </w:rPr>
              <w:t>. 42</w:t>
            </w:r>
            <w:r w:rsidR="00CD5E8C" w:rsidRPr="005B5418">
              <w:rPr>
                <w:rFonts w:eastAsia="Arial Unicode MS" w:cs="Arial"/>
                <w:szCs w:val="22"/>
              </w:rPr>
              <w:t>–</w:t>
            </w:r>
            <w:r w:rsidRPr="005B5418">
              <w:rPr>
                <w:rFonts w:eastAsia="Arial Unicode MS" w:cs="Arial"/>
                <w:szCs w:val="22"/>
              </w:rPr>
              <w:t xml:space="preserve">43) </w:t>
            </w:r>
          </w:p>
        </w:tc>
        <w:tc>
          <w:tcPr>
            <w:tcW w:w="984" w:type="dxa"/>
            <w:gridSpan w:val="2"/>
          </w:tcPr>
          <w:p w14:paraId="20700BFD" w14:textId="77777777" w:rsidR="00BA0E27" w:rsidRPr="005B5418" w:rsidRDefault="00BA0E27" w:rsidP="00BA0E27">
            <w:pPr>
              <w:pStyle w:val="Table-Cell-CenterBoldBefore6ptAfter6pt"/>
              <w:rPr>
                <w:rFonts w:cs="Arial"/>
              </w:rPr>
            </w:pPr>
          </w:p>
        </w:tc>
        <w:tc>
          <w:tcPr>
            <w:tcW w:w="3193" w:type="dxa"/>
          </w:tcPr>
          <w:p w14:paraId="0588B976" w14:textId="77777777" w:rsidR="00BA0E27" w:rsidRPr="005B5418" w:rsidRDefault="00BA0E27" w:rsidP="00BA0E27">
            <w:pPr>
              <w:spacing w:line="240" w:lineRule="auto"/>
              <w:rPr>
                <w:rFonts w:cs="Arial"/>
              </w:rPr>
            </w:pPr>
          </w:p>
        </w:tc>
      </w:tr>
      <w:tr w:rsidR="00BA0E27" w:rsidRPr="005B5418" w14:paraId="6B179A88" w14:textId="77777777" w:rsidTr="005425ED">
        <w:trPr>
          <w:trHeight w:val="1115"/>
        </w:trPr>
        <w:tc>
          <w:tcPr>
            <w:tcW w:w="5404" w:type="dxa"/>
          </w:tcPr>
          <w:p w14:paraId="0BDC306C" w14:textId="4756B9F9" w:rsidR="00BA0E27" w:rsidRPr="005B5418" w:rsidRDefault="00BA0E27" w:rsidP="005425ED">
            <w:pPr>
              <w:pStyle w:val="FAM-Table-outline"/>
              <w:spacing w:line="240" w:lineRule="auto"/>
              <w:rPr>
                <w:rFonts w:eastAsia="Arial Unicode MS"/>
              </w:rPr>
            </w:pPr>
            <w:r w:rsidRPr="005B5418">
              <w:rPr>
                <w:rFonts w:eastAsia="Arial Unicode MS"/>
              </w:rPr>
              <w:t>Are abnormal costs, such as excessive handling or rework costs, charged to operations for the period? (SFFAS 3, par</w:t>
            </w:r>
            <w:r w:rsidR="00CD5E8C" w:rsidRPr="005B5418">
              <w:rPr>
                <w:rFonts w:eastAsia="Arial Unicode MS"/>
              </w:rPr>
              <w:t>a</w:t>
            </w:r>
            <w:r w:rsidRPr="005B5418">
              <w:rPr>
                <w:rFonts w:eastAsia="Arial Unicode MS"/>
              </w:rPr>
              <w:t>. 43)</w:t>
            </w:r>
          </w:p>
        </w:tc>
        <w:tc>
          <w:tcPr>
            <w:tcW w:w="984" w:type="dxa"/>
            <w:gridSpan w:val="2"/>
          </w:tcPr>
          <w:p w14:paraId="193A697E" w14:textId="77777777" w:rsidR="00BA0E27" w:rsidRPr="005B5418" w:rsidRDefault="00BA0E27" w:rsidP="00BA0E27">
            <w:pPr>
              <w:pStyle w:val="Table-Cell-CenterBoldBefore6ptAfter6pt"/>
              <w:rPr>
                <w:rFonts w:cs="Arial"/>
              </w:rPr>
            </w:pPr>
          </w:p>
        </w:tc>
        <w:tc>
          <w:tcPr>
            <w:tcW w:w="3193" w:type="dxa"/>
          </w:tcPr>
          <w:p w14:paraId="70EDBA79" w14:textId="77777777" w:rsidR="00BA0E27" w:rsidRPr="005B5418" w:rsidRDefault="00BA0E27" w:rsidP="00BA0E27">
            <w:pPr>
              <w:spacing w:line="240" w:lineRule="auto"/>
              <w:rPr>
                <w:rFonts w:cs="Arial"/>
              </w:rPr>
            </w:pPr>
          </w:p>
        </w:tc>
      </w:tr>
      <w:tr w:rsidR="00BA0E27" w:rsidRPr="005B5418" w14:paraId="207DE512" w14:textId="77777777" w:rsidTr="005425ED">
        <w:trPr>
          <w:trHeight w:val="1016"/>
        </w:trPr>
        <w:tc>
          <w:tcPr>
            <w:tcW w:w="5404" w:type="dxa"/>
          </w:tcPr>
          <w:p w14:paraId="039046E0" w14:textId="616ACE53" w:rsidR="00BA0E27" w:rsidRPr="005B5418" w:rsidRDefault="00BA0E27" w:rsidP="005425ED">
            <w:pPr>
              <w:pStyle w:val="FAM-Table-outline"/>
              <w:spacing w:line="240" w:lineRule="auto"/>
              <w:rPr>
                <w:rFonts w:eastAsia="Arial Unicode MS"/>
              </w:rPr>
            </w:pPr>
            <w:r w:rsidRPr="005B5418">
              <w:rPr>
                <w:rFonts w:eastAsia="Arial Unicode MS"/>
              </w:rPr>
              <w:t>Are donated operating materials and supplies valued at their fair value at the time of donation? (SFFAS 3, par</w:t>
            </w:r>
            <w:r w:rsidR="00CD2237" w:rsidRPr="005B5418">
              <w:rPr>
                <w:rFonts w:eastAsia="Arial Unicode MS"/>
              </w:rPr>
              <w:t>a</w:t>
            </w:r>
            <w:r w:rsidRPr="005B5418">
              <w:rPr>
                <w:rFonts w:eastAsia="Arial Unicode MS"/>
              </w:rPr>
              <w:t>. 43)</w:t>
            </w:r>
          </w:p>
        </w:tc>
        <w:tc>
          <w:tcPr>
            <w:tcW w:w="984" w:type="dxa"/>
            <w:gridSpan w:val="2"/>
          </w:tcPr>
          <w:p w14:paraId="50FBAF67" w14:textId="77777777" w:rsidR="00BA0E27" w:rsidRPr="005B5418" w:rsidRDefault="00BA0E27" w:rsidP="00BA0E27">
            <w:pPr>
              <w:pStyle w:val="Table-Cell-CenterBoldBefore6ptAfter6pt"/>
              <w:rPr>
                <w:rFonts w:cs="Arial"/>
              </w:rPr>
            </w:pPr>
          </w:p>
        </w:tc>
        <w:tc>
          <w:tcPr>
            <w:tcW w:w="3193" w:type="dxa"/>
          </w:tcPr>
          <w:p w14:paraId="6284ECD0" w14:textId="77777777" w:rsidR="00BA0E27" w:rsidRPr="005B5418" w:rsidRDefault="00BA0E27" w:rsidP="00BA0E27">
            <w:pPr>
              <w:spacing w:line="240" w:lineRule="auto"/>
              <w:rPr>
                <w:rFonts w:cs="Arial"/>
              </w:rPr>
            </w:pPr>
          </w:p>
        </w:tc>
      </w:tr>
      <w:tr w:rsidR="00BA0E27" w:rsidRPr="005B5418" w14:paraId="1B40186F" w14:textId="77777777" w:rsidTr="005425ED">
        <w:trPr>
          <w:trHeight w:val="1592"/>
        </w:trPr>
        <w:tc>
          <w:tcPr>
            <w:tcW w:w="5404" w:type="dxa"/>
          </w:tcPr>
          <w:p w14:paraId="18C9A089" w14:textId="5BDA9690" w:rsidR="00BA0E27" w:rsidRPr="005B5418" w:rsidRDefault="00BA0E27" w:rsidP="005425ED">
            <w:pPr>
              <w:pStyle w:val="FAM-Table-outline"/>
              <w:spacing w:line="240" w:lineRule="auto"/>
              <w:rPr>
                <w:rFonts w:eastAsia="Arial Unicode MS"/>
              </w:rPr>
            </w:pPr>
            <w:r w:rsidRPr="005B5418">
              <w:rPr>
                <w:rFonts w:eastAsia="Arial Unicode MS"/>
              </w:rPr>
              <w:t>Are operating materials and supplies acquired through exchange of nonmonetary assets (e.g., barter) valued at the fair value of the asset received at the time of exchange? (SFFAS 3, par</w:t>
            </w:r>
            <w:r w:rsidR="00CD2237" w:rsidRPr="005B5418">
              <w:rPr>
                <w:rFonts w:eastAsia="Arial Unicode MS"/>
              </w:rPr>
              <w:t>a</w:t>
            </w:r>
            <w:r w:rsidRPr="005B5418">
              <w:rPr>
                <w:rFonts w:eastAsia="Arial Unicode MS"/>
              </w:rPr>
              <w:t>. 43)</w:t>
            </w:r>
          </w:p>
        </w:tc>
        <w:tc>
          <w:tcPr>
            <w:tcW w:w="984" w:type="dxa"/>
            <w:gridSpan w:val="2"/>
          </w:tcPr>
          <w:p w14:paraId="0A2055B4" w14:textId="77777777" w:rsidR="00BA0E27" w:rsidRPr="005B5418" w:rsidRDefault="00BA0E27" w:rsidP="00BA0E27">
            <w:pPr>
              <w:pStyle w:val="Table-Cell-CenterBoldBefore6ptAfter6pt"/>
              <w:rPr>
                <w:rFonts w:cs="Arial"/>
              </w:rPr>
            </w:pPr>
          </w:p>
        </w:tc>
        <w:tc>
          <w:tcPr>
            <w:tcW w:w="3193" w:type="dxa"/>
          </w:tcPr>
          <w:p w14:paraId="15849B22" w14:textId="77777777" w:rsidR="00BA0E27" w:rsidRPr="005B5418" w:rsidRDefault="00BA0E27" w:rsidP="00BA0E27">
            <w:pPr>
              <w:spacing w:line="240" w:lineRule="auto"/>
              <w:rPr>
                <w:rFonts w:cs="Arial"/>
              </w:rPr>
            </w:pPr>
          </w:p>
        </w:tc>
      </w:tr>
      <w:tr w:rsidR="00BA0E27" w:rsidRPr="005B5418" w14:paraId="7ADA95F7" w14:textId="77777777" w:rsidTr="005425ED">
        <w:trPr>
          <w:trHeight w:val="1826"/>
        </w:trPr>
        <w:tc>
          <w:tcPr>
            <w:tcW w:w="5404" w:type="dxa"/>
          </w:tcPr>
          <w:p w14:paraId="04F60CD4" w14:textId="11FDF72F" w:rsidR="00BA0E27" w:rsidRPr="005B5418" w:rsidRDefault="00BA0E27" w:rsidP="005425ED">
            <w:pPr>
              <w:pStyle w:val="FAM-Table-outline"/>
              <w:spacing w:line="240" w:lineRule="auto"/>
              <w:rPr>
                <w:rFonts w:eastAsia="Arial Unicode MS"/>
              </w:rPr>
            </w:pPr>
            <w:r w:rsidRPr="005B5418">
              <w:rPr>
                <w:rFonts w:eastAsia="Arial Unicode MS"/>
              </w:rPr>
              <w:t>For operating materials and supplies acquired through exchange of nonmonetary assets, is any difference between the recorded amount of the asset surrendered and the fair value of the asset received recognized as a gain or loss? (SFFAS 3, par</w:t>
            </w:r>
            <w:r w:rsidR="00CD2237" w:rsidRPr="005B5418">
              <w:rPr>
                <w:rFonts w:eastAsia="Arial Unicode MS"/>
              </w:rPr>
              <w:t>a</w:t>
            </w:r>
            <w:r w:rsidRPr="005B5418">
              <w:rPr>
                <w:rFonts w:eastAsia="Arial Unicode MS"/>
              </w:rPr>
              <w:t>. 43)</w:t>
            </w:r>
          </w:p>
        </w:tc>
        <w:tc>
          <w:tcPr>
            <w:tcW w:w="984" w:type="dxa"/>
            <w:gridSpan w:val="2"/>
          </w:tcPr>
          <w:p w14:paraId="6E56E4D3" w14:textId="77777777" w:rsidR="00BA0E27" w:rsidRPr="005B5418" w:rsidRDefault="00BA0E27" w:rsidP="00BA0E27">
            <w:pPr>
              <w:pStyle w:val="Table-Cell-CenterBoldBefore6ptAfter6pt"/>
              <w:rPr>
                <w:rFonts w:cs="Arial"/>
              </w:rPr>
            </w:pPr>
          </w:p>
        </w:tc>
        <w:tc>
          <w:tcPr>
            <w:tcW w:w="3193" w:type="dxa"/>
          </w:tcPr>
          <w:p w14:paraId="16955B41" w14:textId="77777777" w:rsidR="00BA0E27" w:rsidRPr="005B5418" w:rsidRDefault="00BA0E27" w:rsidP="00BA0E27">
            <w:pPr>
              <w:spacing w:line="240" w:lineRule="auto"/>
              <w:rPr>
                <w:rFonts w:cs="Arial"/>
              </w:rPr>
            </w:pPr>
          </w:p>
        </w:tc>
      </w:tr>
      <w:tr w:rsidR="00BA0E27" w:rsidRPr="005B5418" w14:paraId="44918BA7" w14:textId="77777777" w:rsidTr="005425ED">
        <w:trPr>
          <w:trHeight w:val="2160"/>
        </w:trPr>
        <w:tc>
          <w:tcPr>
            <w:tcW w:w="5404" w:type="dxa"/>
          </w:tcPr>
          <w:p w14:paraId="2EB81E44" w14:textId="77777777" w:rsidR="00BA0E27" w:rsidRPr="005B5418" w:rsidRDefault="00BA0E27" w:rsidP="005425ED">
            <w:pPr>
              <w:pStyle w:val="FAM-Table-outline"/>
              <w:spacing w:line="240" w:lineRule="auto"/>
              <w:rPr>
                <w:rFonts w:eastAsia="Arial Unicode MS"/>
              </w:rPr>
            </w:pPr>
            <w:r w:rsidRPr="005B5418">
              <w:rPr>
                <w:rFonts w:eastAsia="Arial Unicode MS"/>
              </w:rPr>
              <w:lastRenderedPageBreak/>
              <w:t>Is one of the following historical cost flow assumptions used to value operating materials and supplies</w:t>
            </w:r>
          </w:p>
          <w:p w14:paraId="686DE227"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FIFO, </w:t>
            </w:r>
          </w:p>
          <w:p w14:paraId="5A89EEFF"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weighted average, or</w:t>
            </w:r>
          </w:p>
          <w:p w14:paraId="78A29E00" w14:textId="7BC5ED29"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moving average? (SFFAS 3, par</w:t>
            </w:r>
            <w:r w:rsidR="00CD2237" w:rsidRPr="005B5418">
              <w:rPr>
                <w:rFonts w:eastAsia="Arial Unicode MS" w:cs="Arial"/>
                <w:szCs w:val="22"/>
              </w:rPr>
              <w:t>a</w:t>
            </w:r>
            <w:r w:rsidRPr="005B5418">
              <w:rPr>
                <w:rFonts w:eastAsia="Arial Unicode MS" w:cs="Arial"/>
                <w:szCs w:val="22"/>
              </w:rPr>
              <w:t xml:space="preserve">. 44) </w:t>
            </w:r>
          </w:p>
        </w:tc>
        <w:tc>
          <w:tcPr>
            <w:tcW w:w="984" w:type="dxa"/>
            <w:gridSpan w:val="2"/>
          </w:tcPr>
          <w:p w14:paraId="11945F63" w14:textId="77777777" w:rsidR="00BA0E27" w:rsidRPr="005B5418" w:rsidRDefault="00BA0E27" w:rsidP="00BA0E27">
            <w:pPr>
              <w:pStyle w:val="Table-Cell-CenterBoldBefore6ptAfter6pt"/>
              <w:rPr>
                <w:rFonts w:cs="Arial"/>
              </w:rPr>
            </w:pPr>
          </w:p>
        </w:tc>
        <w:tc>
          <w:tcPr>
            <w:tcW w:w="3193" w:type="dxa"/>
          </w:tcPr>
          <w:p w14:paraId="041C1656" w14:textId="77777777" w:rsidR="00BA0E27" w:rsidRPr="005B5418" w:rsidRDefault="00BA0E27" w:rsidP="00BA0E27">
            <w:pPr>
              <w:spacing w:line="240" w:lineRule="auto"/>
              <w:rPr>
                <w:rFonts w:cs="Arial"/>
              </w:rPr>
            </w:pPr>
          </w:p>
        </w:tc>
      </w:tr>
      <w:tr w:rsidR="00D21D64" w:rsidRPr="005B5418" w14:paraId="3EFEF545" w14:textId="77777777" w:rsidTr="005425ED">
        <w:trPr>
          <w:trHeight w:hRule="exact" w:val="461"/>
        </w:trPr>
        <w:tc>
          <w:tcPr>
            <w:tcW w:w="5404" w:type="dxa"/>
          </w:tcPr>
          <w:p w14:paraId="1EA7582B" w14:textId="77777777" w:rsidR="00D21D64" w:rsidRPr="005B5418" w:rsidRDefault="00D21D64" w:rsidP="00D51FB5">
            <w:pPr>
              <w:pStyle w:val="FAM-Table-outline"/>
              <w:numPr>
                <w:ilvl w:val="0"/>
                <w:numId w:val="0"/>
              </w:numPr>
              <w:spacing w:line="240" w:lineRule="auto"/>
              <w:ind w:left="236" w:hanging="236"/>
              <w:rPr>
                <w:rFonts w:eastAsia="Arial Unicode MS" w:cs="Arial"/>
                <w:i/>
                <w:szCs w:val="22"/>
              </w:rPr>
            </w:pPr>
            <w:r w:rsidRPr="005B5418">
              <w:rPr>
                <w:rFonts w:eastAsia="Arial Unicode MS" w:cs="Arial"/>
                <w:i/>
                <w:szCs w:val="22"/>
              </w:rPr>
              <w:t>Valuation for Opening Balances</w:t>
            </w:r>
          </w:p>
        </w:tc>
        <w:tc>
          <w:tcPr>
            <w:tcW w:w="984" w:type="dxa"/>
            <w:gridSpan w:val="2"/>
          </w:tcPr>
          <w:p w14:paraId="14EE1C93" w14:textId="77777777" w:rsidR="00D21D64" w:rsidRPr="005B5418" w:rsidRDefault="00D21D64" w:rsidP="00BA0E27">
            <w:pPr>
              <w:pStyle w:val="Table-Cell-CenterBoldBefore6ptAfter6pt"/>
              <w:rPr>
                <w:rFonts w:cs="Arial"/>
              </w:rPr>
            </w:pPr>
          </w:p>
        </w:tc>
        <w:tc>
          <w:tcPr>
            <w:tcW w:w="3193" w:type="dxa"/>
          </w:tcPr>
          <w:p w14:paraId="0DCAFAAA" w14:textId="77777777" w:rsidR="00D21D64" w:rsidRPr="005B5418" w:rsidRDefault="00D21D64" w:rsidP="00BA0E27">
            <w:pPr>
              <w:spacing w:line="240" w:lineRule="auto"/>
              <w:rPr>
                <w:rFonts w:cs="Arial"/>
              </w:rPr>
            </w:pPr>
          </w:p>
        </w:tc>
      </w:tr>
      <w:tr w:rsidR="00BA0E27" w:rsidRPr="005B5418" w14:paraId="641CF9D7" w14:textId="77777777" w:rsidTr="005425ED">
        <w:trPr>
          <w:cantSplit/>
          <w:trHeight w:val="2160"/>
        </w:trPr>
        <w:tc>
          <w:tcPr>
            <w:tcW w:w="5404" w:type="dxa"/>
          </w:tcPr>
          <w:p w14:paraId="4921EB2E" w14:textId="77777777" w:rsidR="00BA0E27" w:rsidRPr="005B5418" w:rsidRDefault="00BA0E27" w:rsidP="002D3200">
            <w:pPr>
              <w:pStyle w:val="FAM-Table-outline"/>
              <w:numPr>
                <w:ilvl w:val="0"/>
                <w:numId w:val="0"/>
              </w:numPr>
              <w:spacing w:line="20" w:lineRule="exact"/>
              <w:ind w:left="576" w:hanging="576"/>
              <w:rPr>
                <w:rFonts w:eastAsia="Arial Unicode MS" w:cs="Arial"/>
                <w:szCs w:val="22"/>
                <w:u w:val="single"/>
              </w:rPr>
            </w:pPr>
            <w:r w:rsidRPr="005B5418">
              <w:rPr>
                <w:rFonts w:eastAsia="Arial Unicode MS" w:cs="Arial"/>
                <w:szCs w:val="22"/>
              </w:rPr>
              <w:t xml:space="preserve">      </w:t>
            </w:r>
          </w:p>
          <w:p w14:paraId="35483035" w14:textId="7F22F3BF" w:rsidR="00BA0E27" w:rsidRPr="005B5418" w:rsidRDefault="00BA0E27" w:rsidP="005425ED">
            <w:pPr>
              <w:pStyle w:val="FAM-Table-outline"/>
              <w:spacing w:line="240" w:lineRule="auto"/>
              <w:rPr>
                <w:rFonts w:eastAsia="Arial Unicode MS" w:cs="Arial"/>
                <w:szCs w:val="22"/>
              </w:rPr>
            </w:pPr>
            <w:r w:rsidRPr="005B5418">
              <w:rPr>
                <w:rFonts w:eastAsia="Arial Unicode MS"/>
              </w:rPr>
              <w:t xml:space="preserve">If the entity is applying </w:t>
            </w:r>
            <w:r w:rsidR="00780F5C" w:rsidRPr="005B5418">
              <w:rPr>
                <w:rFonts w:eastAsia="Arial Unicode MS"/>
              </w:rPr>
              <w:t xml:space="preserve">the </w:t>
            </w:r>
            <w:r w:rsidR="00E868CE" w:rsidRPr="005B5418">
              <w:rPr>
                <w:rFonts w:eastAsia="Arial Unicode MS"/>
              </w:rPr>
              <w:t>a</w:t>
            </w:r>
            <w:r w:rsidR="00780F5C" w:rsidRPr="005B5418">
              <w:rPr>
                <w:rFonts w:eastAsia="Arial Unicode MS"/>
              </w:rPr>
              <w:t xml:space="preserve">lternative </w:t>
            </w:r>
            <w:r w:rsidR="00E868CE" w:rsidRPr="005B5418">
              <w:rPr>
                <w:rFonts w:eastAsia="Arial Unicode MS"/>
              </w:rPr>
              <w:t>v</w:t>
            </w:r>
            <w:r w:rsidR="00780F5C" w:rsidRPr="005B5418">
              <w:rPr>
                <w:rFonts w:eastAsia="Arial Unicode MS"/>
              </w:rPr>
              <w:t xml:space="preserve">aluation </w:t>
            </w:r>
            <w:r w:rsidR="00E868CE" w:rsidRPr="005B5418">
              <w:rPr>
                <w:rFonts w:eastAsia="Arial Unicode MS"/>
              </w:rPr>
              <w:t>m</w:t>
            </w:r>
            <w:r w:rsidR="00780F5C" w:rsidRPr="005B5418">
              <w:rPr>
                <w:rFonts w:eastAsia="Arial Unicode MS"/>
              </w:rPr>
              <w:t>ethod</w:t>
            </w:r>
            <w:r w:rsidRPr="005B5418">
              <w:rPr>
                <w:rFonts w:eastAsia="Arial Unicode MS"/>
              </w:rPr>
              <w:t>, does the entity apply deemed cost only in establishing opening balances for operating materials and supplies in the reporting period that the entity, taken as a whole, makes an unreserved assertion that its financial statements, or the operating materials and supplies line item, are presented fairly in accordance with GAAP? (SFFAS 3, par</w:t>
            </w:r>
            <w:r w:rsidR="00416011" w:rsidRPr="005B5418">
              <w:rPr>
                <w:rFonts w:eastAsia="Arial Unicode MS"/>
              </w:rPr>
              <w:t>a</w:t>
            </w:r>
            <w:r w:rsidRPr="005B5418">
              <w:rPr>
                <w:rFonts w:eastAsia="Arial Unicode MS"/>
              </w:rPr>
              <w:t>. 26a(i))</w:t>
            </w:r>
          </w:p>
        </w:tc>
        <w:tc>
          <w:tcPr>
            <w:tcW w:w="984" w:type="dxa"/>
            <w:gridSpan w:val="2"/>
          </w:tcPr>
          <w:p w14:paraId="2D6E3BB2" w14:textId="77777777" w:rsidR="00BA0E27" w:rsidRPr="005B5418" w:rsidRDefault="00BA0E27" w:rsidP="00BA0E27">
            <w:pPr>
              <w:pStyle w:val="Table-Cell-CenterBoldBefore6ptAfter6pt"/>
              <w:rPr>
                <w:rFonts w:cs="Arial"/>
              </w:rPr>
            </w:pPr>
          </w:p>
        </w:tc>
        <w:tc>
          <w:tcPr>
            <w:tcW w:w="3193" w:type="dxa"/>
          </w:tcPr>
          <w:p w14:paraId="78F4D85A" w14:textId="0363B518" w:rsidR="00BA0E27" w:rsidRPr="005B5418" w:rsidRDefault="00780F5C" w:rsidP="00BA0E27">
            <w:pPr>
              <w:spacing w:line="240" w:lineRule="auto"/>
              <w:rPr>
                <w:rFonts w:cs="Arial"/>
              </w:rPr>
            </w:pPr>
            <w:r w:rsidRPr="005B5418">
              <w:rPr>
                <w:rFonts w:cs="Arial"/>
              </w:rPr>
              <w:t xml:space="preserve"> </w:t>
            </w:r>
          </w:p>
        </w:tc>
      </w:tr>
      <w:tr w:rsidR="00BA0E27" w:rsidRPr="005B5418" w14:paraId="779239B0" w14:textId="77777777" w:rsidTr="005425ED">
        <w:trPr>
          <w:trHeight w:val="2160"/>
        </w:trPr>
        <w:tc>
          <w:tcPr>
            <w:tcW w:w="5404" w:type="dxa"/>
          </w:tcPr>
          <w:p w14:paraId="7A7EE08F" w14:textId="50007FFC" w:rsidR="00BA0E27" w:rsidRPr="005B5418" w:rsidRDefault="00BA0E27" w:rsidP="005425ED">
            <w:pPr>
              <w:pStyle w:val="FAM-Table-outline"/>
              <w:spacing w:line="240" w:lineRule="auto"/>
              <w:rPr>
                <w:rFonts w:eastAsia="Arial Unicode MS" w:cs="Arial"/>
                <w:szCs w:val="22"/>
              </w:rPr>
            </w:pPr>
            <w:r w:rsidRPr="005B5418">
              <w:rPr>
                <w:rFonts w:eastAsia="Arial Unicode MS"/>
              </w:rPr>
              <w:t xml:space="preserve">If the entity is applying </w:t>
            </w:r>
            <w:r w:rsidR="00780F5C" w:rsidRPr="005B5418">
              <w:rPr>
                <w:rFonts w:eastAsia="Arial Unicode MS"/>
              </w:rPr>
              <w:t xml:space="preserve">the </w:t>
            </w:r>
            <w:r w:rsidR="00E868CE" w:rsidRPr="005B5418">
              <w:rPr>
                <w:rFonts w:eastAsia="Arial Unicode MS"/>
              </w:rPr>
              <w:t>a</w:t>
            </w:r>
            <w:r w:rsidR="00780F5C" w:rsidRPr="005B5418">
              <w:rPr>
                <w:rFonts w:eastAsia="Arial Unicode MS"/>
              </w:rPr>
              <w:t xml:space="preserve">lternative </w:t>
            </w:r>
            <w:r w:rsidR="00E868CE" w:rsidRPr="005B5418">
              <w:rPr>
                <w:rFonts w:eastAsia="Arial Unicode MS"/>
              </w:rPr>
              <w:t>v</w:t>
            </w:r>
            <w:r w:rsidR="00780F5C" w:rsidRPr="005B5418">
              <w:rPr>
                <w:rFonts w:eastAsia="Arial Unicode MS"/>
              </w:rPr>
              <w:t xml:space="preserve">aluation </w:t>
            </w:r>
            <w:r w:rsidR="00E868CE" w:rsidRPr="005B5418">
              <w:rPr>
                <w:rFonts w:eastAsia="Arial Unicode MS"/>
              </w:rPr>
              <w:t>m</w:t>
            </w:r>
            <w:r w:rsidR="00780F5C" w:rsidRPr="005B5418">
              <w:rPr>
                <w:rFonts w:eastAsia="Arial Unicode MS"/>
              </w:rPr>
              <w:t>ethod</w:t>
            </w:r>
            <w:r w:rsidRPr="005B5418">
              <w:rPr>
                <w:rFonts w:eastAsia="Arial Unicode MS"/>
              </w:rPr>
              <w:t>, does the entity apply deemed cost only once after a reporting period during which existing systems could not provide the information necessary for producing GAAP-based financial statements without the use of the alternative valuation method? (SFFAS 3, par</w:t>
            </w:r>
            <w:r w:rsidR="00416011" w:rsidRPr="005B5418">
              <w:rPr>
                <w:rFonts w:eastAsia="Arial Unicode MS"/>
              </w:rPr>
              <w:t>a</w:t>
            </w:r>
            <w:r w:rsidRPr="005B5418">
              <w:rPr>
                <w:rFonts w:eastAsia="Arial Unicode MS"/>
              </w:rPr>
              <w:t>. 26a(ii))</w:t>
            </w:r>
          </w:p>
        </w:tc>
        <w:tc>
          <w:tcPr>
            <w:tcW w:w="984" w:type="dxa"/>
            <w:gridSpan w:val="2"/>
          </w:tcPr>
          <w:p w14:paraId="7079CA8D" w14:textId="77777777" w:rsidR="00BA0E27" w:rsidRPr="005B5418" w:rsidRDefault="00BA0E27" w:rsidP="00BA0E27">
            <w:pPr>
              <w:pStyle w:val="Table-Cell-CenterBoldBefore6ptAfter6pt"/>
              <w:rPr>
                <w:rFonts w:cs="Arial"/>
              </w:rPr>
            </w:pPr>
          </w:p>
        </w:tc>
        <w:tc>
          <w:tcPr>
            <w:tcW w:w="3193" w:type="dxa"/>
          </w:tcPr>
          <w:p w14:paraId="0B5C8620" w14:textId="0BF8BF36" w:rsidR="00BA0E27" w:rsidRPr="005B5418" w:rsidRDefault="00BA0E27" w:rsidP="00BA0E27">
            <w:pPr>
              <w:spacing w:line="240" w:lineRule="auto"/>
              <w:rPr>
                <w:rFonts w:cs="Arial"/>
              </w:rPr>
            </w:pPr>
          </w:p>
        </w:tc>
      </w:tr>
      <w:tr w:rsidR="00BA0E27" w:rsidRPr="005B5418" w14:paraId="0DE22B75" w14:textId="77777777" w:rsidTr="005425ED">
        <w:trPr>
          <w:trHeight w:val="3518"/>
        </w:trPr>
        <w:tc>
          <w:tcPr>
            <w:tcW w:w="5404" w:type="dxa"/>
          </w:tcPr>
          <w:p w14:paraId="3FBBFA64" w14:textId="3E0FA848" w:rsidR="00BA0E27" w:rsidRPr="005B5418" w:rsidRDefault="00BA0E27" w:rsidP="005425ED">
            <w:pPr>
              <w:pStyle w:val="FAM-Table-outline"/>
              <w:spacing w:line="240" w:lineRule="auto"/>
              <w:rPr>
                <w:rFonts w:eastAsia="Arial Unicode MS"/>
              </w:rPr>
            </w:pPr>
            <w:r w:rsidRPr="005B5418">
              <w:rPr>
                <w:rFonts w:eastAsia="Arial Unicode MS"/>
              </w:rPr>
              <w:t>Is deemed cost</w:t>
            </w:r>
            <w:r w:rsidRPr="005B5418">
              <w:rPr>
                <w:rFonts w:eastAsia="Arial Unicode MS"/>
                <w:vertAlign w:val="superscript"/>
              </w:rPr>
              <w:footnoteReference w:id="119"/>
            </w:r>
            <w:r w:rsidRPr="005B5418">
              <w:rPr>
                <w:rFonts w:eastAsia="Arial Unicode MS"/>
              </w:rPr>
              <w:t xml:space="preserve"> based on one, or a combination, of the following valuation methods when the entity has multiple component entities using various valuation methods simultaneously</w:t>
            </w:r>
            <w:r w:rsidR="00416011" w:rsidRPr="005B5418">
              <w:rPr>
                <w:rFonts w:eastAsia="Arial Unicode MS"/>
              </w:rPr>
              <w:t>?</w:t>
            </w:r>
          </w:p>
          <w:p w14:paraId="2981A612" w14:textId="2CD54710" w:rsidR="00BA0E27" w:rsidRPr="005B5418" w:rsidRDefault="00416011"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Standard </w:t>
            </w:r>
            <w:r w:rsidR="00BA0E27" w:rsidRPr="005B5418">
              <w:rPr>
                <w:rFonts w:eastAsia="Arial Unicode MS" w:cs="Arial"/>
                <w:szCs w:val="22"/>
              </w:rPr>
              <w:t>price (selling price) or fair value</w:t>
            </w:r>
          </w:p>
          <w:p w14:paraId="6DCCCEE9" w14:textId="7F7EBA20" w:rsidR="00BA0E27" w:rsidRPr="005B5418" w:rsidRDefault="00416011"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L</w:t>
            </w:r>
            <w:r w:rsidR="00BA0E27" w:rsidRPr="005B5418">
              <w:rPr>
                <w:rFonts w:eastAsia="Arial Unicode MS" w:cs="Arial"/>
                <w:szCs w:val="22"/>
              </w:rPr>
              <w:t>atest acquisition cost</w:t>
            </w:r>
          </w:p>
          <w:p w14:paraId="652AC0B2" w14:textId="7572778C" w:rsidR="00BA0E27" w:rsidRPr="005B5418" w:rsidRDefault="00416011"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Replacement </w:t>
            </w:r>
            <w:r w:rsidR="00BA0E27" w:rsidRPr="005B5418">
              <w:rPr>
                <w:rFonts w:eastAsia="Arial Unicode MS" w:cs="Arial"/>
                <w:szCs w:val="22"/>
              </w:rPr>
              <w:t>cost</w:t>
            </w:r>
          </w:p>
          <w:p w14:paraId="342F56D7" w14:textId="1A265AAC" w:rsidR="00BA0E27" w:rsidRPr="005B5418" w:rsidRDefault="00416011"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Estimated </w:t>
            </w:r>
            <w:r w:rsidR="00BA0E27" w:rsidRPr="005B5418">
              <w:rPr>
                <w:rFonts w:eastAsia="Arial Unicode MS" w:cs="Arial"/>
                <w:szCs w:val="22"/>
              </w:rPr>
              <w:t>historical cost (initial amount)</w:t>
            </w:r>
          </w:p>
          <w:p w14:paraId="1C82DB9C" w14:textId="3C37C654" w:rsidR="00BA0E27" w:rsidRPr="005B5418" w:rsidRDefault="00416011"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Actual </w:t>
            </w:r>
            <w:r w:rsidR="00BA0E27" w:rsidRPr="005B5418">
              <w:rPr>
                <w:rFonts w:eastAsia="Arial Unicode MS" w:cs="Arial"/>
                <w:szCs w:val="22"/>
              </w:rPr>
              <w:t>historical cost (initial amount) (SFFAS 3, par</w:t>
            </w:r>
            <w:r w:rsidRPr="005B5418">
              <w:rPr>
                <w:rFonts w:eastAsia="Arial Unicode MS" w:cs="Arial"/>
                <w:szCs w:val="22"/>
              </w:rPr>
              <w:t>a</w:t>
            </w:r>
            <w:r w:rsidR="00BA0E27" w:rsidRPr="005B5418">
              <w:rPr>
                <w:rFonts w:eastAsia="Arial Unicode MS" w:cs="Arial"/>
                <w:szCs w:val="22"/>
              </w:rPr>
              <w:t>. 26a(iv))</w:t>
            </w:r>
          </w:p>
          <w:p w14:paraId="17233858" w14:textId="2353DFB2" w:rsidR="002D3200" w:rsidRPr="005B5418" w:rsidRDefault="002D3200">
            <w:pPr>
              <w:pStyle w:val="FAM-Table-outline2"/>
              <w:numPr>
                <w:ilvl w:val="0"/>
                <w:numId w:val="0"/>
              </w:numPr>
              <w:spacing w:line="240" w:lineRule="auto"/>
              <w:rPr>
                <w:rFonts w:eastAsia="Arial Unicode MS" w:cs="Arial"/>
                <w:szCs w:val="22"/>
              </w:rPr>
            </w:pPr>
          </w:p>
        </w:tc>
        <w:tc>
          <w:tcPr>
            <w:tcW w:w="984" w:type="dxa"/>
            <w:gridSpan w:val="2"/>
          </w:tcPr>
          <w:p w14:paraId="3D355153" w14:textId="77777777" w:rsidR="00BA0E27" w:rsidRPr="005B5418" w:rsidRDefault="00BA0E27" w:rsidP="00BA0E27">
            <w:pPr>
              <w:pStyle w:val="Table-Cell-CenterBoldBefore6ptAfter6pt"/>
              <w:rPr>
                <w:rFonts w:cs="Arial"/>
              </w:rPr>
            </w:pPr>
          </w:p>
        </w:tc>
        <w:tc>
          <w:tcPr>
            <w:tcW w:w="3193" w:type="dxa"/>
          </w:tcPr>
          <w:p w14:paraId="417DB053" w14:textId="77777777" w:rsidR="00BA0E27" w:rsidRPr="005B5418" w:rsidRDefault="00BA0E27" w:rsidP="00BA0E27">
            <w:pPr>
              <w:spacing w:line="240" w:lineRule="auto"/>
              <w:rPr>
                <w:rFonts w:cs="Arial"/>
              </w:rPr>
            </w:pPr>
          </w:p>
        </w:tc>
      </w:tr>
      <w:tr w:rsidR="005C61FF" w:rsidRPr="005B5418" w14:paraId="0437A37C" w14:textId="77777777" w:rsidTr="005425ED">
        <w:trPr>
          <w:trHeight w:hRule="exact" w:val="461"/>
        </w:trPr>
        <w:tc>
          <w:tcPr>
            <w:tcW w:w="5404" w:type="dxa"/>
          </w:tcPr>
          <w:p w14:paraId="38A9F009" w14:textId="77777777" w:rsidR="005C61FF" w:rsidRPr="005B5418" w:rsidRDefault="005C61FF" w:rsidP="00D51FB5">
            <w:pPr>
              <w:pStyle w:val="FAM-Table-outline"/>
              <w:numPr>
                <w:ilvl w:val="0"/>
                <w:numId w:val="0"/>
              </w:numPr>
              <w:spacing w:line="240" w:lineRule="auto"/>
              <w:ind w:left="56" w:hanging="56"/>
              <w:rPr>
                <w:rFonts w:eastAsia="Arial Unicode MS" w:cs="Arial"/>
                <w:i/>
                <w:szCs w:val="22"/>
              </w:rPr>
            </w:pPr>
            <w:r w:rsidRPr="005B5418">
              <w:rPr>
                <w:rFonts w:eastAsia="Arial Unicode MS" w:cs="Arial"/>
                <w:i/>
                <w:szCs w:val="22"/>
              </w:rPr>
              <w:lastRenderedPageBreak/>
              <w:t>Exceptions to Valuation</w:t>
            </w:r>
          </w:p>
        </w:tc>
        <w:tc>
          <w:tcPr>
            <w:tcW w:w="984" w:type="dxa"/>
            <w:gridSpan w:val="2"/>
          </w:tcPr>
          <w:p w14:paraId="6A6A5C83" w14:textId="77777777" w:rsidR="005C61FF" w:rsidRPr="005B5418" w:rsidRDefault="005C61FF" w:rsidP="00BA0E27">
            <w:pPr>
              <w:pStyle w:val="Table-Cell-CenterBoldBefore6ptAfter6pt"/>
              <w:rPr>
                <w:rFonts w:cs="Arial"/>
              </w:rPr>
            </w:pPr>
          </w:p>
        </w:tc>
        <w:tc>
          <w:tcPr>
            <w:tcW w:w="3193" w:type="dxa"/>
          </w:tcPr>
          <w:p w14:paraId="0D6C063A" w14:textId="77777777" w:rsidR="005C61FF" w:rsidRPr="005B5418" w:rsidRDefault="005C61FF" w:rsidP="00BA0E27">
            <w:pPr>
              <w:spacing w:line="240" w:lineRule="auto"/>
              <w:rPr>
                <w:rFonts w:cs="Arial"/>
              </w:rPr>
            </w:pPr>
          </w:p>
        </w:tc>
      </w:tr>
      <w:tr w:rsidR="00BA0E27" w:rsidRPr="005B5418" w14:paraId="6152ECC7" w14:textId="77777777" w:rsidTr="005425ED">
        <w:trPr>
          <w:trHeight w:val="737"/>
        </w:trPr>
        <w:tc>
          <w:tcPr>
            <w:tcW w:w="5404" w:type="dxa"/>
          </w:tcPr>
          <w:p w14:paraId="19457417" w14:textId="42C066AC" w:rsidR="00BA0E27" w:rsidRPr="005B5418" w:rsidRDefault="00BA0E27" w:rsidP="005425ED">
            <w:pPr>
              <w:pStyle w:val="FAM-Table-outline"/>
              <w:spacing w:line="240" w:lineRule="auto"/>
              <w:rPr>
                <w:rFonts w:eastAsia="Arial Unicode MS"/>
              </w:rPr>
            </w:pPr>
            <w:r w:rsidRPr="005B5418">
              <w:rPr>
                <w:rFonts w:eastAsia="Arial Unicode MS"/>
              </w:rPr>
              <w:t>If the entity values agricultural, mineral, and other products (e.g., petroleum) using net realizable value, do the operating materials and supplies have all the following criteria</w:t>
            </w:r>
            <w:r w:rsidR="00146C26" w:rsidRPr="005B5418">
              <w:rPr>
                <w:rFonts w:eastAsia="Arial Unicode MS"/>
              </w:rPr>
              <w:t>:</w:t>
            </w:r>
            <w:r w:rsidRPr="005B5418">
              <w:rPr>
                <w:rFonts w:eastAsia="Arial Unicode MS"/>
              </w:rPr>
              <w:t xml:space="preserve"> </w:t>
            </w:r>
          </w:p>
          <w:p w14:paraId="1883462A" w14:textId="6A2FAC5F"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units </w:t>
            </w:r>
            <w:r w:rsidR="00146C26" w:rsidRPr="005B5418">
              <w:rPr>
                <w:rFonts w:eastAsia="Arial Unicode MS" w:cs="Arial"/>
                <w:szCs w:val="22"/>
              </w:rPr>
              <w:t>that</w:t>
            </w:r>
            <w:r w:rsidRPr="005B5418">
              <w:rPr>
                <w:rFonts w:eastAsia="Arial Unicode MS" w:cs="Arial"/>
                <w:szCs w:val="22"/>
              </w:rPr>
              <w:t xml:space="preserve"> are interchangeable, </w:t>
            </w:r>
          </w:p>
          <w:p w14:paraId="7F276862" w14:textId="41F4BB30"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units </w:t>
            </w:r>
            <w:r w:rsidR="00146C26" w:rsidRPr="005B5418">
              <w:rPr>
                <w:rFonts w:eastAsia="Arial Unicode MS" w:cs="Arial"/>
                <w:szCs w:val="22"/>
              </w:rPr>
              <w:t>that</w:t>
            </w:r>
            <w:r w:rsidRPr="005B5418">
              <w:rPr>
                <w:rFonts w:eastAsia="Arial Unicode MS" w:cs="Arial"/>
                <w:szCs w:val="22"/>
              </w:rPr>
              <w:t xml:space="preserve"> have immediate marketability, and</w:t>
            </w:r>
          </w:p>
          <w:p w14:paraId="25DC8179" w14:textId="0FEF25DE"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units for which appropriate costs may be difficult to obtain? (SFFAS 3, par</w:t>
            </w:r>
            <w:r w:rsidR="00206787" w:rsidRPr="005B5418">
              <w:rPr>
                <w:rFonts w:eastAsia="Arial Unicode MS" w:cs="Arial"/>
                <w:szCs w:val="22"/>
              </w:rPr>
              <w:t>a</w:t>
            </w:r>
            <w:r w:rsidRPr="005B5418">
              <w:rPr>
                <w:rFonts w:eastAsia="Arial Unicode MS" w:cs="Arial"/>
                <w:szCs w:val="22"/>
              </w:rPr>
              <w:t>. 26b)</w:t>
            </w:r>
          </w:p>
        </w:tc>
        <w:tc>
          <w:tcPr>
            <w:tcW w:w="984" w:type="dxa"/>
            <w:gridSpan w:val="2"/>
          </w:tcPr>
          <w:p w14:paraId="175FBAD4" w14:textId="77777777" w:rsidR="00BA0E27" w:rsidRPr="005B5418" w:rsidRDefault="00BA0E27" w:rsidP="00BA0E27">
            <w:pPr>
              <w:pStyle w:val="Table-Cell-CenterBoldBefore6ptAfter6pt"/>
              <w:rPr>
                <w:rFonts w:cs="Arial"/>
              </w:rPr>
            </w:pPr>
          </w:p>
        </w:tc>
        <w:tc>
          <w:tcPr>
            <w:tcW w:w="3193" w:type="dxa"/>
          </w:tcPr>
          <w:p w14:paraId="4E8F0F83" w14:textId="77777777" w:rsidR="00BA0E27" w:rsidRPr="005B5418" w:rsidRDefault="00BA0E27" w:rsidP="00BA0E27">
            <w:pPr>
              <w:spacing w:line="240" w:lineRule="auto"/>
              <w:rPr>
                <w:rFonts w:cs="Arial"/>
              </w:rPr>
            </w:pPr>
          </w:p>
        </w:tc>
      </w:tr>
      <w:tr w:rsidR="00C763AC" w:rsidRPr="005B5418" w14:paraId="2C8E4382" w14:textId="77777777" w:rsidTr="005425ED">
        <w:trPr>
          <w:trHeight w:hRule="exact" w:val="720"/>
        </w:trPr>
        <w:tc>
          <w:tcPr>
            <w:tcW w:w="5404" w:type="dxa"/>
          </w:tcPr>
          <w:p w14:paraId="3ED27F65" w14:textId="5474FF0F" w:rsidR="00C763AC" w:rsidRPr="005B5418" w:rsidRDefault="00C763AC" w:rsidP="00F8028B">
            <w:pPr>
              <w:pStyle w:val="FAM-Table-outline"/>
              <w:numPr>
                <w:ilvl w:val="0"/>
                <w:numId w:val="0"/>
              </w:numPr>
              <w:spacing w:line="240" w:lineRule="auto"/>
              <w:rPr>
                <w:rFonts w:eastAsia="Arial Unicode MS"/>
              </w:rPr>
            </w:pPr>
            <w:r w:rsidRPr="005B5418">
              <w:rPr>
                <w:rFonts w:eastAsia="Arial Unicode MS" w:cs="Arial"/>
                <w:i/>
                <w:szCs w:val="22"/>
              </w:rPr>
              <w:t>Excess, Obsolete, and Unserviceable Operating Materials and Supplies</w:t>
            </w:r>
          </w:p>
        </w:tc>
        <w:tc>
          <w:tcPr>
            <w:tcW w:w="984" w:type="dxa"/>
            <w:gridSpan w:val="2"/>
          </w:tcPr>
          <w:p w14:paraId="2C6E0FDF" w14:textId="77777777" w:rsidR="00C763AC" w:rsidRPr="005B5418" w:rsidRDefault="00C763AC" w:rsidP="00BA0E27">
            <w:pPr>
              <w:pStyle w:val="Table-Cell-CenterBoldBefore6ptAfter6pt"/>
            </w:pPr>
          </w:p>
        </w:tc>
        <w:tc>
          <w:tcPr>
            <w:tcW w:w="3193" w:type="dxa"/>
          </w:tcPr>
          <w:p w14:paraId="1563B11C" w14:textId="77777777" w:rsidR="00C763AC" w:rsidRPr="005B5418" w:rsidRDefault="00C763AC" w:rsidP="00BA0E27">
            <w:pPr>
              <w:spacing w:line="240" w:lineRule="auto"/>
            </w:pPr>
          </w:p>
        </w:tc>
      </w:tr>
      <w:tr w:rsidR="00BA0E27" w:rsidRPr="005B5418" w14:paraId="6F2609B2" w14:textId="77777777" w:rsidTr="005425ED">
        <w:trPr>
          <w:cantSplit/>
          <w:trHeight w:val="1223"/>
        </w:trPr>
        <w:tc>
          <w:tcPr>
            <w:tcW w:w="5404" w:type="dxa"/>
          </w:tcPr>
          <w:p w14:paraId="5396CB5D" w14:textId="77777777" w:rsidR="00BA0E27" w:rsidRPr="005B5418" w:rsidRDefault="00BA0E27" w:rsidP="005425ED">
            <w:pPr>
              <w:pStyle w:val="FAM-Table-outline"/>
              <w:spacing w:line="240" w:lineRule="auto"/>
              <w:rPr>
                <w:rFonts w:eastAsia="Arial Unicode MS"/>
              </w:rPr>
            </w:pPr>
            <w:r w:rsidRPr="005B5418">
              <w:rPr>
                <w:rFonts w:eastAsia="Arial Unicode MS"/>
              </w:rPr>
              <w:t>Are excess, obsolete, and unserviceable operating materials and supplies valued at their estimated net realizable value? (SFFAS 3, par</w:t>
            </w:r>
            <w:r w:rsidR="002C289E" w:rsidRPr="005B5418">
              <w:rPr>
                <w:rFonts w:eastAsia="Arial Unicode MS"/>
              </w:rPr>
              <w:t>a</w:t>
            </w:r>
            <w:r w:rsidRPr="005B5418">
              <w:rPr>
                <w:rFonts w:eastAsia="Arial Unicode MS"/>
              </w:rPr>
              <w:t>. 48)</w:t>
            </w:r>
          </w:p>
        </w:tc>
        <w:tc>
          <w:tcPr>
            <w:tcW w:w="984" w:type="dxa"/>
            <w:gridSpan w:val="2"/>
          </w:tcPr>
          <w:p w14:paraId="5B049F1A" w14:textId="77777777" w:rsidR="00BA0E27" w:rsidRPr="005B5418" w:rsidRDefault="00BA0E27" w:rsidP="00BA0E27">
            <w:pPr>
              <w:pStyle w:val="Table-Cell-CenterBoldBefore6ptAfter6pt"/>
              <w:rPr>
                <w:rFonts w:cs="Arial"/>
              </w:rPr>
            </w:pPr>
          </w:p>
        </w:tc>
        <w:tc>
          <w:tcPr>
            <w:tcW w:w="3193" w:type="dxa"/>
          </w:tcPr>
          <w:p w14:paraId="5B588CFF" w14:textId="77777777" w:rsidR="00BA0E27" w:rsidRPr="005B5418" w:rsidRDefault="00BA0E27" w:rsidP="00BA0E27">
            <w:pPr>
              <w:spacing w:line="240" w:lineRule="auto"/>
              <w:rPr>
                <w:rFonts w:cs="Arial"/>
              </w:rPr>
            </w:pPr>
          </w:p>
        </w:tc>
      </w:tr>
      <w:tr w:rsidR="00BA0E27" w:rsidRPr="005B5418" w14:paraId="426C275B" w14:textId="77777777" w:rsidTr="005425ED">
        <w:trPr>
          <w:trHeight w:val="1889"/>
        </w:trPr>
        <w:tc>
          <w:tcPr>
            <w:tcW w:w="5404" w:type="dxa"/>
          </w:tcPr>
          <w:p w14:paraId="20B89506" w14:textId="239D7F34" w:rsidR="00BA0E27" w:rsidRPr="005B5418" w:rsidRDefault="00BA0E27" w:rsidP="005425ED">
            <w:pPr>
              <w:pStyle w:val="FAM-Table-outline"/>
              <w:spacing w:line="240" w:lineRule="auto"/>
              <w:rPr>
                <w:rFonts w:eastAsia="Arial Unicode MS"/>
              </w:rPr>
            </w:pPr>
            <w:r w:rsidRPr="005B5418">
              <w:rPr>
                <w:rFonts w:eastAsia="Arial Unicode MS"/>
              </w:rPr>
              <w:t>When operating materials and supplies are declared excess, obsolete, or unserviceable, is the difference between the carrying amount before identification as excess, obsolete, or unserviceable and the estimated net realizable value recognized as a loss (or gain)? (SFFAS 3, par</w:t>
            </w:r>
            <w:r w:rsidR="00C4572A" w:rsidRPr="005B5418">
              <w:rPr>
                <w:rFonts w:eastAsia="Arial Unicode MS"/>
              </w:rPr>
              <w:t>a</w:t>
            </w:r>
            <w:r w:rsidRPr="005B5418">
              <w:rPr>
                <w:rFonts w:eastAsia="Arial Unicode MS"/>
              </w:rPr>
              <w:t>. 48)</w:t>
            </w:r>
          </w:p>
        </w:tc>
        <w:tc>
          <w:tcPr>
            <w:tcW w:w="984" w:type="dxa"/>
            <w:gridSpan w:val="2"/>
          </w:tcPr>
          <w:p w14:paraId="6439D2EE" w14:textId="77777777" w:rsidR="00BA0E27" w:rsidRPr="005B5418" w:rsidRDefault="00BA0E27" w:rsidP="00BA0E27">
            <w:pPr>
              <w:pStyle w:val="Table-Cell-CenterBoldBefore6ptAfter6pt"/>
              <w:rPr>
                <w:rFonts w:cs="Arial"/>
              </w:rPr>
            </w:pPr>
          </w:p>
        </w:tc>
        <w:tc>
          <w:tcPr>
            <w:tcW w:w="3193" w:type="dxa"/>
          </w:tcPr>
          <w:p w14:paraId="195DE6CE" w14:textId="77777777" w:rsidR="00BA0E27" w:rsidRPr="005B5418" w:rsidRDefault="00BA0E27" w:rsidP="00BA0E27">
            <w:pPr>
              <w:spacing w:line="240" w:lineRule="auto"/>
              <w:rPr>
                <w:rFonts w:cs="Arial"/>
              </w:rPr>
            </w:pPr>
          </w:p>
        </w:tc>
      </w:tr>
      <w:tr w:rsidR="00BA0E27" w:rsidRPr="005B5418" w14:paraId="7CA9F4D8" w14:textId="77777777" w:rsidTr="005425ED">
        <w:trPr>
          <w:trHeight w:val="1718"/>
        </w:trPr>
        <w:tc>
          <w:tcPr>
            <w:tcW w:w="5404" w:type="dxa"/>
          </w:tcPr>
          <w:p w14:paraId="4A2EA294" w14:textId="4737DC81" w:rsidR="002D3200" w:rsidRPr="005B5418" w:rsidRDefault="00BA0E27" w:rsidP="005425ED">
            <w:pPr>
              <w:pStyle w:val="FAM-Table-outline"/>
              <w:spacing w:line="240" w:lineRule="auto"/>
              <w:rPr>
                <w:rFonts w:eastAsia="Arial Unicode MS"/>
              </w:rPr>
            </w:pPr>
            <w:r w:rsidRPr="005B5418">
              <w:rPr>
                <w:rFonts w:eastAsia="Arial Unicode MS"/>
              </w:rPr>
              <w:t>For excess, obsolete, or unserviceable operating materials and supplies, are any subsequent adjustments to the operating materials and supplies’ estimated net realizable value or any loss (or gain) upon disposal recognized as losses (or gains)? (SFFAS 3, par</w:t>
            </w:r>
            <w:r w:rsidR="00C4572A" w:rsidRPr="005B5418">
              <w:rPr>
                <w:rFonts w:eastAsia="Arial Unicode MS"/>
              </w:rPr>
              <w:t>a</w:t>
            </w:r>
            <w:r w:rsidRPr="005B5418">
              <w:rPr>
                <w:rFonts w:eastAsia="Arial Unicode MS"/>
              </w:rPr>
              <w:t>. 48)</w:t>
            </w:r>
          </w:p>
        </w:tc>
        <w:tc>
          <w:tcPr>
            <w:tcW w:w="984" w:type="dxa"/>
            <w:gridSpan w:val="2"/>
          </w:tcPr>
          <w:p w14:paraId="7A1FDD68" w14:textId="77777777" w:rsidR="00BA0E27" w:rsidRPr="005B5418" w:rsidRDefault="00BA0E27" w:rsidP="00BA0E27">
            <w:pPr>
              <w:pStyle w:val="Table-Cell-CenterBoldBefore6ptAfter6pt"/>
              <w:rPr>
                <w:rFonts w:cs="Arial"/>
              </w:rPr>
            </w:pPr>
          </w:p>
        </w:tc>
        <w:tc>
          <w:tcPr>
            <w:tcW w:w="3193" w:type="dxa"/>
          </w:tcPr>
          <w:p w14:paraId="337DD039" w14:textId="77777777" w:rsidR="00BA0E27" w:rsidRPr="005B5418" w:rsidRDefault="00BA0E27" w:rsidP="00BA0E27">
            <w:pPr>
              <w:spacing w:line="240" w:lineRule="auto"/>
              <w:rPr>
                <w:rFonts w:cs="Arial"/>
              </w:rPr>
            </w:pPr>
          </w:p>
        </w:tc>
      </w:tr>
      <w:tr w:rsidR="005C61FF" w:rsidRPr="005B5418" w14:paraId="37097A41" w14:textId="77777777" w:rsidTr="005425ED">
        <w:trPr>
          <w:trHeight w:hRule="exact" w:val="720"/>
        </w:trPr>
        <w:tc>
          <w:tcPr>
            <w:tcW w:w="5404" w:type="dxa"/>
          </w:tcPr>
          <w:p w14:paraId="1F22F004" w14:textId="557DC87E" w:rsidR="005C61FF" w:rsidRPr="005B5418" w:rsidRDefault="005C61FF" w:rsidP="00D51FB5">
            <w:pPr>
              <w:pStyle w:val="FAM-Table-outline"/>
              <w:numPr>
                <w:ilvl w:val="0"/>
                <w:numId w:val="0"/>
              </w:numPr>
              <w:spacing w:line="240" w:lineRule="auto"/>
              <w:ind w:firstLine="10"/>
              <w:rPr>
                <w:rFonts w:eastAsia="Arial Unicode MS" w:cs="Arial"/>
                <w:i/>
                <w:szCs w:val="22"/>
              </w:rPr>
            </w:pPr>
            <w:r w:rsidRPr="005B5418">
              <w:rPr>
                <w:rFonts w:eastAsia="Arial Unicode MS" w:cs="Arial"/>
                <w:i/>
                <w:szCs w:val="22"/>
              </w:rPr>
              <w:t>Other Categories of Operating Materials and Supplies</w:t>
            </w:r>
          </w:p>
        </w:tc>
        <w:tc>
          <w:tcPr>
            <w:tcW w:w="984" w:type="dxa"/>
            <w:gridSpan w:val="2"/>
          </w:tcPr>
          <w:p w14:paraId="1A5E9283" w14:textId="77777777" w:rsidR="005C61FF" w:rsidRPr="005B5418" w:rsidRDefault="005C61FF" w:rsidP="00BA0E27">
            <w:pPr>
              <w:pStyle w:val="Table-Cell-CenterBoldBefore6ptAfter6pt"/>
              <w:rPr>
                <w:rFonts w:cs="Arial"/>
              </w:rPr>
            </w:pPr>
          </w:p>
        </w:tc>
        <w:tc>
          <w:tcPr>
            <w:tcW w:w="3193" w:type="dxa"/>
          </w:tcPr>
          <w:p w14:paraId="392762E3" w14:textId="77777777" w:rsidR="005C61FF" w:rsidRPr="005B5418" w:rsidRDefault="005C61FF" w:rsidP="00BA0E27">
            <w:pPr>
              <w:spacing w:line="240" w:lineRule="auto"/>
              <w:rPr>
                <w:rFonts w:cs="Arial"/>
              </w:rPr>
            </w:pPr>
          </w:p>
        </w:tc>
      </w:tr>
      <w:tr w:rsidR="00BA0E27" w:rsidRPr="005B5418" w14:paraId="1DD76777" w14:textId="77777777" w:rsidTr="005425ED">
        <w:trPr>
          <w:cantSplit/>
          <w:trHeight w:val="1907"/>
        </w:trPr>
        <w:tc>
          <w:tcPr>
            <w:tcW w:w="5404" w:type="dxa"/>
          </w:tcPr>
          <w:p w14:paraId="214EE38F" w14:textId="77777777" w:rsidR="00BA0E27" w:rsidRPr="005B5418" w:rsidRDefault="00BA0E27" w:rsidP="002D3200">
            <w:pPr>
              <w:pStyle w:val="FAM-Table-outline"/>
              <w:numPr>
                <w:ilvl w:val="0"/>
                <w:numId w:val="0"/>
              </w:numPr>
              <w:spacing w:before="0" w:line="20" w:lineRule="exact"/>
              <w:ind w:left="331" w:hanging="331"/>
              <w:rPr>
                <w:rFonts w:eastAsia="Arial Unicode MS" w:cs="Arial"/>
                <w:szCs w:val="22"/>
                <w:u w:val="single"/>
              </w:rPr>
            </w:pPr>
            <w:r w:rsidRPr="005B5418">
              <w:rPr>
                <w:rFonts w:eastAsia="Arial Unicode MS" w:cs="Arial"/>
                <w:szCs w:val="22"/>
              </w:rPr>
              <w:t xml:space="preserve">      </w:t>
            </w:r>
          </w:p>
          <w:p w14:paraId="6A7C9C05" w14:textId="77777777" w:rsidR="00BA0E27" w:rsidRPr="005B5418" w:rsidRDefault="00BA0E27" w:rsidP="005425ED">
            <w:pPr>
              <w:pStyle w:val="FAM-Table-outline"/>
              <w:spacing w:line="240" w:lineRule="auto"/>
              <w:rPr>
                <w:rFonts w:eastAsia="Arial Unicode MS" w:cs="Arial"/>
                <w:szCs w:val="22"/>
              </w:rPr>
            </w:pPr>
            <w:r w:rsidRPr="005B5418">
              <w:rPr>
                <w:rFonts w:eastAsia="Arial Unicode MS"/>
              </w:rPr>
              <w:t>Are items held for remanufacture that meet the definition of operating materials and supplies valued in the same manner as items held for repair or operating materials and supplies, as applicable? (</w:t>
            </w:r>
            <w:r w:rsidR="00CE6A4E" w:rsidRPr="005B5418">
              <w:rPr>
                <w:rFonts w:eastAsia="Arial Unicode MS"/>
              </w:rPr>
              <w:t xml:space="preserve">FASAB </w:t>
            </w:r>
            <w:r w:rsidRPr="005B5418">
              <w:rPr>
                <w:rFonts w:eastAsia="Arial Unicode MS"/>
              </w:rPr>
              <w:t>Interpretation No. 7, par</w:t>
            </w:r>
            <w:r w:rsidR="00CE6A4E" w:rsidRPr="005B5418">
              <w:rPr>
                <w:rFonts w:eastAsia="Arial Unicode MS"/>
              </w:rPr>
              <w:t>a</w:t>
            </w:r>
            <w:r w:rsidRPr="005B5418">
              <w:rPr>
                <w:rFonts w:eastAsia="Arial Unicode MS"/>
              </w:rPr>
              <w:t>. 13)</w:t>
            </w:r>
          </w:p>
        </w:tc>
        <w:tc>
          <w:tcPr>
            <w:tcW w:w="984" w:type="dxa"/>
            <w:gridSpan w:val="2"/>
          </w:tcPr>
          <w:p w14:paraId="497A5910" w14:textId="77777777" w:rsidR="00BA0E27" w:rsidRPr="005B5418" w:rsidRDefault="00BA0E27" w:rsidP="00BA0E27">
            <w:pPr>
              <w:pStyle w:val="Table-Cell-CenterBoldBefore6ptAfter6pt"/>
              <w:rPr>
                <w:rFonts w:cs="Arial"/>
              </w:rPr>
            </w:pPr>
          </w:p>
        </w:tc>
        <w:tc>
          <w:tcPr>
            <w:tcW w:w="3193" w:type="dxa"/>
          </w:tcPr>
          <w:p w14:paraId="75B78E34" w14:textId="77777777" w:rsidR="00BA0E27" w:rsidRPr="005B5418" w:rsidRDefault="00BA0E27" w:rsidP="00BA0E27">
            <w:pPr>
              <w:spacing w:line="240" w:lineRule="auto"/>
              <w:rPr>
                <w:rFonts w:cs="Arial"/>
              </w:rPr>
            </w:pPr>
          </w:p>
        </w:tc>
      </w:tr>
      <w:tr w:rsidR="00BA0E27" w:rsidRPr="005B5418" w14:paraId="22D9DBB3" w14:textId="77777777" w:rsidTr="005425ED">
        <w:trPr>
          <w:trHeight w:val="1502"/>
        </w:trPr>
        <w:tc>
          <w:tcPr>
            <w:tcW w:w="5404" w:type="dxa"/>
          </w:tcPr>
          <w:p w14:paraId="7E78894E" w14:textId="12569249" w:rsidR="00BA0E27" w:rsidRPr="005B5418" w:rsidRDefault="00BA0E27" w:rsidP="005425ED">
            <w:pPr>
              <w:pStyle w:val="FAM-Table-outline"/>
              <w:spacing w:line="240" w:lineRule="auto"/>
              <w:rPr>
                <w:rFonts w:eastAsia="Arial Unicode MS" w:cs="Arial"/>
                <w:szCs w:val="22"/>
              </w:rPr>
            </w:pPr>
            <w:r w:rsidRPr="005B5418">
              <w:rPr>
                <w:rFonts w:eastAsia="Arial Unicode MS"/>
              </w:rPr>
              <w:lastRenderedPageBreak/>
              <w:t>Are operating materials and supplies held in reserve for future use valued using the same basis as operating materials and supplies held for use in normal operations? (SFFAS 3, par</w:t>
            </w:r>
            <w:r w:rsidR="00267AC2" w:rsidRPr="005B5418">
              <w:rPr>
                <w:rFonts w:eastAsia="Arial Unicode MS"/>
              </w:rPr>
              <w:t>a</w:t>
            </w:r>
            <w:r w:rsidRPr="005B5418">
              <w:rPr>
                <w:rFonts w:eastAsia="Arial Unicode MS"/>
              </w:rPr>
              <w:t>. 45)</w:t>
            </w:r>
          </w:p>
        </w:tc>
        <w:tc>
          <w:tcPr>
            <w:tcW w:w="984" w:type="dxa"/>
            <w:gridSpan w:val="2"/>
          </w:tcPr>
          <w:p w14:paraId="71386AE5" w14:textId="77777777" w:rsidR="00BA0E27" w:rsidRPr="005B5418" w:rsidRDefault="00BA0E27" w:rsidP="00BA0E27">
            <w:pPr>
              <w:pStyle w:val="Table-Cell-CenterBoldBefore6ptAfter6pt"/>
              <w:rPr>
                <w:rFonts w:cs="Arial"/>
              </w:rPr>
            </w:pPr>
          </w:p>
        </w:tc>
        <w:tc>
          <w:tcPr>
            <w:tcW w:w="3193" w:type="dxa"/>
          </w:tcPr>
          <w:p w14:paraId="1C69D33F" w14:textId="77777777" w:rsidR="00BA0E27" w:rsidRPr="005B5418" w:rsidRDefault="00BA0E27" w:rsidP="00BA0E27">
            <w:pPr>
              <w:spacing w:line="240" w:lineRule="auto"/>
              <w:rPr>
                <w:rFonts w:cs="Arial"/>
              </w:rPr>
            </w:pPr>
          </w:p>
        </w:tc>
      </w:tr>
      <w:tr w:rsidR="00BA0E27" w:rsidRPr="005B5418" w14:paraId="71520E0E" w14:textId="77777777" w:rsidTr="008848DA">
        <w:trPr>
          <w:trHeight w:val="431"/>
        </w:trPr>
        <w:tc>
          <w:tcPr>
            <w:tcW w:w="9581" w:type="dxa"/>
            <w:gridSpan w:val="4"/>
          </w:tcPr>
          <w:p w14:paraId="1ACE2444" w14:textId="77777777" w:rsidR="00BA0E27" w:rsidRPr="005B5418" w:rsidRDefault="00BA0E27" w:rsidP="00BA0E27">
            <w:pPr>
              <w:spacing w:line="240" w:lineRule="auto"/>
              <w:rPr>
                <w:rFonts w:ascii="Arial" w:hAnsi="Arial" w:cs="Arial"/>
                <w:b/>
              </w:rPr>
            </w:pPr>
            <w:r w:rsidRPr="005B5418">
              <w:rPr>
                <w:rFonts w:ascii="Arial" w:hAnsi="Arial" w:cs="Arial"/>
                <w:b/>
              </w:rPr>
              <w:t>Disclosure</w:t>
            </w:r>
          </w:p>
        </w:tc>
      </w:tr>
      <w:tr w:rsidR="005C61FF" w:rsidRPr="005B5418" w14:paraId="77DFC9A6" w14:textId="77777777" w:rsidTr="005425ED">
        <w:trPr>
          <w:trHeight w:hRule="exact" w:val="461"/>
        </w:trPr>
        <w:tc>
          <w:tcPr>
            <w:tcW w:w="5404" w:type="dxa"/>
          </w:tcPr>
          <w:p w14:paraId="73F2289E" w14:textId="77777777" w:rsidR="005C61FF" w:rsidRPr="005B5418" w:rsidRDefault="005C61FF" w:rsidP="00D51FB5">
            <w:pPr>
              <w:pStyle w:val="FAM-Table-outline"/>
              <w:numPr>
                <w:ilvl w:val="0"/>
                <w:numId w:val="0"/>
              </w:numPr>
              <w:spacing w:line="240" w:lineRule="auto"/>
              <w:ind w:firstLine="10"/>
              <w:rPr>
                <w:rFonts w:eastAsia="Arial Unicode MS" w:cs="Arial"/>
                <w:i/>
                <w:szCs w:val="22"/>
              </w:rPr>
            </w:pPr>
            <w:r w:rsidRPr="005B5418">
              <w:rPr>
                <w:rFonts w:eastAsia="Arial Unicode MS" w:cs="Arial"/>
                <w:i/>
                <w:szCs w:val="22"/>
              </w:rPr>
              <w:t xml:space="preserve">Operating Materials Held in Reserve for Future Use </w:t>
            </w:r>
          </w:p>
        </w:tc>
        <w:tc>
          <w:tcPr>
            <w:tcW w:w="984" w:type="dxa"/>
            <w:gridSpan w:val="2"/>
          </w:tcPr>
          <w:p w14:paraId="2C0D2737" w14:textId="77777777" w:rsidR="005C61FF" w:rsidRPr="005B5418" w:rsidRDefault="005C61FF" w:rsidP="00BA0E27">
            <w:pPr>
              <w:pStyle w:val="Table-Cell-CenterBoldBefore6ptAfter6pt"/>
              <w:rPr>
                <w:rFonts w:cs="Arial"/>
              </w:rPr>
            </w:pPr>
          </w:p>
        </w:tc>
        <w:tc>
          <w:tcPr>
            <w:tcW w:w="3193" w:type="dxa"/>
          </w:tcPr>
          <w:p w14:paraId="0FA63F87" w14:textId="77777777" w:rsidR="005C61FF" w:rsidRPr="005B5418" w:rsidRDefault="005C61FF" w:rsidP="00BA0E27">
            <w:pPr>
              <w:spacing w:line="240" w:lineRule="auto"/>
              <w:rPr>
                <w:rFonts w:cs="Arial"/>
              </w:rPr>
            </w:pPr>
          </w:p>
        </w:tc>
      </w:tr>
      <w:tr w:rsidR="00BA0E27" w:rsidRPr="005B5418" w14:paraId="4F6CBE4C" w14:textId="77777777" w:rsidTr="005425ED">
        <w:trPr>
          <w:trHeight w:val="1547"/>
        </w:trPr>
        <w:tc>
          <w:tcPr>
            <w:tcW w:w="5404" w:type="dxa"/>
          </w:tcPr>
          <w:p w14:paraId="6298D0DA" w14:textId="1932D072" w:rsidR="00BA0E27" w:rsidRPr="005B5418" w:rsidRDefault="00BA0E27" w:rsidP="005425ED">
            <w:pPr>
              <w:pStyle w:val="FAM-Table-outline"/>
              <w:spacing w:line="240" w:lineRule="auto"/>
              <w:rPr>
                <w:rFonts w:eastAsia="Arial Unicode MS"/>
              </w:rPr>
            </w:pPr>
            <w:r w:rsidRPr="005B5418">
              <w:rPr>
                <w:rFonts w:eastAsia="Arial Unicode MS"/>
              </w:rPr>
              <w:t>Are operating materials and supplies which are maintained because they are not readily available in the market or because there is more than a remote chance that they will eventually be needed (although not necessarily in the normal course of operations) classified as operating materials and supplies held in reserve for future use and either</w:t>
            </w:r>
          </w:p>
          <w:p w14:paraId="1B9135C8" w14:textId="4EC4B221"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included in the operating materials and supplies line item on the face of the financial statements with separate disclosure in the notes or</w:t>
            </w:r>
          </w:p>
          <w:p w14:paraId="2CC8F36D" w14:textId="4D6B979B" w:rsidR="002D3200"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shown as a separate line item on the face of the financial statements?</w:t>
            </w:r>
            <w:r w:rsidRPr="005B5418">
              <w:rPr>
                <w:rFonts w:eastAsia="Arial Unicode MS" w:cs="Arial"/>
                <w:szCs w:val="22"/>
              </w:rPr>
              <w:br/>
              <w:t>(SFFAS 3, par</w:t>
            </w:r>
            <w:r w:rsidR="00773B51" w:rsidRPr="005B5418">
              <w:rPr>
                <w:rFonts w:eastAsia="Arial Unicode MS" w:cs="Arial"/>
                <w:szCs w:val="22"/>
              </w:rPr>
              <w:t>a</w:t>
            </w:r>
            <w:r w:rsidRPr="005B5418">
              <w:rPr>
                <w:rFonts w:eastAsia="Arial Unicode MS" w:cs="Arial"/>
                <w:szCs w:val="22"/>
              </w:rPr>
              <w:t>. 45)</w:t>
            </w:r>
            <w:r w:rsidRPr="005B5418" w:rsidDel="00B849C7">
              <w:rPr>
                <w:rFonts w:eastAsia="Arial Unicode MS" w:cs="Arial"/>
                <w:szCs w:val="22"/>
              </w:rPr>
              <w:t xml:space="preserve"> </w:t>
            </w:r>
          </w:p>
        </w:tc>
        <w:tc>
          <w:tcPr>
            <w:tcW w:w="984" w:type="dxa"/>
            <w:gridSpan w:val="2"/>
          </w:tcPr>
          <w:p w14:paraId="342F7829" w14:textId="77777777" w:rsidR="00BA0E27" w:rsidRPr="005B5418" w:rsidRDefault="00BA0E27" w:rsidP="00BA0E27">
            <w:pPr>
              <w:pStyle w:val="Table-Cell-CenterBoldBefore6ptAfter6pt"/>
              <w:rPr>
                <w:rFonts w:cs="Arial"/>
              </w:rPr>
            </w:pPr>
          </w:p>
        </w:tc>
        <w:tc>
          <w:tcPr>
            <w:tcW w:w="3193" w:type="dxa"/>
          </w:tcPr>
          <w:p w14:paraId="1C219563" w14:textId="77777777" w:rsidR="00BA0E27" w:rsidRPr="005B5418" w:rsidRDefault="00BA0E27" w:rsidP="00BA0E27">
            <w:pPr>
              <w:spacing w:line="240" w:lineRule="auto"/>
              <w:rPr>
                <w:rFonts w:cs="Arial"/>
              </w:rPr>
            </w:pPr>
          </w:p>
        </w:tc>
      </w:tr>
      <w:tr w:rsidR="005C61FF" w:rsidRPr="005B5418" w14:paraId="2BBDDCD0" w14:textId="77777777" w:rsidTr="005425ED">
        <w:trPr>
          <w:trHeight w:hRule="exact" w:val="734"/>
        </w:trPr>
        <w:tc>
          <w:tcPr>
            <w:tcW w:w="5404" w:type="dxa"/>
          </w:tcPr>
          <w:p w14:paraId="19CD4074" w14:textId="77777777" w:rsidR="005C61FF" w:rsidRPr="005B5418" w:rsidRDefault="005C61FF" w:rsidP="00D51FB5">
            <w:pPr>
              <w:pStyle w:val="FAM-Table-outline"/>
              <w:numPr>
                <w:ilvl w:val="0"/>
                <w:numId w:val="0"/>
              </w:numPr>
              <w:spacing w:line="240" w:lineRule="auto"/>
              <w:ind w:firstLine="10"/>
              <w:rPr>
                <w:rFonts w:eastAsia="Arial Unicode MS" w:cs="Arial"/>
                <w:i/>
                <w:szCs w:val="22"/>
              </w:rPr>
            </w:pPr>
            <w:r w:rsidRPr="005B5418">
              <w:rPr>
                <w:rFonts w:eastAsia="Arial Unicode MS" w:cs="Arial"/>
                <w:i/>
                <w:szCs w:val="22"/>
              </w:rPr>
              <w:t>Excess, Obsolete, and Unserviceable Operating Materials and Supplies</w:t>
            </w:r>
          </w:p>
        </w:tc>
        <w:tc>
          <w:tcPr>
            <w:tcW w:w="984" w:type="dxa"/>
            <w:gridSpan w:val="2"/>
          </w:tcPr>
          <w:p w14:paraId="722E699F" w14:textId="77777777" w:rsidR="005C61FF" w:rsidRPr="005B5418" w:rsidRDefault="005C61FF" w:rsidP="00BA0E27">
            <w:pPr>
              <w:pStyle w:val="Table-Cell-CenterBoldBefore6ptAfter6pt"/>
              <w:rPr>
                <w:rFonts w:cs="Arial"/>
              </w:rPr>
            </w:pPr>
          </w:p>
        </w:tc>
        <w:tc>
          <w:tcPr>
            <w:tcW w:w="3193" w:type="dxa"/>
          </w:tcPr>
          <w:p w14:paraId="7996DD89" w14:textId="77777777" w:rsidR="005C61FF" w:rsidRPr="005B5418" w:rsidRDefault="005C61FF" w:rsidP="00BA0E27">
            <w:pPr>
              <w:spacing w:line="240" w:lineRule="auto"/>
              <w:rPr>
                <w:rFonts w:cs="Arial"/>
              </w:rPr>
            </w:pPr>
          </w:p>
        </w:tc>
      </w:tr>
      <w:tr w:rsidR="00BA0E27" w:rsidRPr="005B5418" w14:paraId="4400878D" w14:textId="77777777" w:rsidTr="005425ED">
        <w:trPr>
          <w:cantSplit/>
          <w:trHeight w:val="2160"/>
        </w:trPr>
        <w:tc>
          <w:tcPr>
            <w:tcW w:w="5404" w:type="dxa"/>
          </w:tcPr>
          <w:p w14:paraId="6E5B8274" w14:textId="77777777" w:rsidR="00BA0E27" w:rsidRPr="005B5418" w:rsidRDefault="00BA0E27" w:rsidP="005425ED">
            <w:pPr>
              <w:pStyle w:val="FAM-Table-outline"/>
              <w:spacing w:line="240" w:lineRule="auto"/>
              <w:rPr>
                <w:rFonts w:eastAsia="Arial Unicode MS"/>
              </w:rPr>
            </w:pPr>
            <w:r w:rsidRPr="005B5418">
              <w:rPr>
                <w:rFonts w:eastAsia="Arial Unicode MS"/>
              </w:rPr>
              <w:t>Are operating materials and supplies identified as excess, obsolete, or unserviceable either</w:t>
            </w:r>
          </w:p>
          <w:p w14:paraId="47A87D66"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included in the operating materials and supplies line item on the face of the financial statements with separate disclosure in the notes or</w:t>
            </w:r>
          </w:p>
          <w:p w14:paraId="25DF8334"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shown as a separate line item on the face of the financial statements? (SFFAS 3, par</w:t>
            </w:r>
            <w:r w:rsidR="00315891" w:rsidRPr="005B5418">
              <w:rPr>
                <w:rFonts w:eastAsia="Arial Unicode MS" w:cs="Arial"/>
                <w:szCs w:val="22"/>
              </w:rPr>
              <w:t>a</w:t>
            </w:r>
            <w:r w:rsidRPr="005B5418">
              <w:rPr>
                <w:rFonts w:eastAsia="Arial Unicode MS" w:cs="Arial"/>
                <w:szCs w:val="22"/>
              </w:rPr>
              <w:t>. 47)</w:t>
            </w:r>
          </w:p>
        </w:tc>
        <w:tc>
          <w:tcPr>
            <w:tcW w:w="984" w:type="dxa"/>
            <w:gridSpan w:val="2"/>
          </w:tcPr>
          <w:p w14:paraId="0AB930DE" w14:textId="77777777" w:rsidR="00BA0E27" w:rsidRPr="005B5418" w:rsidRDefault="00BA0E27" w:rsidP="00BA0E27">
            <w:pPr>
              <w:pStyle w:val="Table-Cell-CenterBoldBefore6ptAfter6pt"/>
              <w:rPr>
                <w:rFonts w:cs="Arial"/>
              </w:rPr>
            </w:pPr>
          </w:p>
        </w:tc>
        <w:tc>
          <w:tcPr>
            <w:tcW w:w="3193" w:type="dxa"/>
          </w:tcPr>
          <w:p w14:paraId="7D94795B" w14:textId="77777777" w:rsidR="00BA0E27" w:rsidRPr="005B5418" w:rsidRDefault="00BA0E27" w:rsidP="00BA0E27">
            <w:pPr>
              <w:spacing w:line="240" w:lineRule="auto"/>
              <w:rPr>
                <w:rFonts w:cs="Arial"/>
              </w:rPr>
            </w:pPr>
          </w:p>
        </w:tc>
      </w:tr>
      <w:tr w:rsidR="00BA0E27" w:rsidRPr="005B5418" w14:paraId="726F7E14" w14:textId="77777777" w:rsidTr="005425ED">
        <w:trPr>
          <w:trHeight w:val="1457"/>
        </w:trPr>
        <w:tc>
          <w:tcPr>
            <w:tcW w:w="5404" w:type="dxa"/>
          </w:tcPr>
          <w:p w14:paraId="3AB3CA01" w14:textId="77777777" w:rsidR="00BA0E27" w:rsidRPr="005B5418" w:rsidRDefault="00BA0E27" w:rsidP="005425ED">
            <w:pPr>
              <w:pStyle w:val="FAM-Table-outline"/>
              <w:spacing w:line="240" w:lineRule="auto"/>
              <w:rPr>
                <w:rFonts w:eastAsia="Arial Unicode MS"/>
              </w:rPr>
            </w:pPr>
            <w:r w:rsidRPr="005B5418">
              <w:rPr>
                <w:rFonts w:eastAsia="Arial Unicode MS"/>
              </w:rPr>
              <w:t>Does entity disclosure of operating materials and supplies include</w:t>
            </w:r>
          </w:p>
          <w:p w14:paraId="1E594F2C"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general composition;</w:t>
            </w:r>
          </w:p>
          <w:p w14:paraId="633F1769"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basis for valuation (including valuation method and any cost flow assumptions);</w:t>
            </w:r>
          </w:p>
          <w:p w14:paraId="0671FB7A"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change from prior years’ accounting </w:t>
            </w:r>
            <w:r w:rsidRPr="005B5418">
              <w:rPr>
                <w:rFonts w:eastAsia="Arial Unicode MS" w:cs="Arial"/>
                <w:szCs w:val="22"/>
              </w:rPr>
              <w:lastRenderedPageBreak/>
              <w:t>methods;</w:t>
            </w:r>
          </w:p>
          <w:p w14:paraId="5DC9331D" w14:textId="12C6808E"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balances in each </w:t>
            </w:r>
            <w:r w:rsidR="00C76C65" w:rsidRPr="005B5418">
              <w:rPr>
                <w:rFonts w:eastAsia="Arial Unicode MS" w:cs="Arial"/>
                <w:szCs w:val="22"/>
              </w:rPr>
              <w:t xml:space="preserve">of the following </w:t>
            </w:r>
            <w:r w:rsidRPr="005B5418">
              <w:rPr>
                <w:rFonts w:eastAsia="Arial Unicode MS" w:cs="Arial"/>
                <w:szCs w:val="22"/>
              </w:rPr>
              <w:t xml:space="preserve">operating material and supply </w:t>
            </w:r>
            <w:r w:rsidR="00C76C65" w:rsidRPr="005B5418">
              <w:rPr>
                <w:rFonts w:eastAsia="Arial Unicode MS" w:cs="Arial"/>
                <w:szCs w:val="22"/>
              </w:rPr>
              <w:t>categories</w:t>
            </w:r>
            <w:r w:rsidRPr="005B5418">
              <w:rPr>
                <w:rFonts w:eastAsia="Arial Unicode MS" w:cs="Arial"/>
                <w:szCs w:val="22"/>
              </w:rPr>
              <w:t>:</w:t>
            </w:r>
          </w:p>
          <w:p w14:paraId="0ABAB76E"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operating materials and supplies held for use,</w:t>
            </w:r>
          </w:p>
          <w:p w14:paraId="381BACE9"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operating materials and supplies held in reserve for future use, and</w:t>
            </w:r>
          </w:p>
          <w:p w14:paraId="18C53818"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excess, obsolete, and unserviceable operating materials and supplies;</w:t>
            </w:r>
          </w:p>
          <w:p w14:paraId="6105B534"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difference between the carrying amount of the operating materials and supplies before identification as excess, obsolete, or unserviceable and estimated net realizable value;</w:t>
            </w:r>
          </w:p>
          <w:p w14:paraId="3305667B"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restrictions on the use of materials and supplies, if any;</w:t>
            </w:r>
          </w:p>
          <w:p w14:paraId="7139474F"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decision criteria for identifying each category to which material and supplies are assigned;</w:t>
            </w:r>
            <w:r w:rsidRPr="005B5418">
              <w:rPr>
                <w:rFonts w:eastAsia="Arial Unicode MS" w:cs="Arial"/>
                <w:szCs w:val="22"/>
                <w:vertAlign w:val="superscript"/>
              </w:rPr>
              <w:footnoteReference w:id="120"/>
            </w:r>
            <w:r w:rsidRPr="005B5418">
              <w:rPr>
                <w:rFonts w:eastAsia="Arial Unicode MS" w:cs="Arial"/>
                <w:szCs w:val="22"/>
              </w:rPr>
              <w:t xml:space="preserve"> and</w:t>
            </w:r>
          </w:p>
          <w:p w14:paraId="3D719E9B" w14:textId="7C9800FB"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changes in the criteria for identifying the category to which the operating materials and supplies are assigned?</w:t>
            </w:r>
            <w:r w:rsidRPr="005B5418">
              <w:rPr>
                <w:rFonts w:eastAsia="Arial Unicode MS" w:cs="Arial"/>
                <w:szCs w:val="22"/>
              </w:rPr>
              <w:br/>
              <w:t>(SFFAS 3, par</w:t>
            </w:r>
            <w:r w:rsidR="00C76C65" w:rsidRPr="005B5418">
              <w:rPr>
                <w:rFonts w:eastAsia="Arial Unicode MS" w:cs="Arial"/>
                <w:szCs w:val="22"/>
              </w:rPr>
              <w:t>as</w:t>
            </w:r>
            <w:r w:rsidRPr="005B5418">
              <w:rPr>
                <w:rFonts w:eastAsia="Arial Unicode MS" w:cs="Arial"/>
                <w:szCs w:val="22"/>
              </w:rPr>
              <w:t xml:space="preserve">. 37, 46, 48, 49, </w:t>
            </w:r>
            <w:r w:rsidR="00C76C65" w:rsidRPr="005B5418">
              <w:rPr>
                <w:rFonts w:eastAsia="Arial Unicode MS" w:cs="Arial"/>
                <w:szCs w:val="22"/>
              </w:rPr>
              <w:t xml:space="preserve">and </w:t>
            </w:r>
            <w:r w:rsidRPr="005B5418">
              <w:rPr>
                <w:rFonts w:eastAsia="Arial Unicode MS" w:cs="Arial"/>
                <w:szCs w:val="22"/>
              </w:rPr>
              <w:t>50)</w:t>
            </w:r>
          </w:p>
        </w:tc>
        <w:tc>
          <w:tcPr>
            <w:tcW w:w="965" w:type="dxa"/>
          </w:tcPr>
          <w:p w14:paraId="4ADE725B" w14:textId="77777777" w:rsidR="00BA0E27" w:rsidRPr="005B5418" w:rsidRDefault="00BA0E27" w:rsidP="00BA0E27">
            <w:pPr>
              <w:pStyle w:val="Table-Cell-CenterBoldBefore6ptAfter6pt"/>
              <w:rPr>
                <w:rFonts w:cs="Arial"/>
                <w:lang w:val="pt-BR"/>
              </w:rPr>
            </w:pPr>
          </w:p>
        </w:tc>
        <w:tc>
          <w:tcPr>
            <w:tcW w:w="3212" w:type="dxa"/>
            <w:gridSpan w:val="2"/>
          </w:tcPr>
          <w:p w14:paraId="52D5E2ED" w14:textId="77777777" w:rsidR="00BA0E27" w:rsidRPr="005B5418" w:rsidRDefault="00BA0E27" w:rsidP="00BA0E27">
            <w:pPr>
              <w:pStyle w:val="Table-Cell-Left"/>
              <w:spacing w:line="240" w:lineRule="auto"/>
              <w:rPr>
                <w:rFonts w:cs="Arial"/>
                <w:lang w:val="pt-BR"/>
              </w:rPr>
            </w:pPr>
          </w:p>
        </w:tc>
      </w:tr>
      <w:tr w:rsidR="00BA0E27" w:rsidRPr="005B5418" w14:paraId="1CBBD7F0" w14:textId="77777777" w:rsidTr="005425ED">
        <w:trPr>
          <w:trHeight w:val="2160"/>
        </w:trPr>
        <w:tc>
          <w:tcPr>
            <w:tcW w:w="5404" w:type="dxa"/>
          </w:tcPr>
          <w:p w14:paraId="3A44B941" w14:textId="5F3ED7D7" w:rsidR="00BA0E27" w:rsidRPr="005B5418" w:rsidRDefault="00BA0E27" w:rsidP="005425ED">
            <w:pPr>
              <w:pStyle w:val="FAM-Table-outline"/>
              <w:spacing w:line="240" w:lineRule="auto"/>
              <w:rPr>
                <w:rFonts w:eastAsia="Arial Unicode MS"/>
              </w:rPr>
            </w:pPr>
            <w:r w:rsidRPr="005B5418">
              <w:rPr>
                <w:rFonts w:eastAsia="Arial Unicode MS"/>
              </w:rPr>
              <w:t>If, during any of the periods presented, the entity initially elected to apply an alternative valuation method (i.e., deemed cost) in establishing opening balances for one or more line items related to operating materials and supplies, did the entity</w:t>
            </w:r>
          </w:p>
          <w:p w14:paraId="7983D358"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disclose that it elected to apply deemed cost in establishing opening balance for operating materials and supplies;</w:t>
            </w:r>
          </w:p>
          <w:p w14:paraId="514FC3EA" w14:textId="7EA7F75F"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describe the method used; and</w:t>
            </w:r>
          </w:p>
          <w:p w14:paraId="7C1BC60A" w14:textId="5BC88A6F" w:rsidR="00BA0E27" w:rsidRPr="005B5418" w:rsidDel="00E71592"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treat the election as a change in accounting principle by reporting the change in accordance with SFFAS 21, par</w:t>
            </w:r>
            <w:r w:rsidR="000B5F29" w:rsidRPr="005B5418">
              <w:rPr>
                <w:rFonts w:eastAsia="Arial Unicode MS" w:cs="Arial"/>
                <w:szCs w:val="22"/>
              </w:rPr>
              <w:t xml:space="preserve">agraph </w:t>
            </w:r>
            <w:r w:rsidRPr="005B5418">
              <w:rPr>
                <w:rFonts w:eastAsia="Arial Unicode MS" w:cs="Arial"/>
                <w:szCs w:val="22"/>
              </w:rPr>
              <w:t>13?</w:t>
            </w:r>
            <w:r w:rsidRPr="005B5418">
              <w:rPr>
                <w:rFonts w:eastAsia="Arial Unicode MS" w:cs="Arial"/>
                <w:szCs w:val="22"/>
              </w:rPr>
              <w:br/>
              <w:t>(SFFAS 3, par</w:t>
            </w:r>
            <w:r w:rsidR="000B5F29" w:rsidRPr="005B5418">
              <w:rPr>
                <w:rFonts w:eastAsia="Arial Unicode MS" w:cs="Arial"/>
                <w:szCs w:val="22"/>
              </w:rPr>
              <w:t>as</w:t>
            </w:r>
            <w:r w:rsidRPr="005B5418">
              <w:rPr>
                <w:rFonts w:eastAsia="Arial Unicode MS" w:cs="Arial"/>
                <w:szCs w:val="22"/>
              </w:rPr>
              <w:t xml:space="preserve">. 26(a)(iii) and 26(a)(v)) </w:t>
            </w:r>
          </w:p>
        </w:tc>
        <w:tc>
          <w:tcPr>
            <w:tcW w:w="965" w:type="dxa"/>
          </w:tcPr>
          <w:p w14:paraId="50896C43" w14:textId="77777777" w:rsidR="00BA0E27" w:rsidRPr="005B5418" w:rsidRDefault="00BA0E27" w:rsidP="00BA0E27">
            <w:pPr>
              <w:pStyle w:val="Table-Cell-CenterBoldBefore6ptAfter6pt"/>
              <w:rPr>
                <w:rFonts w:cs="Arial"/>
                <w:lang w:val="pt-BR"/>
              </w:rPr>
            </w:pPr>
          </w:p>
        </w:tc>
        <w:tc>
          <w:tcPr>
            <w:tcW w:w="3212" w:type="dxa"/>
            <w:gridSpan w:val="2"/>
          </w:tcPr>
          <w:p w14:paraId="430B1F48" w14:textId="77777777" w:rsidR="00BA0E27" w:rsidRPr="005B5418" w:rsidRDefault="00BA0E27" w:rsidP="00BA0E27">
            <w:pPr>
              <w:pStyle w:val="Table-Cell-Left"/>
              <w:spacing w:line="240" w:lineRule="auto"/>
              <w:rPr>
                <w:rFonts w:cs="Arial"/>
                <w:lang w:val="pt-BR"/>
              </w:rPr>
            </w:pPr>
          </w:p>
        </w:tc>
      </w:tr>
      <w:tr w:rsidR="00BA0E27" w:rsidRPr="005B5418" w14:paraId="5CDF0A10" w14:textId="77777777" w:rsidTr="008848DA">
        <w:tc>
          <w:tcPr>
            <w:tcW w:w="9581" w:type="dxa"/>
            <w:gridSpan w:val="4"/>
          </w:tcPr>
          <w:p w14:paraId="6D57D04D" w14:textId="77777777" w:rsidR="00BA0E27" w:rsidRPr="005B5418" w:rsidRDefault="00BA0E27" w:rsidP="00BA0E27">
            <w:pPr>
              <w:pStyle w:val="Heading5"/>
              <w:spacing w:line="240" w:lineRule="auto"/>
              <w:jc w:val="center"/>
              <w:rPr>
                <w:rFonts w:ascii="Arial" w:hAnsi="Arial" w:cs="Arial"/>
                <w:b/>
                <w:color w:val="auto"/>
              </w:rPr>
            </w:pPr>
            <w:bookmarkStart w:id="152" w:name="_Ref392094321"/>
            <w:bookmarkStart w:id="153" w:name="_Toc394667896"/>
            <w:bookmarkStart w:id="154" w:name="_Ref390347534"/>
            <w:r w:rsidRPr="005B5418">
              <w:rPr>
                <w:rFonts w:ascii="Arial" w:hAnsi="Arial" w:cs="Arial"/>
                <w:b/>
                <w:color w:val="auto"/>
              </w:rPr>
              <w:lastRenderedPageBreak/>
              <w:t>Stockpile Materials</w:t>
            </w:r>
            <w:bookmarkEnd w:id="152"/>
            <w:bookmarkEnd w:id="153"/>
            <w:r w:rsidRPr="005B5418">
              <w:rPr>
                <w:rFonts w:ascii="Arial" w:hAnsi="Arial" w:cs="Arial"/>
                <w:b/>
                <w:color w:val="auto"/>
              </w:rPr>
              <w:t xml:space="preserve"> </w:t>
            </w:r>
            <w:bookmarkEnd w:id="154"/>
          </w:p>
        </w:tc>
      </w:tr>
      <w:tr w:rsidR="00BA0E27" w:rsidRPr="005B5418" w14:paraId="3911A7D8" w14:textId="77777777" w:rsidTr="00381952">
        <w:trPr>
          <w:trHeight w:val="4598"/>
        </w:trPr>
        <w:tc>
          <w:tcPr>
            <w:tcW w:w="9581" w:type="dxa"/>
            <w:gridSpan w:val="4"/>
          </w:tcPr>
          <w:p w14:paraId="7391FDD2" w14:textId="58D184FC" w:rsidR="00BA0E27" w:rsidRPr="005B5418" w:rsidRDefault="00BA0E27" w:rsidP="00D7798C">
            <w:pPr>
              <w:pStyle w:val="Table-Note"/>
              <w:spacing w:before="60" w:after="60" w:line="240" w:lineRule="auto"/>
              <w:ind w:left="0"/>
              <w:jc w:val="left"/>
              <w:rPr>
                <w:rFonts w:cs="Arial"/>
                <w:i w:val="0"/>
                <w:sz w:val="22"/>
                <w:szCs w:val="22"/>
              </w:rPr>
            </w:pPr>
            <w:r w:rsidRPr="005B5418">
              <w:rPr>
                <w:rFonts w:cs="Arial"/>
                <w:i w:val="0"/>
                <w:sz w:val="22"/>
                <w:szCs w:val="22"/>
              </w:rPr>
              <w:t xml:space="preserve">Stockpile materials are strategic and critical materials held due to statutory requirements for use in national defense, conservation, or national emergencies. Not included </w:t>
            </w:r>
            <w:r w:rsidR="00745014" w:rsidRPr="005B5418">
              <w:rPr>
                <w:rFonts w:cs="Arial"/>
                <w:i w:val="0"/>
                <w:sz w:val="22"/>
                <w:szCs w:val="22"/>
              </w:rPr>
              <w:t xml:space="preserve">in </w:t>
            </w:r>
            <w:r w:rsidRPr="005B5418">
              <w:rPr>
                <w:rFonts w:cs="Arial"/>
                <w:i w:val="0"/>
                <w:sz w:val="22"/>
                <w:szCs w:val="22"/>
              </w:rPr>
              <w:t>this category are (1) items held for sale or use in normal operations, (2) items held for use in the event of an agency’s operating emergency or contingency, and (3) materials acquired to support market prices. (SFFAS 3, par</w:t>
            </w:r>
            <w:r w:rsidR="00745014" w:rsidRPr="005B5418">
              <w:rPr>
                <w:rFonts w:cs="Arial"/>
                <w:i w:val="0"/>
                <w:sz w:val="22"/>
                <w:szCs w:val="22"/>
              </w:rPr>
              <w:t>a</w:t>
            </w:r>
            <w:r w:rsidRPr="005B5418">
              <w:rPr>
                <w:rFonts w:cs="Arial"/>
                <w:i w:val="0"/>
                <w:sz w:val="22"/>
                <w:szCs w:val="22"/>
              </w:rPr>
              <w:t>. 51)</w:t>
            </w:r>
          </w:p>
          <w:p w14:paraId="42C364B7" w14:textId="069BCBBA" w:rsidR="00BA0E27" w:rsidRPr="005B5418" w:rsidRDefault="00BA0E27" w:rsidP="00D7798C">
            <w:pPr>
              <w:pStyle w:val="Table-Note"/>
              <w:spacing w:before="60" w:after="60" w:line="240" w:lineRule="auto"/>
              <w:ind w:left="0"/>
              <w:jc w:val="left"/>
              <w:rPr>
                <w:rFonts w:cs="Arial"/>
                <w:i w:val="0"/>
                <w:sz w:val="22"/>
                <w:szCs w:val="22"/>
              </w:rPr>
            </w:pPr>
            <w:r w:rsidRPr="005B5418">
              <w:rPr>
                <w:rFonts w:cs="Arial"/>
                <w:i w:val="0"/>
                <w:sz w:val="22"/>
                <w:szCs w:val="22"/>
              </w:rPr>
              <w:t>SFFAS 48</w:t>
            </w:r>
            <w:r w:rsidR="00780F5C" w:rsidRPr="005B5418">
              <w:rPr>
                <w:rFonts w:cs="Arial"/>
                <w:i w:val="0"/>
                <w:sz w:val="22"/>
                <w:szCs w:val="22"/>
              </w:rPr>
              <w:t xml:space="preserve"> (which amended SFFAS 3)</w:t>
            </w:r>
            <w:r w:rsidRPr="005B5418">
              <w:rPr>
                <w:rFonts w:cs="Arial"/>
                <w:i w:val="0"/>
                <w:sz w:val="22"/>
                <w:szCs w:val="22"/>
              </w:rPr>
              <w:t xml:space="preserve"> permits a reporting entity to apply deemed cost in establishing opening balances for inventory, operating materials and supplies, and stockpile materials. </w:t>
            </w:r>
          </w:p>
          <w:p w14:paraId="5CFB8B08" w14:textId="55692DE3" w:rsidR="00381952" w:rsidRPr="005B5418" w:rsidRDefault="00BA0E27" w:rsidP="00D7798C">
            <w:pPr>
              <w:pStyle w:val="Table-Note"/>
              <w:spacing w:before="60" w:after="60" w:line="240" w:lineRule="auto"/>
              <w:ind w:left="0"/>
              <w:jc w:val="left"/>
              <w:rPr>
                <w:rFonts w:cs="Arial"/>
                <w:i w:val="0"/>
                <w:sz w:val="22"/>
                <w:szCs w:val="22"/>
              </w:rPr>
            </w:pPr>
            <w:r w:rsidRPr="005B5418">
              <w:rPr>
                <w:rFonts w:cs="Arial"/>
                <w:i w:val="0"/>
                <w:sz w:val="22"/>
                <w:szCs w:val="22"/>
              </w:rPr>
              <w:t xml:space="preserve">This method is permitted when presenting financial statements, or one or more line items addressed by this statement, following </w:t>
            </w:r>
            <w:r w:rsidR="00745014" w:rsidRPr="005B5418">
              <w:rPr>
                <w:rFonts w:cs="Arial"/>
                <w:i w:val="0"/>
                <w:sz w:val="22"/>
                <w:szCs w:val="22"/>
              </w:rPr>
              <w:t>FASAB-</w:t>
            </w:r>
            <w:r w:rsidRPr="005B5418">
              <w:rPr>
                <w:rFonts w:cs="Arial"/>
                <w:i w:val="0"/>
                <w:sz w:val="22"/>
                <w:szCs w:val="22"/>
              </w:rPr>
              <w:t xml:space="preserve">promulgated </w:t>
            </w:r>
            <w:r w:rsidR="00745014" w:rsidRPr="005B5418">
              <w:rPr>
                <w:rFonts w:cs="Arial"/>
                <w:i w:val="0"/>
                <w:sz w:val="22"/>
                <w:szCs w:val="22"/>
              </w:rPr>
              <w:t>GAAP</w:t>
            </w:r>
            <w:r w:rsidRPr="005B5418">
              <w:rPr>
                <w:rFonts w:cs="Arial"/>
                <w:i w:val="0"/>
                <w:sz w:val="22"/>
                <w:szCs w:val="22"/>
              </w:rPr>
              <w:t xml:space="preserve"> either (1) for the first-time or (2) after a period during which existing systems could not provide the information necessary for producing such GAAP-based financial statements without use of the alternative valuation method. SFFAS 48 is intended to provide an alternative valuation method when historical records and systems do not provide a basis for valuation of opening balances in accordance with SFFAS 3, </w:t>
            </w:r>
            <w:r w:rsidRPr="005B5418">
              <w:rPr>
                <w:rFonts w:cs="Arial"/>
                <w:sz w:val="22"/>
                <w:szCs w:val="22"/>
              </w:rPr>
              <w:t>Accounting for Inventory and Related Property</w:t>
            </w:r>
            <w:r w:rsidRPr="005B5418">
              <w:rPr>
                <w:rFonts w:cs="Arial"/>
                <w:i w:val="0"/>
                <w:sz w:val="22"/>
                <w:szCs w:val="22"/>
              </w:rPr>
              <w:t>. Questions relating to SFFAS 48 are incorporated in this checklist as it relates to opening balances.</w:t>
            </w:r>
          </w:p>
        </w:tc>
      </w:tr>
      <w:tr w:rsidR="00BA0E27" w:rsidRPr="005B5418" w14:paraId="206D65D7" w14:textId="77777777" w:rsidTr="008848DA">
        <w:trPr>
          <w:trHeight w:val="314"/>
        </w:trPr>
        <w:tc>
          <w:tcPr>
            <w:tcW w:w="9581" w:type="dxa"/>
            <w:gridSpan w:val="4"/>
          </w:tcPr>
          <w:p w14:paraId="7560DF8F" w14:textId="77777777" w:rsidR="00BA0E27" w:rsidRPr="005B5418" w:rsidRDefault="00BA0E27" w:rsidP="00BA0E27">
            <w:pPr>
              <w:spacing w:line="240" w:lineRule="auto"/>
              <w:rPr>
                <w:rFonts w:ascii="Arial" w:hAnsi="Arial" w:cs="Arial"/>
                <w:b/>
              </w:rPr>
            </w:pPr>
            <w:r w:rsidRPr="005B5418">
              <w:rPr>
                <w:rFonts w:ascii="Arial" w:hAnsi="Arial" w:cs="Arial"/>
                <w:b/>
              </w:rPr>
              <w:t>Accounting</w:t>
            </w:r>
          </w:p>
        </w:tc>
      </w:tr>
      <w:tr w:rsidR="005C61FF" w:rsidRPr="005B5418" w14:paraId="5CF6E33C" w14:textId="77777777" w:rsidTr="005425ED">
        <w:trPr>
          <w:trHeight w:hRule="exact" w:val="461"/>
        </w:trPr>
        <w:tc>
          <w:tcPr>
            <w:tcW w:w="5404" w:type="dxa"/>
          </w:tcPr>
          <w:p w14:paraId="1FE8AA5F" w14:textId="77777777" w:rsidR="005C61FF" w:rsidRPr="005B5418" w:rsidRDefault="005C61FF" w:rsidP="001D28E7">
            <w:pPr>
              <w:pStyle w:val="FAM-Table-outline"/>
              <w:numPr>
                <w:ilvl w:val="0"/>
                <w:numId w:val="0"/>
              </w:numPr>
              <w:spacing w:line="240" w:lineRule="auto"/>
              <w:rPr>
                <w:rFonts w:eastAsia="Arial Unicode MS" w:cs="Arial"/>
                <w:i/>
                <w:szCs w:val="22"/>
              </w:rPr>
            </w:pPr>
            <w:r w:rsidRPr="005B5418">
              <w:rPr>
                <w:rFonts w:eastAsia="Arial Unicode MS" w:cs="Arial"/>
                <w:i/>
                <w:szCs w:val="22"/>
              </w:rPr>
              <w:t>Recognition</w:t>
            </w:r>
          </w:p>
          <w:p w14:paraId="3BDCBA01" w14:textId="77777777" w:rsidR="005C61FF" w:rsidRPr="005B5418" w:rsidRDefault="005C61FF" w:rsidP="00BA0E27">
            <w:pPr>
              <w:pStyle w:val="FAM-Table-outline"/>
              <w:numPr>
                <w:ilvl w:val="0"/>
                <w:numId w:val="0"/>
              </w:numPr>
              <w:spacing w:line="240" w:lineRule="auto"/>
              <w:ind w:left="360"/>
              <w:rPr>
                <w:rFonts w:eastAsia="Arial Unicode MS" w:cs="Arial"/>
                <w:szCs w:val="22"/>
                <w:u w:val="single"/>
              </w:rPr>
            </w:pPr>
          </w:p>
        </w:tc>
        <w:tc>
          <w:tcPr>
            <w:tcW w:w="965" w:type="dxa"/>
          </w:tcPr>
          <w:p w14:paraId="1DD89ABF" w14:textId="77777777" w:rsidR="005C61FF" w:rsidRPr="005B5418" w:rsidRDefault="005C61FF" w:rsidP="00BA0E27">
            <w:pPr>
              <w:pStyle w:val="Table-Cell-CenterBoldBefore6ptAfter6pt"/>
              <w:rPr>
                <w:rFonts w:cs="Arial"/>
              </w:rPr>
            </w:pPr>
          </w:p>
        </w:tc>
        <w:tc>
          <w:tcPr>
            <w:tcW w:w="3212" w:type="dxa"/>
            <w:gridSpan w:val="2"/>
          </w:tcPr>
          <w:p w14:paraId="19B557D2" w14:textId="77777777" w:rsidR="005C61FF" w:rsidRPr="005B5418" w:rsidRDefault="005C61FF" w:rsidP="00BA0E27">
            <w:pPr>
              <w:pStyle w:val="Table-Cell-Left"/>
              <w:spacing w:line="240" w:lineRule="auto"/>
              <w:rPr>
                <w:rFonts w:cs="Arial"/>
              </w:rPr>
            </w:pPr>
          </w:p>
        </w:tc>
      </w:tr>
      <w:tr w:rsidR="00BA0E27" w:rsidRPr="005B5418" w14:paraId="410520EF" w14:textId="77777777" w:rsidTr="005425ED">
        <w:trPr>
          <w:trHeight w:val="1223"/>
        </w:trPr>
        <w:tc>
          <w:tcPr>
            <w:tcW w:w="5404" w:type="dxa"/>
          </w:tcPr>
          <w:p w14:paraId="06786DBC" w14:textId="6EEA4B24" w:rsidR="00BA0E27" w:rsidRPr="005B5418" w:rsidRDefault="00BA0E27" w:rsidP="005425ED">
            <w:pPr>
              <w:pStyle w:val="FAM-Table-outline"/>
              <w:spacing w:line="240" w:lineRule="auto"/>
              <w:rPr>
                <w:rFonts w:eastAsia="Arial Unicode MS" w:cs="Arial"/>
                <w:szCs w:val="22"/>
              </w:rPr>
            </w:pPr>
            <w:r w:rsidRPr="005B5418">
              <w:rPr>
                <w:rFonts w:eastAsia="Arial Unicode MS"/>
              </w:rPr>
              <w:t>Are stockpile materials recognized as assets when produced or purchased (i.e., recognized as assets using the consumption method)? (SFFAS 3, par</w:t>
            </w:r>
            <w:r w:rsidR="00F1085E" w:rsidRPr="005B5418">
              <w:rPr>
                <w:rFonts w:eastAsia="Arial Unicode MS"/>
              </w:rPr>
              <w:t>a</w:t>
            </w:r>
            <w:r w:rsidRPr="005B5418">
              <w:rPr>
                <w:rFonts w:eastAsia="Arial Unicode MS"/>
              </w:rPr>
              <w:t>. 52)</w:t>
            </w:r>
          </w:p>
        </w:tc>
        <w:tc>
          <w:tcPr>
            <w:tcW w:w="965" w:type="dxa"/>
          </w:tcPr>
          <w:p w14:paraId="55167F37" w14:textId="77777777" w:rsidR="00BA0E27" w:rsidRPr="005B5418" w:rsidRDefault="00BA0E27" w:rsidP="00BA0E27">
            <w:pPr>
              <w:pStyle w:val="Table-Cell-CenterBoldBefore6ptAfter6pt"/>
              <w:rPr>
                <w:rFonts w:cs="Arial"/>
              </w:rPr>
            </w:pPr>
          </w:p>
        </w:tc>
        <w:tc>
          <w:tcPr>
            <w:tcW w:w="3212" w:type="dxa"/>
            <w:gridSpan w:val="2"/>
          </w:tcPr>
          <w:p w14:paraId="5B1B4A7A" w14:textId="77777777" w:rsidR="00BA0E27" w:rsidRPr="005B5418" w:rsidRDefault="00BA0E27" w:rsidP="00BA0E27">
            <w:pPr>
              <w:pStyle w:val="Table-Cell-Left"/>
              <w:spacing w:line="240" w:lineRule="auto"/>
              <w:rPr>
                <w:rFonts w:cs="Arial"/>
              </w:rPr>
            </w:pPr>
          </w:p>
        </w:tc>
      </w:tr>
      <w:tr w:rsidR="00BA0E27" w:rsidRPr="005B5418" w14:paraId="1CFF20BD" w14:textId="77777777" w:rsidTr="005425ED">
        <w:trPr>
          <w:trHeight w:val="1475"/>
        </w:trPr>
        <w:tc>
          <w:tcPr>
            <w:tcW w:w="5404" w:type="dxa"/>
          </w:tcPr>
          <w:p w14:paraId="7CCD38E7" w14:textId="4AFFCE2B" w:rsidR="00BA0E27" w:rsidRPr="005B5418" w:rsidRDefault="00BA0E27" w:rsidP="005425ED">
            <w:pPr>
              <w:pStyle w:val="FAM-Table-outline"/>
              <w:spacing w:line="240" w:lineRule="auto"/>
              <w:rPr>
                <w:rFonts w:eastAsia="Arial Unicode MS" w:cs="Arial"/>
                <w:szCs w:val="22"/>
              </w:rPr>
            </w:pPr>
            <w:r w:rsidRPr="005B5418">
              <w:rPr>
                <w:rFonts w:eastAsia="Arial Unicode MS"/>
              </w:rPr>
              <w:t>If the contract between the buyer and seller of the stockpile materials is silent regarding passage of the title, is title assumed to pass upon delivery of the goods? (SFFAS 3, par</w:t>
            </w:r>
            <w:r w:rsidR="00F1085E" w:rsidRPr="005B5418">
              <w:rPr>
                <w:rFonts w:eastAsia="Arial Unicode MS"/>
              </w:rPr>
              <w:t>a</w:t>
            </w:r>
            <w:r w:rsidRPr="005B5418">
              <w:rPr>
                <w:rFonts w:eastAsia="Arial Unicode MS"/>
              </w:rPr>
              <w:t>. 52)</w:t>
            </w:r>
          </w:p>
        </w:tc>
        <w:tc>
          <w:tcPr>
            <w:tcW w:w="965" w:type="dxa"/>
          </w:tcPr>
          <w:p w14:paraId="680CEC14" w14:textId="77777777" w:rsidR="00BA0E27" w:rsidRPr="005B5418" w:rsidRDefault="00BA0E27" w:rsidP="00BA0E27">
            <w:pPr>
              <w:pStyle w:val="Table-Cell-CenterBoldBefore6ptAfter6pt"/>
              <w:rPr>
                <w:rFonts w:cs="Arial"/>
              </w:rPr>
            </w:pPr>
          </w:p>
        </w:tc>
        <w:tc>
          <w:tcPr>
            <w:tcW w:w="3212" w:type="dxa"/>
            <w:gridSpan w:val="2"/>
          </w:tcPr>
          <w:p w14:paraId="52C9A656" w14:textId="77777777" w:rsidR="00BA0E27" w:rsidRPr="005B5418" w:rsidRDefault="00BA0E27" w:rsidP="00BA0E27">
            <w:pPr>
              <w:pStyle w:val="Table-Cell-Left"/>
              <w:spacing w:line="240" w:lineRule="auto"/>
              <w:rPr>
                <w:rFonts w:cs="Arial"/>
              </w:rPr>
            </w:pPr>
          </w:p>
        </w:tc>
      </w:tr>
      <w:tr w:rsidR="00BA0E27" w:rsidRPr="005B5418" w14:paraId="4AB5067C" w14:textId="77777777" w:rsidTr="005425ED">
        <w:trPr>
          <w:trHeight w:hRule="exact" w:val="1324"/>
        </w:trPr>
        <w:tc>
          <w:tcPr>
            <w:tcW w:w="5404" w:type="dxa"/>
          </w:tcPr>
          <w:p w14:paraId="729DF867" w14:textId="11168B9B" w:rsidR="00555D6B" w:rsidRPr="005B5418" w:rsidRDefault="00BA0E27" w:rsidP="005425ED">
            <w:pPr>
              <w:pStyle w:val="FAM-Table-outline"/>
              <w:spacing w:line="240" w:lineRule="auto"/>
              <w:rPr>
                <w:rFonts w:eastAsia="Arial Unicode MS"/>
              </w:rPr>
            </w:pPr>
            <w:r w:rsidRPr="005B5418">
              <w:rPr>
                <w:rFonts w:eastAsia="Arial Unicode MS"/>
              </w:rPr>
              <w:t>Is the cost of stockpile materials removed from the corresponding asset account and reported as an operating expense when issued for use or sale? (SFFAS 3, par</w:t>
            </w:r>
            <w:r w:rsidR="00F1085E" w:rsidRPr="005B5418">
              <w:rPr>
                <w:rFonts w:eastAsia="Arial Unicode MS"/>
              </w:rPr>
              <w:t>a</w:t>
            </w:r>
            <w:r w:rsidRPr="005B5418">
              <w:rPr>
                <w:rFonts w:eastAsia="Arial Unicode MS"/>
              </w:rPr>
              <w:t>. 52)</w:t>
            </w:r>
          </w:p>
          <w:p w14:paraId="0B035B53" w14:textId="77777777" w:rsidR="00555D6B" w:rsidRPr="005B5418" w:rsidRDefault="00555D6B" w:rsidP="00555D6B">
            <w:pPr>
              <w:pStyle w:val="FAM-Table-outline"/>
              <w:numPr>
                <w:ilvl w:val="0"/>
                <w:numId w:val="0"/>
              </w:numPr>
              <w:spacing w:line="240" w:lineRule="auto"/>
              <w:ind w:left="609"/>
              <w:rPr>
                <w:rFonts w:eastAsia="Arial Unicode MS" w:cs="Arial"/>
                <w:szCs w:val="22"/>
              </w:rPr>
            </w:pPr>
          </w:p>
          <w:p w14:paraId="1C7DBF7F" w14:textId="77777777" w:rsidR="00555D6B" w:rsidRPr="005B5418" w:rsidRDefault="00555D6B" w:rsidP="00555D6B">
            <w:pPr>
              <w:pStyle w:val="FAM-Table-outline"/>
              <w:numPr>
                <w:ilvl w:val="0"/>
                <w:numId w:val="0"/>
              </w:numPr>
              <w:spacing w:line="240" w:lineRule="auto"/>
              <w:ind w:left="609"/>
              <w:rPr>
                <w:rFonts w:eastAsia="Arial Unicode MS" w:cs="Arial"/>
                <w:szCs w:val="22"/>
              </w:rPr>
            </w:pPr>
          </w:p>
          <w:p w14:paraId="213A2539" w14:textId="77777777" w:rsidR="00555D6B" w:rsidRPr="005B5418" w:rsidRDefault="00555D6B" w:rsidP="00555D6B">
            <w:pPr>
              <w:pStyle w:val="FAM-Table-outline"/>
              <w:numPr>
                <w:ilvl w:val="0"/>
                <w:numId w:val="0"/>
              </w:numPr>
              <w:spacing w:line="240" w:lineRule="auto"/>
              <w:ind w:left="609"/>
              <w:rPr>
                <w:rFonts w:eastAsia="Arial Unicode MS" w:cs="Arial"/>
                <w:szCs w:val="22"/>
              </w:rPr>
            </w:pPr>
          </w:p>
          <w:p w14:paraId="0297B0EE" w14:textId="4765A365" w:rsidR="00555D6B" w:rsidRPr="005B5418" w:rsidRDefault="00555D6B" w:rsidP="00555D6B">
            <w:pPr>
              <w:pStyle w:val="FAM-Table-outline"/>
              <w:numPr>
                <w:ilvl w:val="0"/>
                <w:numId w:val="0"/>
              </w:numPr>
              <w:spacing w:line="240" w:lineRule="auto"/>
              <w:ind w:left="609"/>
              <w:rPr>
                <w:rFonts w:eastAsia="Arial Unicode MS" w:cs="Arial"/>
                <w:szCs w:val="22"/>
              </w:rPr>
            </w:pPr>
          </w:p>
        </w:tc>
        <w:tc>
          <w:tcPr>
            <w:tcW w:w="965" w:type="dxa"/>
          </w:tcPr>
          <w:p w14:paraId="106B4BC4" w14:textId="77777777" w:rsidR="00BA0E27" w:rsidRPr="005B5418" w:rsidRDefault="00BA0E27" w:rsidP="00BA0E27">
            <w:pPr>
              <w:pStyle w:val="Table-Cell-CenterBoldBefore6ptAfter6pt"/>
              <w:rPr>
                <w:rFonts w:cs="Arial"/>
                <w:lang w:val="pt-BR"/>
              </w:rPr>
            </w:pPr>
          </w:p>
        </w:tc>
        <w:tc>
          <w:tcPr>
            <w:tcW w:w="3212" w:type="dxa"/>
            <w:gridSpan w:val="2"/>
          </w:tcPr>
          <w:p w14:paraId="7F46659C" w14:textId="77777777" w:rsidR="00BA0E27" w:rsidRPr="005B5418" w:rsidRDefault="00BA0E27" w:rsidP="00BA0E27">
            <w:pPr>
              <w:spacing w:line="240" w:lineRule="auto"/>
              <w:rPr>
                <w:rFonts w:cs="Arial"/>
                <w:lang w:val="pt-BR"/>
              </w:rPr>
            </w:pPr>
          </w:p>
        </w:tc>
      </w:tr>
      <w:tr w:rsidR="005C61FF" w:rsidRPr="005B5418" w14:paraId="10471EF9" w14:textId="77777777" w:rsidTr="005425ED">
        <w:trPr>
          <w:trHeight w:hRule="exact" w:val="461"/>
        </w:trPr>
        <w:tc>
          <w:tcPr>
            <w:tcW w:w="5404" w:type="dxa"/>
          </w:tcPr>
          <w:p w14:paraId="1DC6A3C8" w14:textId="77777777" w:rsidR="005C61FF" w:rsidRPr="005B5418" w:rsidRDefault="005C61FF" w:rsidP="001D28E7">
            <w:pPr>
              <w:pStyle w:val="FAM-Table-outline"/>
              <w:numPr>
                <w:ilvl w:val="0"/>
                <w:numId w:val="0"/>
              </w:numPr>
              <w:spacing w:line="240" w:lineRule="auto"/>
              <w:rPr>
                <w:rFonts w:eastAsia="Arial Unicode MS" w:cs="Arial"/>
                <w:i/>
                <w:szCs w:val="22"/>
              </w:rPr>
            </w:pPr>
            <w:r w:rsidRPr="005B5418">
              <w:rPr>
                <w:rFonts w:eastAsia="Arial Unicode MS" w:cs="Arial"/>
                <w:i/>
                <w:szCs w:val="22"/>
              </w:rPr>
              <w:t>Valuation</w:t>
            </w:r>
          </w:p>
          <w:p w14:paraId="6885F63D" w14:textId="77777777" w:rsidR="005C61FF" w:rsidRPr="005B5418" w:rsidRDefault="005C61FF" w:rsidP="00BA0E27">
            <w:pPr>
              <w:pStyle w:val="FAM-Table-outline"/>
              <w:numPr>
                <w:ilvl w:val="0"/>
                <w:numId w:val="0"/>
              </w:numPr>
              <w:spacing w:line="240" w:lineRule="auto"/>
              <w:ind w:left="360"/>
              <w:rPr>
                <w:rFonts w:eastAsia="Arial Unicode MS" w:cs="Arial"/>
                <w:szCs w:val="22"/>
                <w:u w:val="single"/>
              </w:rPr>
            </w:pPr>
          </w:p>
        </w:tc>
        <w:tc>
          <w:tcPr>
            <w:tcW w:w="965" w:type="dxa"/>
          </w:tcPr>
          <w:p w14:paraId="7644600B" w14:textId="77777777" w:rsidR="005C61FF" w:rsidRPr="005B5418" w:rsidRDefault="005C61FF" w:rsidP="00BA0E27">
            <w:pPr>
              <w:pStyle w:val="Table-Cell-CenterBoldBefore6ptAfter6pt"/>
              <w:rPr>
                <w:rFonts w:cs="Arial"/>
              </w:rPr>
            </w:pPr>
          </w:p>
        </w:tc>
        <w:tc>
          <w:tcPr>
            <w:tcW w:w="3212" w:type="dxa"/>
            <w:gridSpan w:val="2"/>
          </w:tcPr>
          <w:p w14:paraId="382576B0" w14:textId="77777777" w:rsidR="005C61FF" w:rsidRPr="005B5418" w:rsidRDefault="005C61FF" w:rsidP="00BA0E27">
            <w:pPr>
              <w:pStyle w:val="Table-Cell-Left"/>
              <w:spacing w:line="240" w:lineRule="auto"/>
              <w:rPr>
                <w:rFonts w:cs="Arial"/>
              </w:rPr>
            </w:pPr>
          </w:p>
        </w:tc>
      </w:tr>
      <w:tr w:rsidR="00BA0E27" w:rsidRPr="005B5418" w14:paraId="26D8AD0A" w14:textId="77777777" w:rsidTr="005425ED">
        <w:trPr>
          <w:trHeight w:val="2160"/>
        </w:trPr>
        <w:tc>
          <w:tcPr>
            <w:tcW w:w="5404" w:type="dxa"/>
          </w:tcPr>
          <w:p w14:paraId="137BF28D" w14:textId="253F2A09" w:rsidR="00BA0E27" w:rsidRPr="005B5418" w:rsidRDefault="00BA0E27" w:rsidP="005425ED">
            <w:pPr>
              <w:pStyle w:val="FAM-Table-outline"/>
              <w:spacing w:line="240" w:lineRule="auto"/>
              <w:rPr>
                <w:rFonts w:eastAsia="Arial Unicode MS"/>
              </w:rPr>
            </w:pPr>
            <w:r w:rsidRPr="005B5418">
              <w:rPr>
                <w:rFonts w:eastAsia="Arial Unicode MS"/>
              </w:rPr>
              <w:lastRenderedPageBreak/>
              <w:t>Are stockpile materials valued at</w:t>
            </w:r>
          </w:p>
          <w:p w14:paraId="1514D8A0" w14:textId="35F30201"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historical cost, or </w:t>
            </w:r>
          </w:p>
          <w:p w14:paraId="5BC73DF3" w14:textId="200BBA6C"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on a basis that reasonably approximates historical cost, and/or</w:t>
            </w:r>
          </w:p>
          <w:p w14:paraId="05A08C97" w14:textId="31E4B598"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for entities applying SFFAS 48, deemed cost for opening balances?</w:t>
            </w:r>
          </w:p>
          <w:p w14:paraId="7B3E3340" w14:textId="4CD38D1D" w:rsidR="00BA0E27" w:rsidRPr="005B5418" w:rsidRDefault="00BA0E27" w:rsidP="009D1DBB">
            <w:pPr>
              <w:pStyle w:val="FAM-Table-outline"/>
              <w:numPr>
                <w:ilvl w:val="0"/>
                <w:numId w:val="0"/>
              </w:numPr>
              <w:spacing w:line="240" w:lineRule="auto"/>
              <w:ind w:left="615" w:firstLine="15"/>
              <w:rPr>
                <w:rFonts w:eastAsia="Arial Unicode MS" w:cs="Arial"/>
                <w:szCs w:val="22"/>
              </w:rPr>
            </w:pPr>
            <w:r w:rsidRPr="005B5418">
              <w:rPr>
                <w:rFonts w:eastAsia="Arial Unicode MS" w:cs="Arial"/>
                <w:szCs w:val="22"/>
              </w:rPr>
              <w:t>[Cost shall include all appropriate purchase, transportation, and production costs incurred to bring the items to their current condition and location</w:t>
            </w:r>
            <w:r w:rsidR="0039416D" w:rsidRPr="005B5418">
              <w:rPr>
                <w:rFonts w:eastAsia="Arial Unicode MS" w:cs="Arial"/>
                <w:szCs w:val="22"/>
              </w:rPr>
              <w:t>.</w:t>
            </w:r>
            <w:r w:rsidRPr="005B5418">
              <w:rPr>
                <w:rFonts w:eastAsia="Arial Unicode MS" w:cs="Arial"/>
                <w:szCs w:val="22"/>
              </w:rPr>
              <w:t>] (SFFAS 3, par</w:t>
            </w:r>
            <w:r w:rsidR="0039416D" w:rsidRPr="005B5418">
              <w:rPr>
                <w:rFonts w:eastAsia="Arial Unicode MS" w:cs="Arial"/>
                <w:szCs w:val="22"/>
              </w:rPr>
              <w:t>a</w:t>
            </w:r>
            <w:r w:rsidRPr="005B5418">
              <w:rPr>
                <w:rFonts w:eastAsia="Arial Unicode MS" w:cs="Arial"/>
                <w:szCs w:val="22"/>
              </w:rPr>
              <w:t>. 53)</w:t>
            </w:r>
          </w:p>
        </w:tc>
        <w:tc>
          <w:tcPr>
            <w:tcW w:w="965" w:type="dxa"/>
          </w:tcPr>
          <w:p w14:paraId="1C411982" w14:textId="77777777" w:rsidR="00BA0E27" w:rsidRPr="005B5418" w:rsidRDefault="00BA0E27" w:rsidP="00BA0E27">
            <w:pPr>
              <w:pStyle w:val="Table-Cell-CenterBoldBefore6ptAfter6pt"/>
              <w:rPr>
                <w:rFonts w:cs="Arial"/>
              </w:rPr>
            </w:pPr>
          </w:p>
        </w:tc>
        <w:tc>
          <w:tcPr>
            <w:tcW w:w="3212" w:type="dxa"/>
            <w:gridSpan w:val="2"/>
          </w:tcPr>
          <w:p w14:paraId="087C626D" w14:textId="77777777" w:rsidR="00BA0E27" w:rsidRPr="005B5418" w:rsidRDefault="00BA0E27" w:rsidP="00BA0E27">
            <w:pPr>
              <w:pStyle w:val="Table-Cell-Left"/>
              <w:spacing w:line="240" w:lineRule="auto"/>
              <w:rPr>
                <w:rFonts w:cs="Arial"/>
              </w:rPr>
            </w:pPr>
          </w:p>
        </w:tc>
      </w:tr>
      <w:tr w:rsidR="00BA0E27" w:rsidRPr="005B5418" w14:paraId="263DFA4A" w14:textId="77777777" w:rsidTr="005425ED">
        <w:trPr>
          <w:trHeight w:val="1007"/>
        </w:trPr>
        <w:tc>
          <w:tcPr>
            <w:tcW w:w="5404" w:type="dxa"/>
          </w:tcPr>
          <w:p w14:paraId="6173305F" w14:textId="32A30F7C" w:rsidR="00BA0E27" w:rsidRPr="005B5418" w:rsidRDefault="00BA0E27" w:rsidP="005425ED">
            <w:pPr>
              <w:pStyle w:val="FAM-Table-outline"/>
              <w:spacing w:line="240" w:lineRule="auto"/>
              <w:rPr>
                <w:rFonts w:eastAsia="Arial Unicode MS" w:cs="Arial"/>
                <w:szCs w:val="22"/>
              </w:rPr>
            </w:pPr>
            <w:r w:rsidRPr="005B5418">
              <w:rPr>
                <w:rFonts w:eastAsia="Arial Unicode MS"/>
              </w:rPr>
              <w:t>Are abnormal costs, such as excessive handling or rework costs</w:t>
            </w:r>
            <w:r w:rsidR="0039416D" w:rsidRPr="005B5418">
              <w:rPr>
                <w:rFonts w:eastAsia="Arial Unicode MS"/>
              </w:rPr>
              <w:t>,</w:t>
            </w:r>
            <w:r w:rsidRPr="005B5418">
              <w:rPr>
                <w:rFonts w:eastAsia="Arial Unicode MS"/>
              </w:rPr>
              <w:t xml:space="preserve"> charged to operations of the period? (SFFAS 3, par</w:t>
            </w:r>
            <w:r w:rsidR="0039416D" w:rsidRPr="005B5418">
              <w:rPr>
                <w:rFonts w:eastAsia="Arial Unicode MS"/>
              </w:rPr>
              <w:t>a</w:t>
            </w:r>
            <w:r w:rsidRPr="005B5418">
              <w:rPr>
                <w:rFonts w:eastAsia="Arial Unicode MS"/>
              </w:rPr>
              <w:t>. 53)</w:t>
            </w:r>
          </w:p>
        </w:tc>
        <w:tc>
          <w:tcPr>
            <w:tcW w:w="965" w:type="dxa"/>
          </w:tcPr>
          <w:p w14:paraId="1B13A141" w14:textId="77777777" w:rsidR="00BA0E27" w:rsidRPr="005B5418" w:rsidRDefault="00BA0E27" w:rsidP="00BA0E27">
            <w:pPr>
              <w:pStyle w:val="Table-Cell-CenterBoldBefore6ptAfter6pt"/>
              <w:rPr>
                <w:rFonts w:cs="Arial"/>
              </w:rPr>
            </w:pPr>
          </w:p>
        </w:tc>
        <w:tc>
          <w:tcPr>
            <w:tcW w:w="3212" w:type="dxa"/>
            <w:gridSpan w:val="2"/>
          </w:tcPr>
          <w:p w14:paraId="5B1DEDF0" w14:textId="77777777" w:rsidR="00BA0E27" w:rsidRPr="005B5418" w:rsidRDefault="00BA0E27" w:rsidP="00BA0E27">
            <w:pPr>
              <w:pStyle w:val="Table-Cell-Left"/>
              <w:spacing w:line="240" w:lineRule="auto"/>
              <w:rPr>
                <w:rFonts w:cs="Arial"/>
              </w:rPr>
            </w:pPr>
          </w:p>
        </w:tc>
      </w:tr>
      <w:tr w:rsidR="00BA0E27" w:rsidRPr="005B5418" w14:paraId="5B061D71" w14:textId="77777777" w:rsidTr="005425ED">
        <w:trPr>
          <w:trHeight w:val="2160"/>
        </w:trPr>
        <w:tc>
          <w:tcPr>
            <w:tcW w:w="5404" w:type="dxa"/>
          </w:tcPr>
          <w:p w14:paraId="32B7A427" w14:textId="5BB08825" w:rsidR="00BA0E27" w:rsidRPr="005B5418" w:rsidRDefault="00BA0E27" w:rsidP="005425ED">
            <w:pPr>
              <w:pStyle w:val="FAM-Table-outline"/>
              <w:spacing w:line="240" w:lineRule="auto"/>
              <w:rPr>
                <w:rFonts w:eastAsia="Arial Unicode MS"/>
              </w:rPr>
            </w:pPr>
            <w:r w:rsidRPr="005B5418">
              <w:rPr>
                <w:rFonts w:eastAsia="Arial Unicode MS"/>
              </w:rPr>
              <w:t>Is one of the following historical cost flow assumptions used to value stockpile materials under the consumption method</w:t>
            </w:r>
            <w:r w:rsidR="0039416D" w:rsidRPr="005B5418">
              <w:rPr>
                <w:rFonts w:eastAsia="Arial Unicode MS"/>
              </w:rPr>
              <w:t>:</w:t>
            </w:r>
          </w:p>
          <w:p w14:paraId="4A2139A5"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FIFO, </w:t>
            </w:r>
          </w:p>
          <w:p w14:paraId="77AD41BC" w14:textId="106E3AD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weighted average, </w:t>
            </w:r>
            <w:r w:rsidR="00AC00AF" w:rsidRPr="005B5418">
              <w:rPr>
                <w:rFonts w:eastAsia="Arial Unicode MS" w:cs="Arial"/>
                <w:szCs w:val="22"/>
              </w:rPr>
              <w:t>or</w:t>
            </w:r>
          </w:p>
          <w:p w14:paraId="4CBFBE7C" w14:textId="6B4DFE18"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moving average? (SFFAS 3, par</w:t>
            </w:r>
            <w:r w:rsidR="0039416D" w:rsidRPr="005B5418">
              <w:rPr>
                <w:rFonts w:eastAsia="Arial Unicode MS" w:cs="Arial"/>
                <w:szCs w:val="22"/>
              </w:rPr>
              <w:t>a</w:t>
            </w:r>
            <w:r w:rsidRPr="005B5418">
              <w:rPr>
                <w:rFonts w:eastAsia="Arial Unicode MS" w:cs="Arial"/>
                <w:szCs w:val="22"/>
              </w:rPr>
              <w:t>. 53)</w:t>
            </w:r>
          </w:p>
        </w:tc>
        <w:tc>
          <w:tcPr>
            <w:tcW w:w="965" w:type="dxa"/>
          </w:tcPr>
          <w:p w14:paraId="72FB782E" w14:textId="77777777" w:rsidR="00BA0E27" w:rsidRPr="005B5418" w:rsidRDefault="00BA0E27" w:rsidP="00BA0E27">
            <w:pPr>
              <w:pStyle w:val="Table-Cell-CenterBoldBefore6ptAfter6pt"/>
              <w:rPr>
                <w:rFonts w:cs="Arial"/>
              </w:rPr>
            </w:pPr>
          </w:p>
        </w:tc>
        <w:tc>
          <w:tcPr>
            <w:tcW w:w="3212" w:type="dxa"/>
            <w:gridSpan w:val="2"/>
          </w:tcPr>
          <w:p w14:paraId="343E7473" w14:textId="77777777" w:rsidR="00BA0E27" w:rsidRPr="005B5418" w:rsidRDefault="00BA0E27" w:rsidP="00BA0E27">
            <w:pPr>
              <w:pStyle w:val="Table-Cell-Left"/>
              <w:spacing w:line="240" w:lineRule="auto"/>
              <w:rPr>
                <w:rFonts w:cs="Arial"/>
              </w:rPr>
            </w:pPr>
          </w:p>
        </w:tc>
      </w:tr>
      <w:tr w:rsidR="002E0079" w:rsidRPr="005B5418" w14:paraId="081B97F4" w14:textId="77777777" w:rsidTr="005425ED">
        <w:trPr>
          <w:trHeight w:hRule="exact" w:val="461"/>
        </w:trPr>
        <w:tc>
          <w:tcPr>
            <w:tcW w:w="5404" w:type="dxa"/>
          </w:tcPr>
          <w:p w14:paraId="14A464B3" w14:textId="77777777" w:rsidR="002E0079" w:rsidRPr="005B5418" w:rsidRDefault="002E0079" w:rsidP="005E0822">
            <w:pPr>
              <w:pStyle w:val="FAM-Table-outline"/>
              <w:numPr>
                <w:ilvl w:val="0"/>
                <w:numId w:val="0"/>
              </w:numPr>
              <w:spacing w:line="240" w:lineRule="auto"/>
              <w:ind w:left="236" w:hanging="236"/>
              <w:rPr>
                <w:rFonts w:eastAsia="Arial Unicode MS" w:cs="Arial"/>
                <w:i/>
                <w:szCs w:val="22"/>
              </w:rPr>
            </w:pPr>
            <w:r w:rsidRPr="005B5418">
              <w:rPr>
                <w:rFonts w:eastAsia="Arial Unicode MS" w:cs="Arial"/>
                <w:i/>
                <w:szCs w:val="22"/>
              </w:rPr>
              <w:t>Valuation Method for Opening Balances</w:t>
            </w:r>
          </w:p>
        </w:tc>
        <w:tc>
          <w:tcPr>
            <w:tcW w:w="965" w:type="dxa"/>
          </w:tcPr>
          <w:p w14:paraId="01B7E90B" w14:textId="77777777" w:rsidR="002E0079" w:rsidRPr="005B5418" w:rsidRDefault="002E0079" w:rsidP="00BA0E27">
            <w:pPr>
              <w:pStyle w:val="Table-Cell-CenterBoldBefore6ptAfter6pt"/>
              <w:rPr>
                <w:rFonts w:cs="Arial"/>
              </w:rPr>
            </w:pPr>
          </w:p>
        </w:tc>
        <w:tc>
          <w:tcPr>
            <w:tcW w:w="3212" w:type="dxa"/>
            <w:gridSpan w:val="2"/>
          </w:tcPr>
          <w:p w14:paraId="0773FF73" w14:textId="77777777" w:rsidR="002E0079" w:rsidRPr="005B5418" w:rsidRDefault="002E0079" w:rsidP="00BA0E27">
            <w:pPr>
              <w:pStyle w:val="Table-Cell-Left"/>
              <w:spacing w:line="240" w:lineRule="auto"/>
              <w:rPr>
                <w:rFonts w:cs="Arial"/>
              </w:rPr>
            </w:pPr>
          </w:p>
        </w:tc>
      </w:tr>
      <w:tr w:rsidR="00BA0E27" w:rsidRPr="005B5418" w14:paraId="312FD6E6" w14:textId="77777777" w:rsidTr="005425ED">
        <w:trPr>
          <w:trHeight w:val="431"/>
        </w:trPr>
        <w:tc>
          <w:tcPr>
            <w:tcW w:w="5404" w:type="dxa"/>
          </w:tcPr>
          <w:p w14:paraId="045C52DE" w14:textId="1C375C7C" w:rsidR="00BA0E27" w:rsidRPr="005B5418" w:rsidRDefault="00BA0E27" w:rsidP="005425ED">
            <w:pPr>
              <w:pStyle w:val="FAM-Table-outline"/>
              <w:spacing w:line="240" w:lineRule="auto"/>
              <w:rPr>
                <w:rFonts w:eastAsia="Arial Unicode MS" w:cs="Arial"/>
                <w:szCs w:val="22"/>
              </w:rPr>
            </w:pPr>
            <w:r w:rsidRPr="005B5418">
              <w:rPr>
                <w:rFonts w:eastAsia="Arial Unicode MS"/>
              </w:rPr>
              <w:t xml:space="preserve">If the entity is applying </w:t>
            </w:r>
            <w:r w:rsidR="00D82B90" w:rsidRPr="005B5418">
              <w:rPr>
                <w:rFonts w:eastAsia="Arial Unicode MS"/>
              </w:rPr>
              <w:t xml:space="preserve">the </w:t>
            </w:r>
            <w:r w:rsidR="00E868CE" w:rsidRPr="005B5418">
              <w:rPr>
                <w:rFonts w:eastAsia="Arial Unicode MS"/>
              </w:rPr>
              <w:t>a</w:t>
            </w:r>
            <w:r w:rsidR="00D82B90" w:rsidRPr="005B5418">
              <w:rPr>
                <w:rFonts w:eastAsia="Arial Unicode MS"/>
              </w:rPr>
              <w:t xml:space="preserve">lternative </w:t>
            </w:r>
            <w:r w:rsidR="00E868CE" w:rsidRPr="005B5418">
              <w:rPr>
                <w:rFonts w:eastAsia="Arial Unicode MS"/>
              </w:rPr>
              <w:t>v</w:t>
            </w:r>
            <w:r w:rsidR="00D82B90" w:rsidRPr="005B5418">
              <w:rPr>
                <w:rFonts w:eastAsia="Arial Unicode MS"/>
              </w:rPr>
              <w:t xml:space="preserve">aluation </w:t>
            </w:r>
            <w:r w:rsidR="00E868CE" w:rsidRPr="005B5418">
              <w:rPr>
                <w:rFonts w:eastAsia="Arial Unicode MS"/>
              </w:rPr>
              <w:t>m</w:t>
            </w:r>
            <w:r w:rsidR="00D82B90" w:rsidRPr="005B5418">
              <w:rPr>
                <w:rFonts w:eastAsia="Arial Unicode MS"/>
              </w:rPr>
              <w:t>ethod</w:t>
            </w:r>
            <w:r w:rsidRPr="005B5418">
              <w:rPr>
                <w:rFonts w:eastAsia="Arial Unicode MS"/>
              </w:rPr>
              <w:t>, does the entity apply deemed cost only in establishing opening balances for stockpile materials in the reporting period that the entity, taken as a whole, makes an unreserved assertion that its financial statements, or the stockpile materials line item, are presented fairly in accordance with GAAP? (SFFAS 3, par</w:t>
            </w:r>
            <w:r w:rsidR="0089189B" w:rsidRPr="005B5418">
              <w:rPr>
                <w:rFonts w:eastAsia="Arial Unicode MS"/>
              </w:rPr>
              <w:t>a</w:t>
            </w:r>
            <w:r w:rsidRPr="005B5418">
              <w:rPr>
                <w:rFonts w:eastAsia="Arial Unicode MS"/>
              </w:rPr>
              <w:t>. 26a(i))</w:t>
            </w:r>
          </w:p>
        </w:tc>
        <w:tc>
          <w:tcPr>
            <w:tcW w:w="965" w:type="dxa"/>
          </w:tcPr>
          <w:p w14:paraId="64E3AFB1" w14:textId="77777777" w:rsidR="00BA0E27" w:rsidRPr="005B5418" w:rsidRDefault="00BA0E27" w:rsidP="00BA0E27">
            <w:pPr>
              <w:pStyle w:val="Table-Cell-CenterBoldBefore6ptAfter6pt"/>
              <w:rPr>
                <w:rFonts w:cs="Arial"/>
              </w:rPr>
            </w:pPr>
          </w:p>
        </w:tc>
        <w:tc>
          <w:tcPr>
            <w:tcW w:w="3212" w:type="dxa"/>
            <w:gridSpan w:val="2"/>
          </w:tcPr>
          <w:p w14:paraId="0DD7F71D" w14:textId="77777777" w:rsidR="00BA0E27" w:rsidRPr="005B5418" w:rsidRDefault="00BA0E27" w:rsidP="00BA0E27">
            <w:pPr>
              <w:pStyle w:val="Table-Cell-Left"/>
              <w:spacing w:line="240" w:lineRule="auto"/>
              <w:rPr>
                <w:rFonts w:cs="Arial"/>
              </w:rPr>
            </w:pPr>
          </w:p>
        </w:tc>
      </w:tr>
      <w:tr w:rsidR="00BA0E27" w:rsidRPr="005B5418" w14:paraId="7DF599C5" w14:textId="77777777" w:rsidTr="005425ED">
        <w:trPr>
          <w:trHeight w:val="2160"/>
        </w:trPr>
        <w:tc>
          <w:tcPr>
            <w:tcW w:w="5404" w:type="dxa"/>
          </w:tcPr>
          <w:p w14:paraId="29462A46" w14:textId="7C3AE360" w:rsidR="00BA0E27" w:rsidRPr="005B5418" w:rsidRDefault="00BA0E27" w:rsidP="005425ED">
            <w:pPr>
              <w:pStyle w:val="FAM-Table-outline"/>
              <w:spacing w:line="240" w:lineRule="auto"/>
              <w:rPr>
                <w:rFonts w:eastAsia="Arial Unicode MS" w:cs="Arial"/>
                <w:szCs w:val="22"/>
              </w:rPr>
            </w:pPr>
            <w:r w:rsidRPr="005B5418">
              <w:rPr>
                <w:rFonts w:eastAsia="Arial Unicode MS"/>
              </w:rPr>
              <w:t xml:space="preserve">If the entity is applying </w:t>
            </w:r>
            <w:r w:rsidR="00D82B90" w:rsidRPr="005B5418">
              <w:rPr>
                <w:rFonts w:eastAsia="Arial Unicode MS"/>
              </w:rPr>
              <w:t xml:space="preserve">the </w:t>
            </w:r>
            <w:r w:rsidR="00E868CE" w:rsidRPr="005B5418">
              <w:rPr>
                <w:rFonts w:eastAsia="Arial Unicode MS"/>
              </w:rPr>
              <w:t>a</w:t>
            </w:r>
            <w:r w:rsidR="00D82B90" w:rsidRPr="005B5418">
              <w:rPr>
                <w:rFonts w:eastAsia="Arial Unicode MS"/>
              </w:rPr>
              <w:t xml:space="preserve">lternative </w:t>
            </w:r>
            <w:r w:rsidR="00E868CE" w:rsidRPr="005B5418">
              <w:rPr>
                <w:rFonts w:eastAsia="Arial Unicode MS"/>
              </w:rPr>
              <w:t>v</w:t>
            </w:r>
            <w:r w:rsidR="00D82B90" w:rsidRPr="005B5418">
              <w:rPr>
                <w:rFonts w:eastAsia="Arial Unicode MS"/>
              </w:rPr>
              <w:t xml:space="preserve">aluation </w:t>
            </w:r>
            <w:r w:rsidR="00E868CE" w:rsidRPr="005B5418">
              <w:rPr>
                <w:rFonts w:eastAsia="Arial Unicode MS"/>
              </w:rPr>
              <w:t>m</w:t>
            </w:r>
            <w:r w:rsidR="00D82B90" w:rsidRPr="005B5418">
              <w:rPr>
                <w:rFonts w:eastAsia="Arial Unicode MS"/>
              </w:rPr>
              <w:t>ethod</w:t>
            </w:r>
            <w:r w:rsidRPr="005B5418">
              <w:rPr>
                <w:rFonts w:eastAsia="Arial Unicode MS"/>
              </w:rPr>
              <w:t>, does the entity apply deemed cost only once after a reporting period during which existing systems could not provide the information necessary for producing GAAP-based financial statements without the use of the alternative valuation method? (SFFAS 3, par</w:t>
            </w:r>
            <w:r w:rsidR="0089189B" w:rsidRPr="005B5418">
              <w:rPr>
                <w:rFonts w:eastAsia="Arial Unicode MS"/>
              </w:rPr>
              <w:t>a</w:t>
            </w:r>
            <w:r w:rsidRPr="005B5418">
              <w:rPr>
                <w:rFonts w:eastAsia="Arial Unicode MS"/>
              </w:rPr>
              <w:t>. 26a(ii))</w:t>
            </w:r>
          </w:p>
        </w:tc>
        <w:tc>
          <w:tcPr>
            <w:tcW w:w="965" w:type="dxa"/>
          </w:tcPr>
          <w:p w14:paraId="03D08438" w14:textId="77777777" w:rsidR="00BA0E27" w:rsidRPr="005B5418" w:rsidRDefault="00BA0E27" w:rsidP="00BA0E27">
            <w:pPr>
              <w:pStyle w:val="Table-Cell-CenterBoldBefore6ptAfter6pt"/>
              <w:rPr>
                <w:rFonts w:cs="Arial"/>
              </w:rPr>
            </w:pPr>
          </w:p>
        </w:tc>
        <w:tc>
          <w:tcPr>
            <w:tcW w:w="3212" w:type="dxa"/>
            <w:gridSpan w:val="2"/>
          </w:tcPr>
          <w:p w14:paraId="716D0213" w14:textId="77777777" w:rsidR="00BA0E27" w:rsidRPr="005B5418" w:rsidRDefault="00BA0E27" w:rsidP="00BA0E27">
            <w:pPr>
              <w:pStyle w:val="Table-Cell-Left"/>
              <w:spacing w:line="240" w:lineRule="auto"/>
              <w:rPr>
                <w:rFonts w:cs="Arial"/>
              </w:rPr>
            </w:pPr>
          </w:p>
        </w:tc>
      </w:tr>
      <w:tr w:rsidR="00BA0E27" w:rsidRPr="005B5418" w14:paraId="6A41F417" w14:textId="77777777" w:rsidTr="005425ED">
        <w:trPr>
          <w:trHeight w:val="2160"/>
        </w:trPr>
        <w:tc>
          <w:tcPr>
            <w:tcW w:w="5404" w:type="dxa"/>
          </w:tcPr>
          <w:p w14:paraId="521918F8" w14:textId="19C03C1D" w:rsidR="00BA0E27" w:rsidRPr="005B5418" w:rsidRDefault="00BA0E27" w:rsidP="005425ED">
            <w:pPr>
              <w:pStyle w:val="FAM-Table-outline"/>
              <w:spacing w:line="240" w:lineRule="auto"/>
              <w:rPr>
                <w:rFonts w:eastAsia="Arial Unicode MS"/>
              </w:rPr>
            </w:pPr>
            <w:r w:rsidRPr="005B5418">
              <w:rPr>
                <w:rFonts w:eastAsia="Arial Unicode MS"/>
              </w:rPr>
              <w:lastRenderedPageBreak/>
              <w:t>Is deemed cost based on one, or a combination, of the following valuation methods when the entity has multiple component entities using various valuation methods simultaneously</w:t>
            </w:r>
            <w:r w:rsidR="0089189B" w:rsidRPr="005B5418">
              <w:rPr>
                <w:rFonts w:eastAsia="Arial Unicode MS"/>
              </w:rPr>
              <w:t>:</w:t>
            </w:r>
          </w:p>
          <w:p w14:paraId="27DFCC6B"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standard price (selling price) or fair value,</w:t>
            </w:r>
          </w:p>
          <w:p w14:paraId="4FB1F50B"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latest acquisition cost,</w:t>
            </w:r>
          </w:p>
          <w:p w14:paraId="79128E78"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replacement cost,</w:t>
            </w:r>
          </w:p>
          <w:p w14:paraId="57F08BE0"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estimated historical cost (initial amount), and</w:t>
            </w:r>
          </w:p>
          <w:p w14:paraId="4232FB00" w14:textId="35C66113"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actual historical cost (initial amount)? (SFFAS 3, par</w:t>
            </w:r>
            <w:r w:rsidR="0089189B" w:rsidRPr="005B5418">
              <w:rPr>
                <w:rFonts w:eastAsia="Arial Unicode MS" w:cs="Arial"/>
                <w:szCs w:val="22"/>
              </w:rPr>
              <w:t>a</w:t>
            </w:r>
            <w:r w:rsidRPr="005B5418">
              <w:rPr>
                <w:rFonts w:eastAsia="Arial Unicode MS" w:cs="Arial"/>
                <w:szCs w:val="22"/>
              </w:rPr>
              <w:t>. 26a(iv))</w:t>
            </w:r>
          </w:p>
        </w:tc>
        <w:tc>
          <w:tcPr>
            <w:tcW w:w="965" w:type="dxa"/>
          </w:tcPr>
          <w:p w14:paraId="38D3F4AF" w14:textId="77777777" w:rsidR="00BA0E27" w:rsidRPr="005B5418" w:rsidRDefault="00BA0E27" w:rsidP="00BA0E27">
            <w:pPr>
              <w:pStyle w:val="Table-Cell-CenterBoldBefore6ptAfter6pt"/>
              <w:rPr>
                <w:rFonts w:cs="Arial"/>
              </w:rPr>
            </w:pPr>
          </w:p>
        </w:tc>
        <w:tc>
          <w:tcPr>
            <w:tcW w:w="3212" w:type="dxa"/>
            <w:gridSpan w:val="2"/>
          </w:tcPr>
          <w:p w14:paraId="365EB491" w14:textId="77777777" w:rsidR="00BA0E27" w:rsidRPr="005B5418" w:rsidRDefault="00BA0E27" w:rsidP="00BA0E27">
            <w:pPr>
              <w:pStyle w:val="Table-Cell-Left"/>
              <w:spacing w:line="240" w:lineRule="auto"/>
              <w:rPr>
                <w:rFonts w:cs="Arial"/>
              </w:rPr>
            </w:pPr>
          </w:p>
        </w:tc>
      </w:tr>
      <w:tr w:rsidR="002E0079" w:rsidRPr="005B5418" w14:paraId="16A16B70" w14:textId="77777777" w:rsidTr="005425ED">
        <w:trPr>
          <w:trHeight w:hRule="exact" w:val="461"/>
        </w:trPr>
        <w:tc>
          <w:tcPr>
            <w:tcW w:w="5404" w:type="dxa"/>
          </w:tcPr>
          <w:p w14:paraId="7F3E1940" w14:textId="77777777" w:rsidR="002E0079" w:rsidRPr="005B5418" w:rsidRDefault="002E0079" w:rsidP="005E0822">
            <w:pPr>
              <w:pStyle w:val="FAM-Table-outline"/>
              <w:numPr>
                <w:ilvl w:val="0"/>
                <w:numId w:val="0"/>
              </w:numPr>
              <w:spacing w:line="240" w:lineRule="auto"/>
              <w:ind w:left="236" w:hanging="236"/>
              <w:rPr>
                <w:rFonts w:eastAsia="Arial Unicode MS" w:cs="Arial"/>
                <w:i/>
                <w:szCs w:val="22"/>
              </w:rPr>
            </w:pPr>
            <w:r w:rsidRPr="005B5418">
              <w:rPr>
                <w:rFonts w:eastAsia="Arial Unicode MS" w:cs="Arial"/>
                <w:i/>
                <w:szCs w:val="22"/>
              </w:rPr>
              <w:t>Exceptions to Valuation Method</w:t>
            </w:r>
          </w:p>
        </w:tc>
        <w:tc>
          <w:tcPr>
            <w:tcW w:w="965" w:type="dxa"/>
          </w:tcPr>
          <w:p w14:paraId="0C5BB8F8" w14:textId="77777777" w:rsidR="002E0079" w:rsidRPr="005B5418" w:rsidRDefault="002E0079" w:rsidP="00BA0E27">
            <w:pPr>
              <w:pStyle w:val="Table-Cell-CenterBoldBefore6ptAfter6pt"/>
              <w:rPr>
                <w:rFonts w:cs="Arial"/>
              </w:rPr>
            </w:pPr>
          </w:p>
        </w:tc>
        <w:tc>
          <w:tcPr>
            <w:tcW w:w="3212" w:type="dxa"/>
            <w:gridSpan w:val="2"/>
          </w:tcPr>
          <w:p w14:paraId="35D3BA5E" w14:textId="77777777" w:rsidR="002E0079" w:rsidRPr="005B5418" w:rsidRDefault="002E0079" w:rsidP="00BA0E27">
            <w:pPr>
              <w:pStyle w:val="Table-Cell-Left"/>
              <w:spacing w:line="240" w:lineRule="auto"/>
              <w:rPr>
                <w:rFonts w:cs="Arial"/>
              </w:rPr>
            </w:pPr>
          </w:p>
        </w:tc>
      </w:tr>
      <w:tr w:rsidR="00BA0E27" w:rsidRPr="005B5418" w14:paraId="1E05CB65" w14:textId="77777777" w:rsidTr="005425ED">
        <w:trPr>
          <w:trHeight w:val="2160"/>
        </w:trPr>
        <w:tc>
          <w:tcPr>
            <w:tcW w:w="5404" w:type="dxa"/>
          </w:tcPr>
          <w:p w14:paraId="1B93E46E" w14:textId="3C6099AC" w:rsidR="00BA0E27" w:rsidRPr="005B5418" w:rsidRDefault="00BA0E27" w:rsidP="005425ED">
            <w:pPr>
              <w:pStyle w:val="FAM-Table-outline"/>
              <w:spacing w:line="240" w:lineRule="auto"/>
              <w:rPr>
                <w:rFonts w:eastAsia="Arial Unicode MS"/>
              </w:rPr>
            </w:pPr>
            <w:r w:rsidRPr="005B5418">
              <w:rPr>
                <w:rFonts w:eastAsia="Arial Unicode MS"/>
              </w:rPr>
              <w:t xml:space="preserve">If the entity values agricultural, mineral, and other products (e.g., petroleum) using net realizable value, do the stockpile materials have all of the following criteria </w:t>
            </w:r>
          </w:p>
          <w:p w14:paraId="13AF2083" w14:textId="63E3EB50"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units of which are interchangeable, </w:t>
            </w:r>
          </w:p>
          <w:p w14:paraId="407EFF2E" w14:textId="5EDBA576"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units of which have immediate marketability, and</w:t>
            </w:r>
          </w:p>
          <w:p w14:paraId="63106D63" w14:textId="37F953C0"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units for which appropriate costs may be difficult to obtain? (SFFAS 3, par</w:t>
            </w:r>
            <w:r w:rsidR="004B65BF" w:rsidRPr="005B5418">
              <w:rPr>
                <w:rFonts w:eastAsia="Arial Unicode MS" w:cs="Arial"/>
                <w:szCs w:val="22"/>
              </w:rPr>
              <w:t>a</w:t>
            </w:r>
            <w:r w:rsidRPr="005B5418">
              <w:rPr>
                <w:rFonts w:eastAsia="Arial Unicode MS" w:cs="Arial"/>
                <w:szCs w:val="22"/>
              </w:rPr>
              <w:t>. 26b)</w:t>
            </w:r>
          </w:p>
        </w:tc>
        <w:tc>
          <w:tcPr>
            <w:tcW w:w="965" w:type="dxa"/>
          </w:tcPr>
          <w:p w14:paraId="08415B77" w14:textId="77777777" w:rsidR="00BA0E27" w:rsidRPr="005B5418" w:rsidRDefault="00BA0E27" w:rsidP="00BA0E27">
            <w:pPr>
              <w:pStyle w:val="Table-Cell-CenterBoldBefore6ptAfter6pt"/>
              <w:rPr>
                <w:rFonts w:cs="Arial"/>
              </w:rPr>
            </w:pPr>
          </w:p>
        </w:tc>
        <w:tc>
          <w:tcPr>
            <w:tcW w:w="3212" w:type="dxa"/>
            <w:gridSpan w:val="2"/>
          </w:tcPr>
          <w:p w14:paraId="4E5E984E" w14:textId="77777777" w:rsidR="00BA0E27" w:rsidRPr="005B5418" w:rsidRDefault="00BA0E27" w:rsidP="00BA0E27">
            <w:pPr>
              <w:pStyle w:val="Table-Cell-Left"/>
              <w:spacing w:line="240" w:lineRule="auto"/>
              <w:rPr>
                <w:rFonts w:cs="Arial"/>
              </w:rPr>
            </w:pPr>
          </w:p>
        </w:tc>
      </w:tr>
      <w:tr w:rsidR="002E0079" w:rsidRPr="005B5418" w14:paraId="378F6AD3" w14:textId="77777777" w:rsidTr="005425ED">
        <w:trPr>
          <w:trHeight w:hRule="exact" w:val="461"/>
        </w:trPr>
        <w:tc>
          <w:tcPr>
            <w:tcW w:w="5404" w:type="dxa"/>
          </w:tcPr>
          <w:p w14:paraId="5F589A1C" w14:textId="77777777" w:rsidR="002E0079" w:rsidRPr="005B5418" w:rsidRDefault="002E0079" w:rsidP="005E0822">
            <w:pPr>
              <w:pStyle w:val="FAM-Table-outline"/>
              <w:numPr>
                <w:ilvl w:val="0"/>
                <w:numId w:val="0"/>
              </w:numPr>
              <w:spacing w:line="240" w:lineRule="auto"/>
              <w:ind w:left="146" w:hanging="146"/>
              <w:rPr>
                <w:rFonts w:eastAsia="Arial Unicode MS" w:cs="Arial"/>
                <w:i/>
                <w:szCs w:val="22"/>
              </w:rPr>
            </w:pPr>
            <w:r w:rsidRPr="005B5418">
              <w:rPr>
                <w:rFonts w:eastAsia="Arial Unicode MS" w:cs="Arial"/>
                <w:i/>
                <w:szCs w:val="22"/>
              </w:rPr>
              <w:t>Exception to Valuation</w:t>
            </w:r>
          </w:p>
        </w:tc>
        <w:tc>
          <w:tcPr>
            <w:tcW w:w="965" w:type="dxa"/>
          </w:tcPr>
          <w:p w14:paraId="651D1BC1" w14:textId="77777777" w:rsidR="002E0079" w:rsidRPr="005B5418" w:rsidRDefault="002E0079" w:rsidP="00BA0E27">
            <w:pPr>
              <w:pStyle w:val="Table-Cell-CenterBoldBefore6ptAfter6pt"/>
              <w:rPr>
                <w:rFonts w:cs="Arial"/>
              </w:rPr>
            </w:pPr>
          </w:p>
        </w:tc>
        <w:tc>
          <w:tcPr>
            <w:tcW w:w="3212" w:type="dxa"/>
            <w:gridSpan w:val="2"/>
          </w:tcPr>
          <w:p w14:paraId="28BEB76C" w14:textId="77777777" w:rsidR="002E0079" w:rsidRPr="005B5418" w:rsidRDefault="002E0079" w:rsidP="00BA0E27">
            <w:pPr>
              <w:pStyle w:val="Table-Cell-Left"/>
              <w:spacing w:line="240" w:lineRule="auto"/>
              <w:rPr>
                <w:rFonts w:cs="Arial"/>
              </w:rPr>
            </w:pPr>
          </w:p>
        </w:tc>
      </w:tr>
      <w:tr w:rsidR="00BA0E27" w:rsidRPr="005B5418" w14:paraId="7B831B45" w14:textId="77777777" w:rsidTr="005425ED">
        <w:trPr>
          <w:trHeight w:val="1817"/>
        </w:trPr>
        <w:tc>
          <w:tcPr>
            <w:tcW w:w="5404" w:type="dxa"/>
          </w:tcPr>
          <w:p w14:paraId="2880E1A4" w14:textId="7E695E57" w:rsidR="00BA0E27" w:rsidRPr="005B5418" w:rsidRDefault="00BA0E27" w:rsidP="005425ED">
            <w:pPr>
              <w:pStyle w:val="FAM-Table-outline"/>
              <w:spacing w:line="240" w:lineRule="auto"/>
              <w:rPr>
                <w:rFonts w:eastAsia="Arial Unicode MS"/>
              </w:rPr>
            </w:pPr>
            <w:r w:rsidRPr="005B5418">
              <w:rPr>
                <w:rFonts w:eastAsia="Arial Unicode MS"/>
              </w:rPr>
              <w:t>If stockpile materials have either suffered a permanent decline in value to an amount below cost, or have become damaged or decayed, has their value been reduced to expected net realizable value? (SFFAS 3, par</w:t>
            </w:r>
            <w:r w:rsidR="004B65BF" w:rsidRPr="005B5418">
              <w:rPr>
                <w:rFonts w:eastAsia="Arial Unicode MS"/>
              </w:rPr>
              <w:t>a</w:t>
            </w:r>
            <w:r w:rsidRPr="005B5418">
              <w:rPr>
                <w:rFonts w:eastAsia="Arial Unicode MS"/>
              </w:rPr>
              <w:t>. 54)</w:t>
            </w:r>
          </w:p>
        </w:tc>
        <w:tc>
          <w:tcPr>
            <w:tcW w:w="965" w:type="dxa"/>
          </w:tcPr>
          <w:p w14:paraId="735D13A3" w14:textId="77777777" w:rsidR="00BA0E27" w:rsidRPr="005B5418" w:rsidRDefault="00BA0E27" w:rsidP="00BA0E27">
            <w:pPr>
              <w:pStyle w:val="Table-Cell-CenterBoldBefore6ptAfter6pt"/>
              <w:rPr>
                <w:rFonts w:cs="Arial"/>
              </w:rPr>
            </w:pPr>
          </w:p>
        </w:tc>
        <w:tc>
          <w:tcPr>
            <w:tcW w:w="3212" w:type="dxa"/>
            <w:gridSpan w:val="2"/>
          </w:tcPr>
          <w:p w14:paraId="54C743DB" w14:textId="77777777" w:rsidR="00BA0E27" w:rsidRPr="005B5418" w:rsidRDefault="00BA0E27" w:rsidP="00BA0E27">
            <w:pPr>
              <w:pStyle w:val="Table-Cell-Left"/>
              <w:spacing w:line="240" w:lineRule="auto"/>
              <w:rPr>
                <w:rFonts w:cs="Arial"/>
              </w:rPr>
            </w:pPr>
          </w:p>
        </w:tc>
      </w:tr>
      <w:tr w:rsidR="00BA0E27" w:rsidRPr="005B5418" w14:paraId="31275022" w14:textId="77777777" w:rsidTr="005425ED">
        <w:trPr>
          <w:trHeight w:val="1007"/>
        </w:trPr>
        <w:tc>
          <w:tcPr>
            <w:tcW w:w="5404" w:type="dxa"/>
          </w:tcPr>
          <w:p w14:paraId="6FBA29CA" w14:textId="42CEE1D8" w:rsidR="00BA0E27" w:rsidRPr="005B5418" w:rsidRDefault="00BA0E27" w:rsidP="005425ED">
            <w:pPr>
              <w:pStyle w:val="FAM-Table-outline"/>
              <w:spacing w:line="240" w:lineRule="auto"/>
              <w:rPr>
                <w:rFonts w:eastAsia="Arial Unicode MS" w:cs="Arial"/>
                <w:szCs w:val="22"/>
              </w:rPr>
            </w:pPr>
            <w:r w:rsidRPr="005B5418">
              <w:rPr>
                <w:rFonts w:eastAsia="Arial Unicode MS"/>
              </w:rPr>
              <w:t>Is the resultant decline in value recognized as a loss or expense in the period in which it occurs? (SFFAS 3, par</w:t>
            </w:r>
            <w:r w:rsidR="004B65BF" w:rsidRPr="005B5418">
              <w:rPr>
                <w:rFonts w:eastAsia="Arial Unicode MS"/>
              </w:rPr>
              <w:t>a</w:t>
            </w:r>
            <w:r w:rsidRPr="005B5418">
              <w:rPr>
                <w:rFonts w:eastAsia="Arial Unicode MS"/>
              </w:rPr>
              <w:t>. 54)</w:t>
            </w:r>
          </w:p>
        </w:tc>
        <w:tc>
          <w:tcPr>
            <w:tcW w:w="965" w:type="dxa"/>
          </w:tcPr>
          <w:p w14:paraId="53E210CF" w14:textId="77777777" w:rsidR="00BA0E27" w:rsidRPr="005B5418" w:rsidRDefault="00BA0E27" w:rsidP="00BA0E27">
            <w:pPr>
              <w:pStyle w:val="Table-Cell-CenterBoldBefore6ptAfter6pt"/>
              <w:rPr>
                <w:rFonts w:cs="Arial"/>
              </w:rPr>
            </w:pPr>
          </w:p>
        </w:tc>
        <w:tc>
          <w:tcPr>
            <w:tcW w:w="3212" w:type="dxa"/>
            <w:gridSpan w:val="2"/>
          </w:tcPr>
          <w:p w14:paraId="22ABBABB" w14:textId="77777777" w:rsidR="00BA0E27" w:rsidRPr="005B5418" w:rsidRDefault="00BA0E27" w:rsidP="00BA0E27">
            <w:pPr>
              <w:pStyle w:val="Table-Cell-Left"/>
              <w:spacing w:line="240" w:lineRule="auto"/>
              <w:rPr>
                <w:rFonts w:cs="Arial"/>
              </w:rPr>
            </w:pPr>
          </w:p>
        </w:tc>
      </w:tr>
      <w:tr w:rsidR="002E0079" w:rsidRPr="005B5418" w14:paraId="2BF51EAB" w14:textId="77777777" w:rsidTr="005425ED">
        <w:trPr>
          <w:trHeight w:hRule="exact" w:val="461"/>
        </w:trPr>
        <w:tc>
          <w:tcPr>
            <w:tcW w:w="5404" w:type="dxa"/>
          </w:tcPr>
          <w:p w14:paraId="4C39E4AB" w14:textId="77777777" w:rsidR="002E0079" w:rsidRPr="005B5418" w:rsidRDefault="002E0079" w:rsidP="005E0822">
            <w:pPr>
              <w:pStyle w:val="FAM-Table-outline"/>
              <w:numPr>
                <w:ilvl w:val="0"/>
                <w:numId w:val="0"/>
              </w:numPr>
              <w:spacing w:line="240" w:lineRule="auto"/>
              <w:ind w:left="236" w:hanging="236"/>
              <w:rPr>
                <w:rFonts w:eastAsia="Arial Unicode MS" w:cs="Arial"/>
                <w:i/>
                <w:szCs w:val="22"/>
              </w:rPr>
            </w:pPr>
            <w:r w:rsidRPr="005B5418">
              <w:rPr>
                <w:rFonts w:eastAsia="Arial Unicode MS" w:cs="Arial"/>
                <w:i/>
                <w:szCs w:val="22"/>
              </w:rPr>
              <w:t>Held for Sale</w:t>
            </w:r>
          </w:p>
        </w:tc>
        <w:tc>
          <w:tcPr>
            <w:tcW w:w="965" w:type="dxa"/>
          </w:tcPr>
          <w:p w14:paraId="6406566D" w14:textId="77777777" w:rsidR="002E0079" w:rsidRPr="005B5418" w:rsidRDefault="002E0079" w:rsidP="00BA0E27">
            <w:pPr>
              <w:pStyle w:val="Table-Cell-CenterBoldBefore6ptAfter6pt"/>
              <w:rPr>
                <w:rFonts w:cs="Arial"/>
              </w:rPr>
            </w:pPr>
          </w:p>
        </w:tc>
        <w:tc>
          <w:tcPr>
            <w:tcW w:w="3212" w:type="dxa"/>
            <w:gridSpan w:val="2"/>
          </w:tcPr>
          <w:p w14:paraId="622E796C" w14:textId="77777777" w:rsidR="002E0079" w:rsidRPr="005B5418" w:rsidRDefault="002E0079" w:rsidP="00BA0E27">
            <w:pPr>
              <w:pStyle w:val="Table-Cell-Left"/>
              <w:spacing w:line="240" w:lineRule="auto"/>
              <w:rPr>
                <w:rFonts w:cs="Arial"/>
              </w:rPr>
            </w:pPr>
          </w:p>
        </w:tc>
      </w:tr>
      <w:tr w:rsidR="00BA0E27" w:rsidRPr="005B5418" w14:paraId="036ED0E7" w14:textId="77777777" w:rsidTr="005425ED">
        <w:trPr>
          <w:trHeight w:val="1115"/>
        </w:trPr>
        <w:tc>
          <w:tcPr>
            <w:tcW w:w="5404" w:type="dxa"/>
          </w:tcPr>
          <w:p w14:paraId="0996FF3C" w14:textId="046B85E7" w:rsidR="00BA0E27" w:rsidRPr="005B5418" w:rsidRDefault="00BA0E27" w:rsidP="005425ED">
            <w:pPr>
              <w:pStyle w:val="FAM-Table-outline"/>
              <w:spacing w:line="240" w:lineRule="auto"/>
              <w:rPr>
                <w:rFonts w:eastAsia="Arial Unicode MS" w:cs="Arial"/>
                <w:szCs w:val="22"/>
              </w:rPr>
            </w:pPr>
            <w:r w:rsidRPr="005B5418">
              <w:rPr>
                <w:rFonts w:eastAsia="Arial Unicode MS"/>
              </w:rPr>
              <w:t>When stockpile materials are authorized to be sold, are those materials reported as stockpile materials held for sale? (SFFAS 3, par</w:t>
            </w:r>
            <w:r w:rsidR="004B65BF" w:rsidRPr="005B5418">
              <w:rPr>
                <w:rFonts w:eastAsia="Arial Unicode MS"/>
              </w:rPr>
              <w:t>a</w:t>
            </w:r>
            <w:r w:rsidRPr="005B5418">
              <w:rPr>
                <w:rFonts w:eastAsia="Arial Unicode MS"/>
              </w:rPr>
              <w:t>. 55)</w:t>
            </w:r>
          </w:p>
        </w:tc>
        <w:tc>
          <w:tcPr>
            <w:tcW w:w="965" w:type="dxa"/>
          </w:tcPr>
          <w:p w14:paraId="00CA522E" w14:textId="77777777" w:rsidR="00BA0E27" w:rsidRPr="005B5418" w:rsidRDefault="00BA0E27" w:rsidP="00BA0E27">
            <w:pPr>
              <w:pStyle w:val="Table-Cell-CenterBoldBefore6ptAfter6pt"/>
              <w:rPr>
                <w:rFonts w:cs="Arial"/>
              </w:rPr>
            </w:pPr>
          </w:p>
        </w:tc>
        <w:tc>
          <w:tcPr>
            <w:tcW w:w="3212" w:type="dxa"/>
            <w:gridSpan w:val="2"/>
          </w:tcPr>
          <w:p w14:paraId="6CBF56B8" w14:textId="77777777" w:rsidR="00BA0E27" w:rsidRPr="005B5418" w:rsidRDefault="00BA0E27" w:rsidP="00BA0E27">
            <w:pPr>
              <w:pStyle w:val="Table-Cell-Left"/>
              <w:spacing w:line="240" w:lineRule="auto"/>
              <w:rPr>
                <w:rFonts w:cs="Arial"/>
              </w:rPr>
            </w:pPr>
          </w:p>
        </w:tc>
      </w:tr>
      <w:tr w:rsidR="00BA0E27" w:rsidRPr="005B5418" w14:paraId="3D5BAE30" w14:textId="77777777" w:rsidTr="005425ED">
        <w:trPr>
          <w:trHeight w:val="1088"/>
        </w:trPr>
        <w:tc>
          <w:tcPr>
            <w:tcW w:w="5404" w:type="dxa"/>
          </w:tcPr>
          <w:p w14:paraId="4D50D6E7" w14:textId="65A0AD52" w:rsidR="00BA0E27" w:rsidRPr="005B5418" w:rsidRDefault="00BA0E27" w:rsidP="005425ED">
            <w:pPr>
              <w:pStyle w:val="FAM-Table-outline"/>
              <w:spacing w:line="240" w:lineRule="auto"/>
              <w:rPr>
                <w:rFonts w:eastAsia="Arial Unicode MS"/>
              </w:rPr>
            </w:pPr>
            <w:r w:rsidRPr="005B5418">
              <w:rPr>
                <w:rFonts w:eastAsia="Arial Unicode MS"/>
              </w:rPr>
              <w:lastRenderedPageBreak/>
              <w:t>Are stockpile materials authorized for sale valued using the same basis used before they were authorized for sale? (SFFAS 3, par</w:t>
            </w:r>
            <w:r w:rsidR="004B65BF" w:rsidRPr="005B5418">
              <w:rPr>
                <w:rFonts w:eastAsia="Arial Unicode MS"/>
              </w:rPr>
              <w:t>a</w:t>
            </w:r>
            <w:r w:rsidRPr="005B5418">
              <w:rPr>
                <w:rFonts w:eastAsia="Arial Unicode MS"/>
              </w:rPr>
              <w:t xml:space="preserve">. 55) </w:t>
            </w:r>
          </w:p>
        </w:tc>
        <w:tc>
          <w:tcPr>
            <w:tcW w:w="965" w:type="dxa"/>
          </w:tcPr>
          <w:p w14:paraId="31514378" w14:textId="77777777" w:rsidR="00BA0E27" w:rsidRPr="005B5418" w:rsidRDefault="00BA0E27" w:rsidP="00BA0E27">
            <w:pPr>
              <w:pStyle w:val="Table-Cell-CenterBoldBefore6ptAfter6pt"/>
              <w:rPr>
                <w:rFonts w:cs="Arial"/>
              </w:rPr>
            </w:pPr>
          </w:p>
        </w:tc>
        <w:tc>
          <w:tcPr>
            <w:tcW w:w="3212" w:type="dxa"/>
            <w:gridSpan w:val="2"/>
          </w:tcPr>
          <w:p w14:paraId="15962D7C" w14:textId="77777777" w:rsidR="00BA0E27" w:rsidRPr="005B5418" w:rsidRDefault="00BA0E27" w:rsidP="00BA0E27">
            <w:pPr>
              <w:pStyle w:val="Table-Cell-Left"/>
              <w:spacing w:line="240" w:lineRule="auto"/>
              <w:rPr>
                <w:rFonts w:cs="Arial"/>
              </w:rPr>
            </w:pPr>
          </w:p>
        </w:tc>
      </w:tr>
      <w:tr w:rsidR="00BA0E27" w:rsidRPr="005B5418" w14:paraId="7A0E4FF4" w14:textId="77777777" w:rsidTr="005425ED">
        <w:trPr>
          <w:trHeight w:val="1052"/>
        </w:trPr>
        <w:tc>
          <w:tcPr>
            <w:tcW w:w="5404" w:type="dxa"/>
          </w:tcPr>
          <w:p w14:paraId="01362D80" w14:textId="5F8D745C" w:rsidR="00BA0E27" w:rsidRPr="005B5418" w:rsidRDefault="00BA0E27" w:rsidP="005425ED">
            <w:pPr>
              <w:pStyle w:val="FAM-Table-outline"/>
              <w:spacing w:line="240" w:lineRule="auto"/>
              <w:rPr>
                <w:rFonts w:eastAsia="Arial Unicode MS" w:cs="Arial"/>
                <w:szCs w:val="22"/>
              </w:rPr>
            </w:pPr>
            <w:r w:rsidRPr="005B5418">
              <w:rPr>
                <w:rFonts w:eastAsia="Arial Unicode MS"/>
              </w:rPr>
              <w:t>If stockpile materials are sold, is the cost removed from stockpile materials and reported as a cost of goods sold? (SFFAS 3, par</w:t>
            </w:r>
            <w:r w:rsidR="004B65BF" w:rsidRPr="005B5418">
              <w:rPr>
                <w:rFonts w:eastAsia="Arial Unicode MS"/>
              </w:rPr>
              <w:t>a</w:t>
            </w:r>
            <w:r w:rsidRPr="005B5418">
              <w:rPr>
                <w:rFonts w:eastAsia="Arial Unicode MS"/>
              </w:rPr>
              <w:t>. 55)</w:t>
            </w:r>
          </w:p>
        </w:tc>
        <w:tc>
          <w:tcPr>
            <w:tcW w:w="965" w:type="dxa"/>
          </w:tcPr>
          <w:p w14:paraId="167C349C" w14:textId="77777777" w:rsidR="00BA0E27" w:rsidRPr="005B5418" w:rsidRDefault="00BA0E27" w:rsidP="00BA0E27">
            <w:pPr>
              <w:pStyle w:val="Table-Cell-CenterBoldBefore6ptAfter6pt"/>
              <w:rPr>
                <w:rFonts w:cs="Arial"/>
              </w:rPr>
            </w:pPr>
          </w:p>
        </w:tc>
        <w:tc>
          <w:tcPr>
            <w:tcW w:w="3212" w:type="dxa"/>
            <w:gridSpan w:val="2"/>
          </w:tcPr>
          <w:p w14:paraId="35FB057D" w14:textId="77777777" w:rsidR="00BA0E27" w:rsidRPr="005B5418" w:rsidRDefault="00BA0E27" w:rsidP="00BA0E27">
            <w:pPr>
              <w:pStyle w:val="Table-Cell-Left"/>
              <w:spacing w:line="240" w:lineRule="auto"/>
              <w:rPr>
                <w:rFonts w:cs="Arial"/>
              </w:rPr>
            </w:pPr>
          </w:p>
        </w:tc>
      </w:tr>
      <w:tr w:rsidR="00BA0E27" w:rsidRPr="005B5418" w14:paraId="6035EC5A" w14:textId="77777777" w:rsidTr="005425ED">
        <w:trPr>
          <w:trHeight w:val="1052"/>
        </w:trPr>
        <w:tc>
          <w:tcPr>
            <w:tcW w:w="5404" w:type="dxa"/>
          </w:tcPr>
          <w:p w14:paraId="121E4D5D" w14:textId="232A0F15" w:rsidR="00BA0E27" w:rsidRPr="005B5418" w:rsidRDefault="00BA0E27" w:rsidP="005425ED">
            <w:pPr>
              <w:pStyle w:val="FAM-Table-outline"/>
              <w:spacing w:line="240" w:lineRule="auto"/>
              <w:rPr>
                <w:rFonts w:eastAsia="Arial Unicode MS" w:cs="Arial"/>
                <w:szCs w:val="22"/>
              </w:rPr>
            </w:pPr>
            <w:r w:rsidRPr="005B5418">
              <w:rPr>
                <w:rFonts w:eastAsia="Arial Unicode MS"/>
              </w:rPr>
              <w:t>Is any gain (or loss) from the sale of stockpile materials recognized as a gain (or loss) at that time? (SFFAS 3, par</w:t>
            </w:r>
            <w:r w:rsidR="004B65BF" w:rsidRPr="005B5418">
              <w:rPr>
                <w:rFonts w:eastAsia="Arial Unicode MS"/>
              </w:rPr>
              <w:t>a</w:t>
            </w:r>
            <w:r w:rsidRPr="005B5418">
              <w:rPr>
                <w:rFonts w:eastAsia="Arial Unicode MS"/>
              </w:rPr>
              <w:t>. 55)</w:t>
            </w:r>
          </w:p>
        </w:tc>
        <w:tc>
          <w:tcPr>
            <w:tcW w:w="965" w:type="dxa"/>
          </w:tcPr>
          <w:p w14:paraId="2F8A96DE" w14:textId="77777777" w:rsidR="00BA0E27" w:rsidRPr="005B5418" w:rsidRDefault="00BA0E27" w:rsidP="00BA0E27">
            <w:pPr>
              <w:pStyle w:val="Table-Cell-CenterBoldBefore6ptAfter6pt"/>
              <w:rPr>
                <w:rFonts w:cs="Arial"/>
              </w:rPr>
            </w:pPr>
          </w:p>
        </w:tc>
        <w:tc>
          <w:tcPr>
            <w:tcW w:w="3212" w:type="dxa"/>
            <w:gridSpan w:val="2"/>
          </w:tcPr>
          <w:p w14:paraId="72CA9152" w14:textId="77777777" w:rsidR="00BA0E27" w:rsidRPr="005B5418" w:rsidRDefault="00BA0E27" w:rsidP="00BA0E27">
            <w:pPr>
              <w:pStyle w:val="Table-Cell-Left"/>
              <w:spacing w:line="240" w:lineRule="auto"/>
              <w:rPr>
                <w:rFonts w:cs="Arial"/>
              </w:rPr>
            </w:pPr>
          </w:p>
        </w:tc>
      </w:tr>
      <w:tr w:rsidR="00BA0E27" w:rsidRPr="005B5418" w14:paraId="4A0323B3" w14:textId="77777777" w:rsidTr="008848DA">
        <w:trPr>
          <w:trHeight w:val="323"/>
        </w:trPr>
        <w:tc>
          <w:tcPr>
            <w:tcW w:w="9581" w:type="dxa"/>
            <w:gridSpan w:val="4"/>
          </w:tcPr>
          <w:p w14:paraId="0FB91263" w14:textId="77777777" w:rsidR="00BA0E27" w:rsidRPr="005B5418" w:rsidRDefault="00BA0E27" w:rsidP="00BA0E27">
            <w:pPr>
              <w:spacing w:line="240" w:lineRule="auto"/>
              <w:rPr>
                <w:rFonts w:ascii="Arial" w:hAnsi="Arial" w:cs="Arial"/>
                <w:b/>
              </w:rPr>
            </w:pPr>
            <w:r w:rsidRPr="005B5418">
              <w:rPr>
                <w:rFonts w:ascii="Arial" w:hAnsi="Arial" w:cs="Arial"/>
                <w:b/>
              </w:rPr>
              <w:t>Disclosure</w:t>
            </w:r>
          </w:p>
        </w:tc>
      </w:tr>
      <w:tr w:rsidR="00BA0E27" w:rsidRPr="005B5418" w14:paraId="66D04034" w14:textId="77777777" w:rsidTr="005425ED">
        <w:trPr>
          <w:trHeight w:val="2160"/>
        </w:trPr>
        <w:tc>
          <w:tcPr>
            <w:tcW w:w="5404" w:type="dxa"/>
          </w:tcPr>
          <w:p w14:paraId="757D6BA8" w14:textId="77777777" w:rsidR="00BA0E27" w:rsidRPr="005B5418" w:rsidRDefault="00BA0E27" w:rsidP="005425ED">
            <w:pPr>
              <w:pStyle w:val="FAM-Table-outline"/>
              <w:spacing w:line="240" w:lineRule="auto"/>
              <w:rPr>
                <w:rFonts w:eastAsia="Arial Unicode MS"/>
              </w:rPr>
            </w:pPr>
            <w:r w:rsidRPr="005B5418">
              <w:rPr>
                <w:rFonts w:eastAsia="Arial Unicode MS"/>
              </w:rPr>
              <w:t>When stockpile materials are authorized to be sold, does the entity disclose</w:t>
            </w:r>
          </w:p>
          <w:p w14:paraId="6797FFDE" w14:textId="3C8231F8"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carrying value of the materials and</w:t>
            </w:r>
          </w:p>
          <w:p w14:paraId="4D3FE0F5" w14:textId="1AA6D11B"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any difference between the carrying amount of the stockpile materials held for sale and their estimated selling price? (SFFAS 3, par</w:t>
            </w:r>
            <w:r w:rsidR="00F445CE" w:rsidRPr="005B5418">
              <w:rPr>
                <w:rFonts w:eastAsia="Arial Unicode MS" w:cs="Arial"/>
                <w:szCs w:val="22"/>
              </w:rPr>
              <w:t>a</w:t>
            </w:r>
            <w:r w:rsidRPr="005B5418">
              <w:rPr>
                <w:rFonts w:eastAsia="Arial Unicode MS" w:cs="Arial"/>
                <w:szCs w:val="22"/>
              </w:rPr>
              <w:t>. 55)</w:t>
            </w:r>
          </w:p>
        </w:tc>
        <w:tc>
          <w:tcPr>
            <w:tcW w:w="965" w:type="dxa"/>
          </w:tcPr>
          <w:p w14:paraId="26A5F3C4" w14:textId="77777777" w:rsidR="00BA0E27" w:rsidRPr="005B5418" w:rsidRDefault="00BA0E27" w:rsidP="00BA0E27">
            <w:pPr>
              <w:pStyle w:val="Table-Cell-CenterBoldBefore6ptAfter6pt"/>
              <w:rPr>
                <w:rFonts w:cs="Arial"/>
              </w:rPr>
            </w:pPr>
          </w:p>
        </w:tc>
        <w:tc>
          <w:tcPr>
            <w:tcW w:w="3212" w:type="dxa"/>
            <w:gridSpan w:val="2"/>
          </w:tcPr>
          <w:p w14:paraId="47857B19" w14:textId="77777777" w:rsidR="00BA0E27" w:rsidRPr="005B5418" w:rsidRDefault="00BA0E27" w:rsidP="00BA0E27">
            <w:pPr>
              <w:pStyle w:val="Table-Cell-Left"/>
              <w:spacing w:line="240" w:lineRule="auto"/>
              <w:rPr>
                <w:rFonts w:cs="Arial"/>
              </w:rPr>
            </w:pPr>
          </w:p>
        </w:tc>
      </w:tr>
      <w:tr w:rsidR="00BA0E27" w:rsidRPr="005B5418" w14:paraId="795F84C7" w14:textId="77777777" w:rsidTr="005425ED">
        <w:trPr>
          <w:trHeight w:val="467"/>
        </w:trPr>
        <w:tc>
          <w:tcPr>
            <w:tcW w:w="5404" w:type="dxa"/>
          </w:tcPr>
          <w:p w14:paraId="5E3BE7BA" w14:textId="77777777" w:rsidR="00BA0E27" w:rsidRPr="005B5418" w:rsidRDefault="00BA0E27" w:rsidP="005425ED">
            <w:pPr>
              <w:pStyle w:val="FAM-Table-outline"/>
              <w:spacing w:line="240" w:lineRule="auto"/>
              <w:rPr>
                <w:rFonts w:eastAsia="Arial Unicode MS"/>
              </w:rPr>
            </w:pPr>
            <w:r w:rsidRPr="005B5418">
              <w:rPr>
                <w:rFonts w:eastAsia="Arial Unicode MS"/>
              </w:rPr>
              <w:t>Does entity disclosure of stockpile materials include</w:t>
            </w:r>
          </w:p>
          <w:p w14:paraId="3B35A66F"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general composition;</w:t>
            </w:r>
          </w:p>
          <w:p w14:paraId="143EBE54"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basis for valuing stockpile materials, including valuation method and any cost flow assumptions;</w:t>
            </w:r>
          </w:p>
          <w:p w14:paraId="4618535D"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changes from prior year’s accounting methods;</w:t>
            </w:r>
          </w:p>
          <w:p w14:paraId="2E42EF21"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restrictions on the use of the material;</w:t>
            </w:r>
          </w:p>
          <w:p w14:paraId="58DC7E62"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balances in each category of stockpile material (i.e., stockpile materials and stockpile materials held for sale);</w:t>
            </w:r>
          </w:p>
          <w:p w14:paraId="1DE954B0"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decision criteria for categorizing stockpile material as held for sale; and</w:t>
            </w:r>
          </w:p>
          <w:p w14:paraId="1B62AAAC" w14:textId="2496E7F0"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changes in criteria for categorizing stockpile materials as held for sale?</w:t>
            </w:r>
            <w:r w:rsidRPr="005B5418">
              <w:rPr>
                <w:rFonts w:eastAsia="Arial Unicode MS" w:cs="Arial"/>
                <w:szCs w:val="22"/>
              </w:rPr>
              <w:br/>
              <w:t>(SFFAS 3, par</w:t>
            </w:r>
            <w:r w:rsidR="00F445CE" w:rsidRPr="005B5418">
              <w:rPr>
                <w:rFonts w:eastAsia="Arial Unicode MS" w:cs="Arial"/>
                <w:szCs w:val="22"/>
              </w:rPr>
              <w:t>a</w:t>
            </w:r>
            <w:r w:rsidRPr="005B5418">
              <w:rPr>
                <w:rFonts w:eastAsia="Arial Unicode MS" w:cs="Arial"/>
                <w:szCs w:val="22"/>
              </w:rPr>
              <w:t>. 56)</w:t>
            </w:r>
          </w:p>
        </w:tc>
        <w:tc>
          <w:tcPr>
            <w:tcW w:w="965" w:type="dxa"/>
          </w:tcPr>
          <w:p w14:paraId="333A4DF2" w14:textId="77777777" w:rsidR="00BA0E27" w:rsidRPr="005B5418" w:rsidRDefault="00BA0E27" w:rsidP="00BA0E27">
            <w:pPr>
              <w:pStyle w:val="Table-Cell-CenterBoldBefore6ptAfter6pt"/>
              <w:rPr>
                <w:rFonts w:cs="Arial"/>
                <w:lang w:val="pt-BR"/>
              </w:rPr>
            </w:pPr>
          </w:p>
        </w:tc>
        <w:tc>
          <w:tcPr>
            <w:tcW w:w="3212" w:type="dxa"/>
            <w:gridSpan w:val="2"/>
          </w:tcPr>
          <w:p w14:paraId="5ECCFF00" w14:textId="77777777" w:rsidR="00BA0E27" w:rsidRPr="005B5418" w:rsidRDefault="00BA0E27" w:rsidP="00BA0E27">
            <w:pPr>
              <w:pStyle w:val="Table-Cell-Left"/>
              <w:spacing w:line="240" w:lineRule="auto"/>
              <w:rPr>
                <w:rFonts w:cs="Arial"/>
                <w:lang w:val="pt-BR"/>
              </w:rPr>
            </w:pPr>
          </w:p>
        </w:tc>
      </w:tr>
      <w:tr w:rsidR="00BA0E27" w:rsidRPr="005B5418" w14:paraId="35495DE4" w14:textId="77777777" w:rsidTr="005425ED">
        <w:trPr>
          <w:trHeight w:val="2160"/>
        </w:trPr>
        <w:tc>
          <w:tcPr>
            <w:tcW w:w="5404" w:type="dxa"/>
          </w:tcPr>
          <w:p w14:paraId="6075C811" w14:textId="1B28F0F9" w:rsidR="00BA0E27" w:rsidRPr="005B5418" w:rsidRDefault="00BA0E27" w:rsidP="005425ED">
            <w:pPr>
              <w:pStyle w:val="FAM-Table-outline"/>
              <w:spacing w:line="240" w:lineRule="auto"/>
              <w:rPr>
                <w:rFonts w:eastAsia="Arial Unicode MS"/>
              </w:rPr>
            </w:pPr>
            <w:r w:rsidRPr="005B5418">
              <w:rPr>
                <w:rFonts w:eastAsia="Arial Unicode MS"/>
              </w:rPr>
              <w:lastRenderedPageBreak/>
              <w:t>If, during any of the periods presented, the entity initially elected to apply an alternative valuation method (i.e., deemed cost) in establishing opening balances for one or more line items related to stockpile materials, did the entity</w:t>
            </w:r>
          </w:p>
          <w:p w14:paraId="21892518" w14:textId="78D49E24"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disclose that it elected to apply deemed cost in establishing opening balance for stockpile materials</w:t>
            </w:r>
            <w:r w:rsidR="005373AE" w:rsidRPr="005B5418">
              <w:rPr>
                <w:rFonts w:eastAsia="Arial Unicode MS" w:cs="Arial"/>
                <w:szCs w:val="22"/>
              </w:rPr>
              <w:t>,</w:t>
            </w:r>
          </w:p>
          <w:p w14:paraId="2560D94B" w14:textId="49628480"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describe the method</w:t>
            </w:r>
            <w:r w:rsidR="005373AE" w:rsidRPr="005B5418">
              <w:rPr>
                <w:rFonts w:eastAsia="Arial Unicode MS" w:cs="Arial"/>
                <w:szCs w:val="22"/>
              </w:rPr>
              <w:t>,</w:t>
            </w:r>
            <w:r w:rsidRPr="005B5418">
              <w:rPr>
                <w:rFonts w:eastAsia="Arial Unicode MS" w:cs="Arial"/>
                <w:szCs w:val="22"/>
              </w:rPr>
              <w:t xml:space="preserve"> and</w:t>
            </w:r>
          </w:p>
          <w:p w14:paraId="0F7CE858" w14:textId="0C824D0F"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treat the election as a change in accounting principle by reporting the change in accordance with SFFAS 21, par</w:t>
            </w:r>
            <w:r w:rsidR="005373AE" w:rsidRPr="005B5418">
              <w:rPr>
                <w:rFonts w:eastAsia="Arial Unicode MS" w:cs="Arial"/>
                <w:szCs w:val="22"/>
              </w:rPr>
              <w:t>agraph</w:t>
            </w:r>
            <w:r w:rsidRPr="005B5418">
              <w:rPr>
                <w:rFonts w:eastAsia="Arial Unicode MS" w:cs="Arial"/>
                <w:szCs w:val="22"/>
              </w:rPr>
              <w:t xml:space="preserve"> 13?</w:t>
            </w:r>
            <w:r w:rsidRPr="005B5418">
              <w:rPr>
                <w:rFonts w:eastAsia="Arial Unicode MS" w:cs="Arial"/>
                <w:szCs w:val="22"/>
              </w:rPr>
              <w:br/>
              <w:t>(SFFAS 3, par</w:t>
            </w:r>
            <w:r w:rsidR="005373AE" w:rsidRPr="005B5418">
              <w:rPr>
                <w:rFonts w:eastAsia="Arial Unicode MS" w:cs="Arial"/>
                <w:szCs w:val="22"/>
              </w:rPr>
              <w:t>as</w:t>
            </w:r>
            <w:r w:rsidRPr="005B5418">
              <w:rPr>
                <w:rFonts w:eastAsia="Arial Unicode MS" w:cs="Arial"/>
                <w:szCs w:val="22"/>
              </w:rPr>
              <w:t xml:space="preserve">. 26(a)(iii) and 26(a)(v)) </w:t>
            </w:r>
          </w:p>
        </w:tc>
        <w:tc>
          <w:tcPr>
            <w:tcW w:w="965" w:type="dxa"/>
          </w:tcPr>
          <w:p w14:paraId="45EA2021" w14:textId="77777777" w:rsidR="00BA0E27" w:rsidRPr="005B5418" w:rsidRDefault="00BA0E27" w:rsidP="00BA0E27">
            <w:pPr>
              <w:pStyle w:val="Table-Cell-CenterBoldBefore6ptAfter6pt"/>
              <w:rPr>
                <w:rFonts w:cs="Arial"/>
                <w:lang w:val="pt-BR"/>
              </w:rPr>
            </w:pPr>
          </w:p>
        </w:tc>
        <w:tc>
          <w:tcPr>
            <w:tcW w:w="3212" w:type="dxa"/>
            <w:gridSpan w:val="2"/>
          </w:tcPr>
          <w:p w14:paraId="41DF799D" w14:textId="77777777" w:rsidR="00BA0E27" w:rsidRPr="005B5418" w:rsidRDefault="00BA0E27" w:rsidP="00BA0E27">
            <w:pPr>
              <w:pStyle w:val="Table-Cell-Left"/>
              <w:spacing w:line="240" w:lineRule="auto"/>
              <w:rPr>
                <w:rFonts w:cs="Arial"/>
                <w:lang w:val="pt-BR"/>
              </w:rPr>
            </w:pPr>
          </w:p>
        </w:tc>
      </w:tr>
      <w:tr w:rsidR="00BA0E27" w:rsidRPr="005B5418" w14:paraId="5A5D9C0C" w14:textId="77777777" w:rsidTr="008848DA">
        <w:tc>
          <w:tcPr>
            <w:tcW w:w="9581" w:type="dxa"/>
            <w:gridSpan w:val="4"/>
          </w:tcPr>
          <w:p w14:paraId="5AA3D635" w14:textId="25C86BF7" w:rsidR="00BA0E27" w:rsidRPr="005B5418" w:rsidRDefault="00BA0E27" w:rsidP="00BA0E27">
            <w:pPr>
              <w:pStyle w:val="Heading5"/>
              <w:spacing w:line="240" w:lineRule="auto"/>
              <w:jc w:val="center"/>
              <w:rPr>
                <w:rFonts w:ascii="Arial" w:hAnsi="Arial" w:cs="Arial"/>
                <w:b/>
                <w:color w:val="auto"/>
              </w:rPr>
            </w:pPr>
            <w:bookmarkStart w:id="155" w:name="_Ref392094347"/>
            <w:bookmarkStart w:id="156" w:name="_Ref392094357"/>
            <w:bookmarkStart w:id="157" w:name="_Toc394667897"/>
            <w:bookmarkStart w:id="158" w:name="_Ref390347589"/>
            <w:r w:rsidRPr="005B5418">
              <w:rPr>
                <w:rFonts w:ascii="Arial" w:hAnsi="Arial" w:cs="Arial"/>
                <w:b/>
                <w:color w:val="auto"/>
              </w:rPr>
              <w:lastRenderedPageBreak/>
              <w:t>Seized Property</w:t>
            </w:r>
            <w:bookmarkEnd w:id="155"/>
            <w:bookmarkEnd w:id="156"/>
            <w:bookmarkEnd w:id="157"/>
            <w:r w:rsidR="001C3F36">
              <w:rPr>
                <w:rFonts w:ascii="Arial" w:hAnsi="Arial" w:cs="Arial"/>
                <w:b/>
                <w:color w:val="auto"/>
              </w:rPr>
              <w:t>, Including Digital Assets</w:t>
            </w:r>
            <w:bookmarkEnd w:id="158"/>
          </w:p>
        </w:tc>
      </w:tr>
      <w:tr w:rsidR="00BA0E27" w:rsidRPr="005B5418" w14:paraId="0E4EEC5F" w14:textId="77777777" w:rsidTr="008848DA">
        <w:tc>
          <w:tcPr>
            <w:tcW w:w="9581" w:type="dxa"/>
            <w:gridSpan w:val="4"/>
          </w:tcPr>
          <w:p w14:paraId="54386EAC" w14:textId="2152D41D" w:rsidR="00BA0E27" w:rsidRPr="005B5418" w:rsidRDefault="00BA0E27" w:rsidP="00D7798C">
            <w:pPr>
              <w:pStyle w:val="Table-Note"/>
              <w:spacing w:before="60" w:after="60" w:line="240" w:lineRule="auto"/>
              <w:ind w:left="-21"/>
              <w:jc w:val="left"/>
              <w:rPr>
                <w:rFonts w:cs="Arial"/>
                <w:i w:val="0"/>
                <w:sz w:val="22"/>
                <w:szCs w:val="22"/>
              </w:rPr>
            </w:pPr>
            <w:r w:rsidRPr="005B5418">
              <w:rPr>
                <w:rFonts w:cs="Arial"/>
                <w:i w:val="0"/>
                <w:sz w:val="22"/>
                <w:szCs w:val="22"/>
              </w:rPr>
              <w:t>Seized property includes monetary instruments, real property, and tangible personal property belonging to others in actual or constructive possession of the custodial agency. This includes illegal drugs, contraband, and counterfeit items seized by authorized law enforcement agencies. (SFFAS 3, par</w:t>
            </w:r>
            <w:r w:rsidR="005D7DAC" w:rsidRPr="005B5418">
              <w:rPr>
                <w:rFonts w:cs="Arial"/>
                <w:i w:val="0"/>
                <w:sz w:val="22"/>
                <w:szCs w:val="22"/>
              </w:rPr>
              <w:t>a</w:t>
            </w:r>
            <w:r w:rsidRPr="005B5418">
              <w:rPr>
                <w:rFonts w:cs="Arial"/>
                <w:i w:val="0"/>
                <w:sz w:val="22"/>
                <w:szCs w:val="22"/>
              </w:rPr>
              <w:t>. 59)</w:t>
            </w:r>
          </w:p>
          <w:p w14:paraId="3FE9A718" w14:textId="260740EC" w:rsidR="00FF2575" w:rsidRPr="005B5418" w:rsidRDefault="00BA0E27" w:rsidP="00D7798C">
            <w:pPr>
              <w:pStyle w:val="Table-Note"/>
              <w:spacing w:before="60" w:after="60" w:line="240" w:lineRule="auto"/>
              <w:ind w:left="-21"/>
              <w:jc w:val="left"/>
              <w:rPr>
                <w:rFonts w:cs="Arial"/>
                <w:i w:val="0"/>
                <w:sz w:val="22"/>
                <w:szCs w:val="22"/>
              </w:rPr>
            </w:pPr>
            <w:r w:rsidRPr="005B5418">
              <w:rPr>
                <w:rFonts w:cs="Arial"/>
                <w:i w:val="0"/>
                <w:sz w:val="22"/>
                <w:szCs w:val="22"/>
              </w:rPr>
              <w:t>There may be as many as three government entities involved with seized property: (1) the seizing agency, (2) the custodial agency, and (3) another agency with a “central fund” set up for financial recordkeeping of seizure activities. (SFFAS 3, par</w:t>
            </w:r>
            <w:r w:rsidR="005D7DAC" w:rsidRPr="005B5418">
              <w:rPr>
                <w:rFonts w:cs="Arial"/>
                <w:i w:val="0"/>
                <w:sz w:val="22"/>
                <w:szCs w:val="22"/>
              </w:rPr>
              <w:t>a</w:t>
            </w:r>
            <w:r w:rsidRPr="005B5418">
              <w:rPr>
                <w:rFonts w:cs="Arial"/>
                <w:i w:val="0"/>
                <w:sz w:val="22"/>
                <w:szCs w:val="22"/>
              </w:rPr>
              <w:t>. 57)</w:t>
            </w:r>
          </w:p>
          <w:p w14:paraId="61C2F257" w14:textId="77777777" w:rsidR="00C07DBE" w:rsidRPr="005B5418" w:rsidRDefault="00C07DBE" w:rsidP="00D7798C">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 xml:space="preserve">For non-valued property, the entity that takes custody and subsequently manages and stores the property is responsible for the disclosures. Entity management has discretion in determining reasonable and acceptable measurement methods for non-valued (prohibited) seized property (e.g., actual weight and a reasonable estimated metric weight are acceptable measures). </w:t>
            </w:r>
          </w:p>
          <w:p w14:paraId="377CF9DD" w14:textId="1747192E" w:rsidR="00C07DBE" w:rsidRPr="005B5418" w:rsidRDefault="00C07DBE" w:rsidP="00D7798C">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For non-valued seized property, if the entity with reporting responsibility reports an estimate rather than an actual amount, the entity should disclose the methodology used and the limitations of the estimate (e.g., weight includes packaging). (A-136, section II.3.8.9)</w:t>
            </w:r>
          </w:p>
          <w:p w14:paraId="1C536231" w14:textId="06F37104" w:rsidR="0067630C" w:rsidRPr="005B5418" w:rsidRDefault="00A13499" w:rsidP="00F01E66">
            <w:pPr>
              <w:pStyle w:val="Table-Note"/>
              <w:spacing w:before="60" w:after="60" w:line="240" w:lineRule="auto"/>
              <w:ind w:left="-21"/>
              <w:rPr>
                <w:rFonts w:cs="Arial"/>
                <w:i w:val="0"/>
                <w:spacing w:val="-1"/>
                <w:sz w:val="22"/>
                <w:szCs w:val="22"/>
              </w:rPr>
            </w:pPr>
            <w:r w:rsidRPr="005B5418">
              <w:rPr>
                <w:rFonts w:eastAsia="Arial Unicode MS" w:cs="Arial"/>
                <w:i w:val="0"/>
                <w:sz w:val="22"/>
                <w:szCs w:val="22"/>
              </w:rPr>
              <w:t xml:space="preserve">Entities with non-valued seized property should also refer to FASAB Technical Release 4. </w:t>
            </w:r>
          </w:p>
          <w:p w14:paraId="64513152" w14:textId="16783344" w:rsidR="00F01E66" w:rsidRPr="005B5418" w:rsidRDefault="00F01E66" w:rsidP="005425ED">
            <w:pPr>
              <w:pStyle w:val="Table-Note"/>
              <w:spacing w:before="60" w:after="60" w:line="240" w:lineRule="auto"/>
              <w:ind w:left="-21"/>
              <w:jc w:val="left"/>
              <w:rPr>
                <w:rFonts w:cs="Arial"/>
                <w:i w:val="0"/>
                <w:spacing w:val="-1"/>
                <w:sz w:val="22"/>
                <w:szCs w:val="22"/>
              </w:rPr>
            </w:pPr>
            <w:r w:rsidRPr="005B5418">
              <w:rPr>
                <w:rFonts w:cs="Arial"/>
                <w:i w:val="0"/>
                <w:spacing w:val="-1"/>
                <w:sz w:val="22"/>
                <w:szCs w:val="22"/>
              </w:rPr>
              <w:t>Digital assets are electronic representations of value and operate as part of a complex and interconnected digital ecosystem. Crypto assets, to include cryptocurrencies, are a common subset of digital assets that use cryptographic techniques and distributed ledger technology. Digital assets also include but are not limited to stablecoins, non-fungible tokens, central bank digital currencies, security tokens, and privacy coins. (TB 2024-1, para. 8)</w:t>
            </w:r>
          </w:p>
          <w:p w14:paraId="0DC0765B" w14:textId="6805E3CF" w:rsidR="00F01E66" w:rsidRPr="005B5418" w:rsidRDefault="00F01E66" w:rsidP="005425ED">
            <w:pPr>
              <w:pStyle w:val="Table-Note"/>
              <w:spacing w:before="60" w:after="60" w:line="240" w:lineRule="auto"/>
              <w:ind w:left="-21"/>
              <w:jc w:val="left"/>
              <w:rPr>
                <w:rFonts w:cs="Arial"/>
                <w:i w:val="0"/>
                <w:spacing w:val="-1"/>
                <w:sz w:val="22"/>
                <w:szCs w:val="22"/>
              </w:rPr>
            </w:pPr>
            <w:r w:rsidRPr="005B5418">
              <w:rPr>
                <w:rFonts w:cs="Arial"/>
                <w:i w:val="0"/>
                <w:spacing w:val="-1"/>
                <w:sz w:val="22"/>
                <w:szCs w:val="22"/>
              </w:rPr>
              <w:t>Reporting entities should treat central bank digital currencies as monetary instruments and all other digital assets as nonmonetary property when applying the requirements of SFFAS 3</w:t>
            </w:r>
            <w:r w:rsidR="00C73A9B">
              <w:rPr>
                <w:rFonts w:cs="Arial"/>
                <w:i w:val="0"/>
                <w:spacing w:val="-1"/>
                <w:sz w:val="22"/>
                <w:szCs w:val="22"/>
              </w:rPr>
              <w:t>,</w:t>
            </w:r>
            <w:r w:rsidRPr="005B5418">
              <w:rPr>
                <w:rFonts w:cs="Arial"/>
                <w:i w:val="0"/>
                <w:spacing w:val="-1"/>
                <w:sz w:val="22"/>
                <w:szCs w:val="22"/>
              </w:rPr>
              <w:t xml:space="preserve"> </w:t>
            </w:r>
            <w:r w:rsidR="006E40A8" w:rsidRPr="005B5418">
              <w:rPr>
                <w:rFonts w:cs="Arial"/>
                <w:i w:val="0"/>
                <w:spacing w:val="-1"/>
                <w:sz w:val="22"/>
                <w:szCs w:val="22"/>
              </w:rPr>
              <w:t xml:space="preserve">paragraphs 57-78. </w:t>
            </w:r>
            <w:r w:rsidRPr="005B5418">
              <w:rPr>
                <w:rFonts w:cs="Arial"/>
                <w:i w:val="0"/>
                <w:spacing w:val="-1"/>
                <w:sz w:val="22"/>
                <w:szCs w:val="22"/>
              </w:rPr>
              <w:t xml:space="preserve">(TB 2024-1, </w:t>
            </w:r>
            <w:r w:rsidR="006E40A8" w:rsidRPr="005B5418">
              <w:rPr>
                <w:rFonts w:cs="Arial"/>
                <w:i w:val="0"/>
                <w:spacing w:val="-1"/>
                <w:sz w:val="22"/>
                <w:szCs w:val="22"/>
              </w:rPr>
              <w:t>para</w:t>
            </w:r>
            <w:r w:rsidR="00162271" w:rsidRPr="005B5418">
              <w:rPr>
                <w:rFonts w:cs="Arial"/>
                <w:i w:val="0"/>
                <w:spacing w:val="-1"/>
                <w:sz w:val="22"/>
                <w:szCs w:val="22"/>
              </w:rPr>
              <w:t>.</w:t>
            </w:r>
            <w:r w:rsidR="006E40A8" w:rsidRPr="005B5418">
              <w:rPr>
                <w:rFonts w:cs="Arial"/>
                <w:i w:val="0"/>
                <w:spacing w:val="-1"/>
                <w:sz w:val="22"/>
                <w:szCs w:val="22"/>
              </w:rPr>
              <w:t xml:space="preserve"> 16</w:t>
            </w:r>
            <w:r w:rsidRPr="005B5418">
              <w:rPr>
                <w:rFonts w:cs="Arial"/>
                <w:i w:val="0"/>
                <w:spacing w:val="-1"/>
                <w:sz w:val="22"/>
                <w:szCs w:val="22"/>
              </w:rPr>
              <w:t>)</w:t>
            </w:r>
            <w:r w:rsidR="006E40A8" w:rsidRPr="005B5418" w:rsidDel="006E40A8">
              <w:rPr>
                <w:rFonts w:cs="Arial"/>
                <w:i w:val="0"/>
                <w:spacing w:val="-1"/>
                <w:sz w:val="22"/>
                <w:szCs w:val="22"/>
              </w:rPr>
              <w:t xml:space="preserve"> </w:t>
            </w:r>
          </w:p>
          <w:p w14:paraId="40C9451F" w14:textId="649E3222" w:rsidR="00F01E66" w:rsidRPr="005B5418" w:rsidRDefault="00C5186C" w:rsidP="005425ED">
            <w:pPr>
              <w:pStyle w:val="Table-Note"/>
              <w:spacing w:after="0" w:line="240" w:lineRule="auto"/>
              <w:ind w:left="-14"/>
              <w:jc w:val="left"/>
              <w:rPr>
                <w:rFonts w:cs="Arial"/>
                <w:i w:val="0"/>
                <w:spacing w:val="-1"/>
                <w:sz w:val="22"/>
                <w:szCs w:val="22"/>
              </w:rPr>
            </w:pPr>
            <w:r w:rsidRPr="005B5418">
              <w:rPr>
                <w:rFonts w:cs="Arial"/>
                <w:i w:val="0"/>
                <w:spacing w:val="-1"/>
                <w:sz w:val="22"/>
                <w:szCs w:val="22"/>
              </w:rPr>
              <w:t>For purposes of applying the seized and forfeited property guidance in paragraphs 57-78 of</w:t>
            </w:r>
            <w:r w:rsidR="00C73A9B">
              <w:rPr>
                <w:rFonts w:cs="Arial"/>
                <w:i w:val="0"/>
                <w:spacing w:val="-1"/>
                <w:sz w:val="22"/>
                <w:szCs w:val="22"/>
              </w:rPr>
              <w:t xml:space="preserve"> </w:t>
            </w:r>
            <w:r w:rsidRPr="005B5418">
              <w:rPr>
                <w:rFonts w:cs="Arial"/>
                <w:i w:val="0"/>
                <w:spacing w:val="-1"/>
                <w:sz w:val="22"/>
                <w:szCs w:val="22"/>
              </w:rPr>
              <w:t>SFFAS 3, reporting entities should report a market value for seized and forfeited digital</w:t>
            </w:r>
            <w:r w:rsidR="00C73A9B">
              <w:rPr>
                <w:rFonts w:cs="Arial"/>
                <w:i w:val="0"/>
                <w:spacing w:val="-1"/>
                <w:sz w:val="22"/>
                <w:szCs w:val="22"/>
              </w:rPr>
              <w:t xml:space="preserve"> </w:t>
            </w:r>
            <w:r w:rsidRPr="005B5418">
              <w:rPr>
                <w:rFonts w:cs="Arial"/>
                <w:i w:val="0"/>
                <w:spacing w:val="-1"/>
                <w:sz w:val="22"/>
                <w:szCs w:val="22"/>
              </w:rPr>
              <w:t>assets based on a publicly observable active market for the specific digital asset. (TB 2024-1, para. 23)</w:t>
            </w:r>
          </w:p>
          <w:p w14:paraId="13FA8F0F" w14:textId="6DA59E0B" w:rsidR="00BA0E27" w:rsidRPr="005B5418" w:rsidRDefault="00BA0E27" w:rsidP="008A2EF3">
            <w:pPr>
              <w:pStyle w:val="Table-Note"/>
              <w:spacing w:before="60" w:after="60" w:line="240" w:lineRule="auto"/>
              <w:ind w:left="-21"/>
              <w:jc w:val="left"/>
              <w:rPr>
                <w:rFonts w:cs="Arial"/>
                <w:i w:val="0"/>
                <w:sz w:val="22"/>
                <w:szCs w:val="22"/>
              </w:rPr>
            </w:pPr>
          </w:p>
        </w:tc>
      </w:tr>
      <w:tr w:rsidR="00BA0E27" w:rsidRPr="005B5418" w14:paraId="0A019F8E" w14:textId="77777777" w:rsidTr="008848DA">
        <w:trPr>
          <w:trHeight w:val="332"/>
        </w:trPr>
        <w:tc>
          <w:tcPr>
            <w:tcW w:w="9581" w:type="dxa"/>
            <w:gridSpan w:val="4"/>
          </w:tcPr>
          <w:p w14:paraId="04CEBBA7" w14:textId="77777777" w:rsidR="00BA0E27" w:rsidRPr="005B5418" w:rsidRDefault="00BA0E27" w:rsidP="00BA0E27">
            <w:pPr>
              <w:spacing w:line="240" w:lineRule="auto"/>
              <w:rPr>
                <w:rFonts w:ascii="Arial" w:hAnsi="Arial" w:cs="Arial"/>
                <w:b/>
              </w:rPr>
            </w:pPr>
            <w:r w:rsidRPr="005B5418">
              <w:rPr>
                <w:rFonts w:ascii="Arial" w:hAnsi="Arial" w:cs="Arial"/>
                <w:b/>
              </w:rPr>
              <w:t>Accounting</w:t>
            </w:r>
          </w:p>
        </w:tc>
      </w:tr>
      <w:tr w:rsidR="00BA0E27" w:rsidRPr="005B5418" w14:paraId="5574798B" w14:textId="77777777" w:rsidTr="005425ED">
        <w:trPr>
          <w:trHeight w:val="917"/>
        </w:trPr>
        <w:tc>
          <w:tcPr>
            <w:tcW w:w="5404" w:type="dxa"/>
          </w:tcPr>
          <w:p w14:paraId="7B52D2AA" w14:textId="3926AE45" w:rsidR="00BA0E27" w:rsidRPr="005B5418" w:rsidRDefault="00BA0E27" w:rsidP="005425ED">
            <w:pPr>
              <w:pStyle w:val="FAM-Table-outline"/>
              <w:spacing w:line="240" w:lineRule="auto"/>
              <w:rPr>
                <w:rFonts w:eastAsia="Arial Unicode MS" w:cs="Arial"/>
                <w:szCs w:val="22"/>
              </w:rPr>
            </w:pPr>
            <w:r w:rsidRPr="005B5418">
              <w:rPr>
                <w:rFonts w:eastAsia="Arial Unicode MS"/>
              </w:rPr>
              <w:t>Is seized property accounted for by the entity that is operating as the central fund? (SFFAS 3, par</w:t>
            </w:r>
            <w:r w:rsidR="00D5371E" w:rsidRPr="005B5418">
              <w:rPr>
                <w:rFonts w:eastAsia="Arial Unicode MS"/>
              </w:rPr>
              <w:t>a</w:t>
            </w:r>
            <w:r w:rsidRPr="005B5418">
              <w:rPr>
                <w:rFonts w:eastAsia="Arial Unicode MS"/>
              </w:rPr>
              <w:t>. 60)</w:t>
            </w:r>
          </w:p>
        </w:tc>
        <w:tc>
          <w:tcPr>
            <w:tcW w:w="965" w:type="dxa"/>
          </w:tcPr>
          <w:p w14:paraId="3368B9EC" w14:textId="77777777" w:rsidR="00BA0E27" w:rsidRPr="005B5418" w:rsidRDefault="00BA0E27" w:rsidP="00BA0E27">
            <w:pPr>
              <w:pStyle w:val="Table-Cell-CenterBoldBefore6ptAfter6pt"/>
              <w:rPr>
                <w:rFonts w:cs="Arial"/>
              </w:rPr>
            </w:pPr>
          </w:p>
        </w:tc>
        <w:tc>
          <w:tcPr>
            <w:tcW w:w="3212" w:type="dxa"/>
            <w:gridSpan w:val="2"/>
          </w:tcPr>
          <w:p w14:paraId="53B15771" w14:textId="77777777" w:rsidR="00BA0E27" w:rsidRPr="005B5418" w:rsidRDefault="00BA0E27" w:rsidP="00BA0E27">
            <w:pPr>
              <w:pStyle w:val="Table-Cell-Left"/>
              <w:spacing w:line="240" w:lineRule="auto"/>
              <w:rPr>
                <w:rFonts w:cs="Arial"/>
              </w:rPr>
            </w:pPr>
          </w:p>
        </w:tc>
      </w:tr>
      <w:tr w:rsidR="00BA0E27" w:rsidRPr="005B5418" w14:paraId="02A37939" w14:textId="77777777" w:rsidTr="005425ED">
        <w:trPr>
          <w:trHeight w:val="1322"/>
        </w:trPr>
        <w:tc>
          <w:tcPr>
            <w:tcW w:w="5404" w:type="dxa"/>
          </w:tcPr>
          <w:p w14:paraId="7067AE1F" w14:textId="06672FA9" w:rsidR="00BA0E27" w:rsidRPr="005B5418" w:rsidRDefault="00BA0E27" w:rsidP="005425ED">
            <w:pPr>
              <w:pStyle w:val="FAM-Table-outline"/>
              <w:spacing w:line="240" w:lineRule="auto"/>
              <w:rPr>
                <w:rFonts w:eastAsia="Arial Unicode MS" w:cs="Arial"/>
                <w:szCs w:val="22"/>
              </w:rPr>
            </w:pPr>
            <w:r w:rsidRPr="005B5418">
              <w:rPr>
                <w:rFonts w:eastAsia="Arial Unicode MS"/>
              </w:rPr>
              <w:t>Are monetary instruments recognized as an asset when seized and is a liability for the seized monetary instruments reported in “Other Liabilities” in an amount equal to the seized asset value?</w:t>
            </w:r>
            <w:r w:rsidR="00D82B90" w:rsidRPr="005B5418">
              <w:rPr>
                <w:rStyle w:val="FootnoteReference"/>
                <w:rFonts w:eastAsia="Arial Unicode MS"/>
              </w:rPr>
              <w:footnoteReference w:id="121"/>
            </w:r>
            <w:r w:rsidRPr="005B5418">
              <w:rPr>
                <w:rFonts w:eastAsia="Arial Unicode MS"/>
              </w:rPr>
              <w:t xml:space="preserve"> (SFFAS 3, par</w:t>
            </w:r>
            <w:r w:rsidR="00D5371E" w:rsidRPr="005B5418">
              <w:rPr>
                <w:rFonts w:eastAsia="Arial Unicode MS"/>
              </w:rPr>
              <w:t>a</w:t>
            </w:r>
            <w:r w:rsidRPr="005B5418">
              <w:rPr>
                <w:rFonts w:eastAsia="Arial Unicode MS"/>
              </w:rPr>
              <w:t>. 61)</w:t>
            </w:r>
          </w:p>
        </w:tc>
        <w:tc>
          <w:tcPr>
            <w:tcW w:w="965" w:type="dxa"/>
          </w:tcPr>
          <w:p w14:paraId="548FD94A" w14:textId="77777777" w:rsidR="00BA0E27" w:rsidRPr="005B5418" w:rsidRDefault="00BA0E27" w:rsidP="00BA0E27">
            <w:pPr>
              <w:pStyle w:val="Table-Cell-CenterBoldBefore6ptAfter6pt"/>
              <w:rPr>
                <w:rFonts w:cs="Arial"/>
              </w:rPr>
            </w:pPr>
          </w:p>
        </w:tc>
        <w:tc>
          <w:tcPr>
            <w:tcW w:w="3212" w:type="dxa"/>
            <w:gridSpan w:val="2"/>
          </w:tcPr>
          <w:p w14:paraId="2D8FD9CE" w14:textId="77777777" w:rsidR="00BA0E27" w:rsidRPr="005B5418" w:rsidRDefault="00BA0E27" w:rsidP="00BA0E27">
            <w:pPr>
              <w:pStyle w:val="Table-Cell-Left"/>
              <w:spacing w:line="240" w:lineRule="auto"/>
              <w:rPr>
                <w:rFonts w:cs="Arial"/>
              </w:rPr>
            </w:pPr>
          </w:p>
        </w:tc>
      </w:tr>
      <w:tr w:rsidR="00BA0E27" w:rsidRPr="005B5418" w14:paraId="4BE8607F" w14:textId="77777777" w:rsidTr="005425ED">
        <w:trPr>
          <w:trHeight w:val="1151"/>
        </w:trPr>
        <w:tc>
          <w:tcPr>
            <w:tcW w:w="5404" w:type="dxa"/>
          </w:tcPr>
          <w:p w14:paraId="546E3AD3" w14:textId="5D0C01DB" w:rsidR="00BA0E27" w:rsidRPr="005B5418" w:rsidRDefault="00BA0E27" w:rsidP="005425ED">
            <w:pPr>
              <w:pStyle w:val="FAM-Table-outline"/>
              <w:spacing w:line="240" w:lineRule="auto"/>
              <w:rPr>
                <w:rFonts w:eastAsia="Arial Unicode MS" w:cs="Arial"/>
                <w:szCs w:val="22"/>
              </w:rPr>
            </w:pPr>
            <w:r w:rsidRPr="005B5418">
              <w:rPr>
                <w:rFonts w:eastAsia="Arial Unicode MS"/>
              </w:rPr>
              <w:lastRenderedPageBreak/>
              <w:t xml:space="preserve">If monetary instruments are seized, are seized assets recognized at market value and </w:t>
            </w:r>
            <w:r w:rsidR="00D5371E" w:rsidRPr="005B5418">
              <w:rPr>
                <w:rFonts w:eastAsia="Arial Unicode MS"/>
              </w:rPr>
              <w:t xml:space="preserve">is </w:t>
            </w:r>
            <w:r w:rsidRPr="005B5418">
              <w:rPr>
                <w:rFonts w:eastAsia="Arial Unicode MS"/>
              </w:rPr>
              <w:t>a liability equal to the seized asset value established? (SFFAS 3, par</w:t>
            </w:r>
            <w:r w:rsidR="00D5371E" w:rsidRPr="005B5418">
              <w:rPr>
                <w:rFonts w:eastAsia="Arial Unicode MS"/>
              </w:rPr>
              <w:t>as</w:t>
            </w:r>
            <w:r w:rsidRPr="005B5418">
              <w:rPr>
                <w:rFonts w:eastAsia="Arial Unicode MS"/>
              </w:rPr>
              <w:t>. 61 and 65)</w:t>
            </w:r>
          </w:p>
        </w:tc>
        <w:tc>
          <w:tcPr>
            <w:tcW w:w="965" w:type="dxa"/>
          </w:tcPr>
          <w:p w14:paraId="23D3968F" w14:textId="77777777" w:rsidR="00BA0E27" w:rsidRPr="005B5418" w:rsidRDefault="00BA0E27" w:rsidP="00BA0E27">
            <w:pPr>
              <w:pStyle w:val="Table-Cell-CenterBoldBefore6ptAfter6pt"/>
              <w:rPr>
                <w:rFonts w:cs="Arial"/>
              </w:rPr>
            </w:pPr>
          </w:p>
        </w:tc>
        <w:tc>
          <w:tcPr>
            <w:tcW w:w="3212" w:type="dxa"/>
            <w:gridSpan w:val="2"/>
          </w:tcPr>
          <w:p w14:paraId="0743B7A1" w14:textId="77777777" w:rsidR="00BA0E27" w:rsidRPr="005B5418" w:rsidRDefault="00BA0E27" w:rsidP="00BA0E27">
            <w:pPr>
              <w:pStyle w:val="Table-Cell-Left"/>
              <w:spacing w:line="240" w:lineRule="auto"/>
              <w:rPr>
                <w:rFonts w:cs="Arial"/>
              </w:rPr>
            </w:pPr>
          </w:p>
        </w:tc>
      </w:tr>
      <w:tr w:rsidR="00BA0E27" w:rsidRPr="005B5418" w14:paraId="222703D9" w14:textId="77777777" w:rsidTr="005425ED">
        <w:trPr>
          <w:trHeight w:val="1151"/>
        </w:trPr>
        <w:tc>
          <w:tcPr>
            <w:tcW w:w="5404" w:type="dxa"/>
          </w:tcPr>
          <w:p w14:paraId="2CCACD24" w14:textId="68385BFE" w:rsidR="00BA0E27" w:rsidRPr="005B5418" w:rsidRDefault="00BA0E27" w:rsidP="005425ED">
            <w:pPr>
              <w:pStyle w:val="FAM-Table-outline"/>
              <w:spacing w:line="240" w:lineRule="auto"/>
              <w:rPr>
                <w:rFonts w:eastAsia="Arial Unicode MS"/>
              </w:rPr>
            </w:pPr>
            <w:r w:rsidRPr="005B5418">
              <w:rPr>
                <w:rFonts w:eastAsia="Arial Unicode MS"/>
              </w:rPr>
              <w:t>Is the existence of seized property other than monetary</w:t>
            </w:r>
            <w:r w:rsidR="005F7B03" w:rsidRPr="005B5418">
              <w:rPr>
                <w:rStyle w:val="FootnoteReference"/>
                <w:rFonts w:eastAsia="Arial Unicode MS"/>
              </w:rPr>
              <w:footnoteReference w:id="122"/>
            </w:r>
            <w:r w:rsidRPr="005B5418">
              <w:rPr>
                <w:rFonts w:eastAsia="Arial Unicode MS"/>
              </w:rPr>
              <w:t xml:space="preserve"> instruments accounted for in the entity’s property management records until the property is forfeited, returned, or liquidated? (SFFAS 3, par</w:t>
            </w:r>
            <w:r w:rsidR="005B3B6F" w:rsidRPr="005B5418">
              <w:rPr>
                <w:rFonts w:eastAsia="Arial Unicode MS"/>
              </w:rPr>
              <w:t>a</w:t>
            </w:r>
            <w:r w:rsidRPr="005B5418">
              <w:rPr>
                <w:rFonts w:eastAsia="Arial Unicode MS"/>
              </w:rPr>
              <w:t>. 62)</w:t>
            </w:r>
          </w:p>
        </w:tc>
        <w:tc>
          <w:tcPr>
            <w:tcW w:w="965" w:type="dxa"/>
          </w:tcPr>
          <w:p w14:paraId="7B2CB238" w14:textId="77777777" w:rsidR="00BA0E27" w:rsidRPr="005B5418" w:rsidRDefault="00BA0E27" w:rsidP="00BA0E27">
            <w:pPr>
              <w:pStyle w:val="Table-Cell-CenterBoldBefore6ptAfter6pt"/>
              <w:rPr>
                <w:rFonts w:cs="Arial"/>
              </w:rPr>
            </w:pPr>
          </w:p>
        </w:tc>
        <w:tc>
          <w:tcPr>
            <w:tcW w:w="3212" w:type="dxa"/>
            <w:gridSpan w:val="2"/>
          </w:tcPr>
          <w:p w14:paraId="7CBE0DDE" w14:textId="77777777" w:rsidR="00BA0E27" w:rsidRPr="005B5418" w:rsidRDefault="00BA0E27" w:rsidP="00BA0E27">
            <w:pPr>
              <w:pStyle w:val="Table-Cell-Left"/>
              <w:spacing w:line="240" w:lineRule="auto"/>
              <w:rPr>
                <w:rFonts w:cs="Arial"/>
              </w:rPr>
            </w:pPr>
          </w:p>
        </w:tc>
      </w:tr>
      <w:tr w:rsidR="00BA0E27" w:rsidRPr="005B5418" w14:paraId="601BE165" w14:textId="77777777" w:rsidTr="005425ED">
        <w:trPr>
          <w:trHeight w:val="1151"/>
        </w:trPr>
        <w:tc>
          <w:tcPr>
            <w:tcW w:w="5404" w:type="dxa"/>
          </w:tcPr>
          <w:p w14:paraId="4DCB5B98" w14:textId="2BAD135C" w:rsidR="00BA0E27" w:rsidRPr="005B5418" w:rsidRDefault="00BA0E27" w:rsidP="005425ED">
            <w:pPr>
              <w:pStyle w:val="FAM-Table-outline"/>
              <w:spacing w:line="240" w:lineRule="auto"/>
              <w:rPr>
                <w:rFonts w:eastAsia="Arial Unicode MS"/>
              </w:rPr>
            </w:pPr>
            <w:r w:rsidRPr="005B5418">
              <w:rPr>
                <w:rFonts w:eastAsia="Arial Unicode MS"/>
              </w:rPr>
              <w:t>Is seized property valued at its market value</w:t>
            </w:r>
            <w:r w:rsidR="005F7B03" w:rsidRPr="005B5418">
              <w:rPr>
                <w:rStyle w:val="FootnoteReference"/>
                <w:rFonts w:eastAsia="Arial Unicode MS"/>
              </w:rPr>
              <w:footnoteReference w:id="123"/>
            </w:r>
            <w:r w:rsidRPr="005B5418">
              <w:rPr>
                <w:rFonts w:eastAsia="Arial Unicode MS"/>
              </w:rPr>
              <w:t xml:space="preserve"> when seized (or as soon thereafter as reasonably possible if the market value cannot be readily determined)? (SFFAS 3, par</w:t>
            </w:r>
            <w:r w:rsidR="005B3B6F" w:rsidRPr="005B5418">
              <w:rPr>
                <w:rFonts w:eastAsia="Arial Unicode MS"/>
              </w:rPr>
              <w:t>a</w:t>
            </w:r>
            <w:r w:rsidRPr="005B5418">
              <w:rPr>
                <w:rFonts w:eastAsia="Arial Unicode MS"/>
              </w:rPr>
              <w:t>. 63)</w:t>
            </w:r>
          </w:p>
        </w:tc>
        <w:tc>
          <w:tcPr>
            <w:tcW w:w="965" w:type="dxa"/>
          </w:tcPr>
          <w:p w14:paraId="0D85C62A" w14:textId="77777777" w:rsidR="00BA0E27" w:rsidRPr="005B5418" w:rsidRDefault="00BA0E27" w:rsidP="00BA0E27">
            <w:pPr>
              <w:pStyle w:val="Table-Cell-CenterBoldBefore6ptAfter6pt"/>
              <w:rPr>
                <w:rFonts w:cs="Arial"/>
              </w:rPr>
            </w:pPr>
          </w:p>
        </w:tc>
        <w:tc>
          <w:tcPr>
            <w:tcW w:w="3212" w:type="dxa"/>
            <w:gridSpan w:val="2"/>
          </w:tcPr>
          <w:p w14:paraId="600FFAF8" w14:textId="77777777" w:rsidR="00BA0E27" w:rsidRPr="005B5418" w:rsidRDefault="00BA0E27" w:rsidP="00BA0E27">
            <w:pPr>
              <w:pStyle w:val="Table-Cell-Left"/>
              <w:spacing w:line="240" w:lineRule="auto"/>
              <w:rPr>
                <w:rFonts w:cs="Arial"/>
              </w:rPr>
            </w:pPr>
          </w:p>
        </w:tc>
      </w:tr>
      <w:tr w:rsidR="00BA0E27" w:rsidRPr="005B5418" w14:paraId="5DA1D746" w14:textId="77777777" w:rsidTr="005425ED">
        <w:trPr>
          <w:trHeight w:val="1151"/>
        </w:trPr>
        <w:tc>
          <w:tcPr>
            <w:tcW w:w="5404" w:type="dxa"/>
          </w:tcPr>
          <w:p w14:paraId="28A2CFB6" w14:textId="6F04D3FC" w:rsidR="00BA0E27" w:rsidRPr="005B5418" w:rsidRDefault="00BA0E27" w:rsidP="005425ED">
            <w:pPr>
              <w:pStyle w:val="FAM-Table-outline"/>
              <w:spacing w:line="240" w:lineRule="auto"/>
              <w:rPr>
                <w:rFonts w:eastAsia="Arial Unicode MS"/>
              </w:rPr>
            </w:pPr>
            <w:r w:rsidRPr="005B5418">
              <w:rPr>
                <w:rFonts w:eastAsia="Arial Unicode MS"/>
              </w:rPr>
              <w:t>If no active market exists for the property in the area in which it was seized, is a value in the principal market nearest the place of seizure used? (SFFAS 3, par</w:t>
            </w:r>
            <w:r w:rsidR="005B3B6F" w:rsidRPr="005B5418">
              <w:rPr>
                <w:rFonts w:eastAsia="Arial Unicode MS"/>
              </w:rPr>
              <w:t>a</w:t>
            </w:r>
            <w:r w:rsidRPr="005B5418">
              <w:rPr>
                <w:rFonts w:eastAsia="Arial Unicode MS"/>
              </w:rPr>
              <w:t>. 63)</w:t>
            </w:r>
          </w:p>
        </w:tc>
        <w:tc>
          <w:tcPr>
            <w:tcW w:w="965" w:type="dxa"/>
          </w:tcPr>
          <w:p w14:paraId="090741CD" w14:textId="77777777" w:rsidR="00BA0E27" w:rsidRPr="005B5418" w:rsidRDefault="00BA0E27" w:rsidP="00BA0E27">
            <w:pPr>
              <w:pStyle w:val="Table-Cell-CenterBoldBefore6ptAfter6pt"/>
              <w:rPr>
                <w:rFonts w:cs="Arial"/>
              </w:rPr>
            </w:pPr>
          </w:p>
        </w:tc>
        <w:tc>
          <w:tcPr>
            <w:tcW w:w="3212" w:type="dxa"/>
            <w:gridSpan w:val="2"/>
          </w:tcPr>
          <w:p w14:paraId="7674104A" w14:textId="77777777" w:rsidR="00BA0E27" w:rsidRPr="005B5418" w:rsidRDefault="00BA0E27" w:rsidP="00BA0E27">
            <w:pPr>
              <w:pStyle w:val="Table-Cell-Left"/>
              <w:spacing w:line="240" w:lineRule="auto"/>
              <w:rPr>
                <w:rFonts w:cs="Arial"/>
              </w:rPr>
            </w:pPr>
          </w:p>
        </w:tc>
      </w:tr>
      <w:tr w:rsidR="00BA0E27" w:rsidRPr="005B5418" w14:paraId="3CAA4ECD" w14:textId="77777777" w:rsidTr="005425ED">
        <w:trPr>
          <w:trHeight w:val="1151"/>
        </w:trPr>
        <w:tc>
          <w:tcPr>
            <w:tcW w:w="5404" w:type="dxa"/>
          </w:tcPr>
          <w:p w14:paraId="24CC83F4" w14:textId="54590941" w:rsidR="00BA0E27" w:rsidRPr="005B5418" w:rsidRDefault="00BA0E27" w:rsidP="005425ED">
            <w:pPr>
              <w:pStyle w:val="FAM-Table-outline"/>
              <w:spacing w:line="240" w:lineRule="auto"/>
              <w:rPr>
                <w:rFonts w:eastAsia="Arial Unicode MS"/>
              </w:rPr>
            </w:pPr>
            <w:r w:rsidRPr="005B5418">
              <w:rPr>
                <w:rFonts w:eastAsia="Arial Unicode MS"/>
              </w:rPr>
              <w:t>Is the valuation of property seized under the Internal Revenue Code based on the taxpayer’s equity (market value less any third-party liens)? (SFFAS 3, par</w:t>
            </w:r>
            <w:r w:rsidR="005B3B6F" w:rsidRPr="005B5418">
              <w:rPr>
                <w:rFonts w:eastAsia="Arial Unicode MS"/>
              </w:rPr>
              <w:t>a</w:t>
            </w:r>
            <w:r w:rsidRPr="005B5418">
              <w:rPr>
                <w:rFonts w:eastAsia="Arial Unicode MS"/>
              </w:rPr>
              <w:t>. 64)</w:t>
            </w:r>
          </w:p>
        </w:tc>
        <w:tc>
          <w:tcPr>
            <w:tcW w:w="965" w:type="dxa"/>
          </w:tcPr>
          <w:p w14:paraId="54EEF437" w14:textId="77777777" w:rsidR="00BA0E27" w:rsidRPr="005B5418" w:rsidRDefault="00BA0E27" w:rsidP="00BA0E27">
            <w:pPr>
              <w:pStyle w:val="Table-Cell-CenterBoldBefore6ptAfter6pt"/>
              <w:rPr>
                <w:rFonts w:cs="Arial"/>
              </w:rPr>
            </w:pPr>
          </w:p>
        </w:tc>
        <w:tc>
          <w:tcPr>
            <w:tcW w:w="3212" w:type="dxa"/>
            <w:gridSpan w:val="2"/>
          </w:tcPr>
          <w:p w14:paraId="6E1BD43E" w14:textId="77777777" w:rsidR="00BA0E27" w:rsidRPr="005B5418" w:rsidRDefault="00BA0E27" w:rsidP="00BA0E27">
            <w:pPr>
              <w:pStyle w:val="Table-Cell-Left"/>
              <w:spacing w:line="240" w:lineRule="auto"/>
              <w:rPr>
                <w:rFonts w:cs="Arial"/>
              </w:rPr>
            </w:pPr>
          </w:p>
        </w:tc>
      </w:tr>
      <w:tr w:rsidR="00BA0E27" w:rsidRPr="005B5418" w14:paraId="00B818CF" w14:textId="77777777" w:rsidTr="008848DA">
        <w:trPr>
          <w:trHeight w:val="332"/>
        </w:trPr>
        <w:tc>
          <w:tcPr>
            <w:tcW w:w="9581" w:type="dxa"/>
            <w:gridSpan w:val="4"/>
          </w:tcPr>
          <w:p w14:paraId="6C9DE71C" w14:textId="77777777" w:rsidR="00BA0E27" w:rsidRPr="005B5418" w:rsidRDefault="00BA0E27" w:rsidP="00BA0E27">
            <w:pPr>
              <w:spacing w:line="240" w:lineRule="auto"/>
              <w:rPr>
                <w:rFonts w:ascii="Arial" w:hAnsi="Arial" w:cs="Arial"/>
                <w:b/>
              </w:rPr>
            </w:pPr>
            <w:r w:rsidRPr="005B5418">
              <w:rPr>
                <w:rFonts w:ascii="Arial" w:hAnsi="Arial" w:cs="Arial"/>
                <w:b/>
              </w:rPr>
              <w:t>Disclosure</w:t>
            </w:r>
          </w:p>
        </w:tc>
      </w:tr>
      <w:tr w:rsidR="00BA0E27" w:rsidRPr="005B5418" w14:paraId="1A747528" w14:textId="77777777" w:rsidTr="005425ED">
        <w:trPr>
          <w:trHeight w:val="728"/>
        </w:trPr>
        <w:tc>
          <w:tcPr>
            <w:tcW w:w="5404" w:type="dxa"/>
          </w:tcPr>
          <w:p w14:paraId="319C6596" w14:textId="1C2F544E" w:rsidR="00BA0E27" w:rsidRPr="005B5418" w:rsidRDefault="00BA0E27" w:rsidP="005425ED">
            <w:pPr>
              <w:pStyle w:val="FAM-Table-outline"/>
              <w:spacing w:line="240" w:lineRule="auto"/>
              <w:rPr>
                <w:rFonts w:eastAsia="Arial Unicode MS" w:cs="Arial"/>
                <w:szCs w:val="22"/>
              </w:rPr>
            </w:pPr>
            <w:r w:rsidRPr="005B5418">
              <w:rPr>
                <w:rFonts w:eastAsia="Arial Unicode MS"/>
              </w:rPr>
              <w:t>Is seized property disclosed in a note to the financial statements? (SFFAS 3, par</w:t>
            </w:r>
            <w:r w:rsidR="005B3B6F" w:rsidRPr="005B5418">
              <w:rPr>
                <w:rFonts w:eastAsia="Arial Unicode MS"/>
              </w:rPr>
              <w:t>a</w:t>
            </w:r>
            <w:r w:rsidRPr="005B5418">
              <w:rPr>
                <w:rFonts w:eastAsia="Arial Unicode MS"/>
              </w:rPr>
              <w:t>. 62)</w:t>
            </w:r>
          </w:p>
        </w:tc>
        <w:tc>
          <w:tcPr>
            <w:tcW w:w="965" w:type="dxa"/>
          </w:tcPr>
          <w:p w14:paraId="57F201A9" w14:textId="77777777" w:rsidR="00BA0E27" w:rsidRPr="005B5418" w:rsidRDefault="00BA0E27" w:rsidP="00BA0E27">
            <w:pPr>
              <w:pStyle w:val="Table-Cell-CenterBoldBefore6ptAfter6pt"/>
              <w:rPr>
                <w:rFonts w:cs="Arial"/>
              </w:rPr>
            </w:pPr>
          </w:p>
        </w:tc>
        <w:tc>
          <w:tcPr>
            <w:tcW w:w="3212" w:type="dxa"/>
            <w:gridSpan w:val="2"/>
          </w:tcPr>
          <w:p w14:paraId="7A369163" w14:textId="77777777" w:rsidR="00BA0E27" w:rsidRPr="005B5418" w:rsidRDefault="00BA0E27" w:rsidP="00BA0E27">
            <w:pPr>
              <w:pStyle w:val="Table-Cell-Left"/>
              <w:spacing w:line="240" w:lineRule="auto"/>
              <w:rPr>
                <w:rFonts w:cs="Arial"/>
              </w:rPr>
            </w:pPr>
          </w:p>
        </w:tc>
      </w:tr>
      <w:tr w:rsidR="00BA0E27" w:rsidRPr="005B5418" w14:paraId="1558B1E6" w14:textId="77777777" w:rsidTr="005425ED">
        <w:trPr>
          <w:trHeight w:val="3437"/>
        </w:trPr>
        <w:tc>
          <w:tcPr>
            <w:tcW w:w="5404" w:type="dxa"/>
          </w:tcPr>
          <w:p w14:paraId="00BF527B" w14:textId="717B4DA9" w:rsidR="00BA0E27" w:rsidRPr="005B5418" w:rsidRDefault="00BA0E27" w:rsidP="005425ED">
            <w:pPr>
              <w:pStyle w:val="FAM-Table-outline"/>
              <w:spacing w:line="240" w:lineRule="auto"/>
              <w:rPr>
                <w:rFonts w:eastAsia="Arial Unicode MS"/>
              </w:rPr>
            </w:pPr>
            <w:r w:rsidRPr="005B5418">
              <w:rPr>
                <w:rFonts w:eastAsia="Arial Unicode MS"/>
              </w:rPr>
              <w:lastRenderedPageBreak/>
              <w:t>Does entity</w:t>
            </w:r>
            <w:r w:rsidR="00F01E66" w:rsidRPr="005B5418">
              <w:rPr>
                <w:rStyle w:val="FootnoteReference"/>
                <w:rFonts w:eastAsia="Arial Unicode MS"/>
              </w:rPr>
              <w:footnoteReference w:id="124"/>
            </w:r>
            <w:r w:rsidRPr="005B5418">
              <w:rPr>
                <w:rFonts w:eastAsia="Arial Unicode MS"/>
              </w:rPr>
              <w:t xml:space="preserve"> disclosure of seized property by type in its custody include</w:t>
            </w:r>
          </w:p>
          <w:p w14:paraId="46CBEF15"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explanation of what constitutes a seizure and a general description of the composition of seized property;</w:t>
            </w:r>
          </w:p>
          <w:p w14:paraId="189FCD87"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valuation method(s);</w:t>
            </w:r>
          </w:p>
          <w:p w14:paraId="459C6B44"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changes from prior years’ accounting methods;</w:t>
            </w:r>
          </w:p>
          <w:p w14:paraId="1CCBE486" w14:textId="0EC4AA6E"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analysis by type of seized property (e.g., monetary instruments, real property,</w:t>
            </w:r>
            <w:r w:rsidR="005B3B6F" w:rsidRPr="005B5418">
              <w:rPr>
                <w:rFonts w:eastAsia="Arial Unicode MS" w:cs="Arial"/>
                <w:szCs w:val="22"/>
              </w:rPr>
              <w:t xml:space="preserve"> or</w:t>
            </w:r>
            <w:r w:rsidRPr="005B5418">
              <w:rPr>
                <w:rFonts w:eastAsia="Arial Unicode MS" w:cs="Arial"/>
                <w:szCs w:val="22"/>
              </w:rPr>
              <w:t xml:space="preserve"> tangible personal property) of change in seized property, including dollar value and number of seized properties, that are</w:t>
            </w:r>
          </w:p>
          <w:p w14:paraId="550AB3D5" w14:textId="77777777" w:rsidR="00BA0E27" w:rsidRPr="005B5418" w:rsidRDefault="00BA0E27" w:rsidP="005425ED">
            <w:pPr>
              <w:pStyle w:val="FAM-Table-outline3"/>
              <w:widowControl/>
              <w:numPr>
                <w:ilvl w:val="2"/>
                <w:numId w:val="65"/>
              </w:numPr>
              <w:adjustRightInd/>
              <w:spacing w:before="60" w:after="60" w:line="240" w:lineRule="auto"/>
              <w:ind w:left="1606" w:hanging="432"/>
              <w:textAlignment w:val="auto"/>
              <w:rPr>
                <w:rFonts w:cs="Arial"/>
                <w:sz w:val="22"/>
                <w:szCs w:val="22"/>
              </w:rPr>
            </w:pPr>
            <w:r w:rsidRPr="005B5418">
              <w:rPr>
                <w:rFonts w:cs="Arial"/>
                <w:sz w:val="22"/>
                <w:szCs w:val="22"/>
              </w:rPr>
              <w:t>on hand at the start of the year,</w:t>
            </w:r>
          </w:p>
          <w:p w14:paraId="16A1D357" w14:textId="77777777" w:rsidR="00BA0E27" w:rsidRPr="005B5418" w:rsidRDefault="00BA0E27" w:rsidP="005425ED">
            <w:pPr>
              <w:pStyle w:val="FAM-Table-outline3"/>
              <w:widowControl/>
              <w:numPr>
                <w:ilvl w:val="2"/>
                <w:numId w:val="65"/>
              </w:numPr>
              <w:adjustRightInd/>
              <w:spacing w:before="60" w:after="60" w:line="240" w:lineRule="auto"/>
              <w:ind w:left="1606" w:hanging="432"/>
              <w:textAlignment w:val="auto"/>
              <w:rPr>
                <w:rFonts w:cs="Arial"/>
                <w:sz w:val="22"/>
                <w:szCs w:val="22"/>
              </w:rPr>
            </w:pPr>
            <w:r w:rsidRPr="005B5418">
              <w:rPr>
                <w:rFonts w:cs="Arial"/>
                <w:sz w:val="22"/>
                <w:szCs w:val="22"/>
              </w:rPr>
              <w:t>seized during the year,</w:t>
            </w:r>
          </w:p>
          <w:p w14:paraId="593565BA" w14:textId="77777777" w:rsidR="00BA0E27" w:rsidRPr="005B5418" w:rsidRDefault="00BA0E27" w:rsidP="005425ED">
            <w:pPr>
              <w:pStyle w:val="FAM-Table-outline3"/>
              <w:widowControl/>
              <w:numPr>
                <w:ilvl w:val="2"/>
                <w:numId w:val="65"/>
              </w:numPr>
              <w:adjustRightInd/>
              <w:spacing w:before="60" w:after="60" w:line="240" w:lineRule="auto"/>
              <w:ind w:left="1606" w:hanging="432"/>
              <w:textAlignment w:val="auto"/>
              <w:rPr>
                <w:rFonts w:cs="Arial"/>
                <w:sz w:val="22"/>
                <w:szCs w:val="22"/>
              </w:rPr>
            </w:pPr>
            <w:r w:rsidRPr="005B5418">
              <w:rPr>
                <w:rFonts w:cs="Arial"/>
                <w:sz w:val="22"/>
                <w:szCs w:val="22"/>
              </w:rPr>
              <w:t>disposed of during the year,</w:t>
            </w:r>
          </w:p>
          <w:p w14:paraId="708C8874" w14:textId="77777777" w:rsidR="00BA0E27" w:rsidRPr="005B5418" w:rsidRDefault="00BA0E27" w:rsidP="005425ED">
            <w:pPr>
              <w:pStyle w:val="FAM-Table-outline3"/>
              <w:widowControl/>
              <w:numPr>
                <w:ilvl w:val="2"/>
                <w:numId w:val="65"/>
              </w:numPr>
              <w:adjustRightInd/>
              <w:spacing w:before="60" w:after="60" w:line="240" w:lineRule="auto"/>
              <w:ind w:left="1606" w:hanging="432"/>
              <w:textAlignment w:val="auto"/>
              <w:rPr>
                <w:rFonts w:cs="Arial"/>
                <w:sz w:val="22"/>
                <w:szCs w:val="22"/>
              </w:rPr>
            </w:pPr>
            <w:r w:rsidRPr="005B5418">
              <w:rPr>
                <w:rFonts w:cs="Arial"/>
                <w:sz w:val="22"/>
                <w:szCs w:val="22"/>
              </w:rPr>
              <w:t>on hand at the end of the year, and</w:t>
            </w:r>
          </w:p>
          <w:p w14:paraId="334F5974" w14:textId="0D37E138" w:rsidR="001238F8" w:rsidRPr="005B5418" w:rsidRDefault="00BA0E27" w:rsidP="005425ED">
            <w:pPr>
              <w:pStyle w:val="FAM-Table-outline3"/>
              <w:widowControl/>
              <w:numPr>
                <w:ilvl w:val="2"/>
                <w:numId w:val="65"/>
              </w:numPr>
              <w:adjustRightInd/>
              <w:spacing w:before="60" w:after="60" w:line="240" w:lineRule="auto"/>
              <w:ind w:left="1606" w:hanging="432"/>
              <w:textAlignment w:val="auto"/>
              <w:rPr>
                <w:rFonts w:cs="Arial"/>
                <w:sz w:val="22"/>
                <w:szCs w:val="22"/>
              </w:rPr>
            </w:pPr>
            <w:r w:rsidRPr="005B5418">
              <w:rPr>
                <w:rFonts w:cs="Arial"/>
                <w:sz w:val="22"/>
                <w:szCs w:val="22"/>
              </w:rPr>
              <w:t xml:space="preserve">known liens or other claims against the property; </w:t>
            </w:r>
          </w:p>
          <w:p w14:paraId="0C467C8D" w14:textId="05AD005D"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information on non-valued seized property that cannot be sold due to legal restrictions, but which may be either donated or destroyed subject to the same analysis of change, in accordance with (a) </w:t>
            </w:r>
            <w:r w:rsidR="00A93766" w:rsidRPr="005B5418">
              <w:rPr>
                <w:rFonts w:eastAsia="Arial Unicode MS" w:cs="Arial"/>
                <w:szCs w:val="22"/>
              </w:rPr>
              <w:t>through</w:t>
            </w:r>
            <w:r w:rsidRPr="005B5418">
              <w:rPr>
                <w:rFonts w:eastAsia="Arial Unicode MS" w:cs="Arial"/>
                <w:szCs w:val="22"/>
              </w:rPr>
              <w:t xml:space="preserve"> (d), above?</w:t>
            </w:r>
            <w:r w:rsidRPr="005B5418">
              <w:rPr>
                <w:rFonts w:eastAsia="Arial Unicode MS" w:cs="Arial"/>
                <w:szCs w:val="22"/>
              </w:rPr>
              <w:br/>
              <w:t>(SFFAS 3, par</w:t>
            </w:r>
            <w:r w:rsidR="00A93766" w:rsidRPr="005B5418">
              <w:rPr>
                <w:rFonts w:eastAsia="Arial Unicode MS" w:cs="Arial"/>
                <w:szCs w:val="22"/>
              </w:rPr>
              <w:t>a</w:t>
            </w:r>
            <w:r w:rsidR="00EE25D9" w:rsidRPr="005B5418">
              <w:rPr>
                <w:rFonts w:eastAsia="Arial Unicode MS" w:cs="Arial"/>
                <w:szCs w:val="22"/>
              </w:rPr>
              <w:t>s</w:t>
            </w:r>
            <w:r w:rsidRPr="005B5418">
              <w:rPr>
                <w:rFonts w:eastAsia="Arial Unicode MS" w:cs="Arial"/>
                <w:szCs w:val="22"/>
              </w:rPr>
              <w:t>. 66</w:t>
            </w:r>
            <w:r w:rsidR="00620C4A" w:rsidRPr="005B5418">
              <w:rPr>
                <w:rFonts w:eastAsia="Arial Unicode MS" w:cs="Arial"/>
                <w:szCs w:val="22"/>
              </w:rPr>
              <w:t>; FASAB Technical Release 4</w:t>
            </w:r>
            <w:r w:rsidRPr="005B5418">
              <w:rPr>
                <w:rFonts w:eastAsia="Arial Unicode MS" w:cs="Arial"/>
                <w:szCs w:val="22"/>
              </w:rPr>
              <w:t>)</w:t>
            </w:r>
          </w:p>
        </w:tc>
        <w:tc>
          <w:tcPr>
            <w:tcW w:w="965" w:type="dxa"/>
          </w:tcPr>
          <w:p w14:paraId="0724D8D6" w14:textId="77777777" w:rsidR="00BA0E27" w:rsidRPr="005B5418" w:rsidRDefault="00BA0E27" w:rsidP="00BA0E27">
            <w:pPr>
              <w:pStyle w:val="Table-Cell-CenterBoldBefore6ptAfter6pt"/>
              <w:rPr>
                <w:rFonts w:cs="Arial"/>
              </w:rPr>
            </w:pPr>
          </w:p>
        </w:tc>
        <w:tc>
          <w:tcPr>
            <w:tcW w:w="3212" w:type="dxa"/>
            <w:gridSpan w:val="2"/>
          </w:tcPr>
          <w:p w14:paraId="2B9F3248" w14:textId="77777777" w:rsidR="00BA0E27" w:rsidRPr="005B5418" w:rsidRDefault="00BA0E27" w:rsidP="00BA0E27">
            <w:pPr>
              <w:pStyle w:val="Table-Cell-Left"/>
              <w:spacing w:line="240" w:lineRule="auto"/>
              <w:rPr>
                <w:rFonts w:cs="Arial"/>
              </w:rPr>
            </w:pPr>
          </w:p>
        </w:tc>
      </w:tr>
      <w:tr w:rsidR="00BA0E27" w:rsidRPr="005B5418" w14:paraId="3A7A9982" w14:textId="77777777" w:rsidTr="005425ED">
        <w:trPr>
          <w:trHeight w:val="575"/>
        </w:trPr>
        <w:tc>
          <w:tcPr>
            <w:tcW w:w="5404" w:type="dxa"/>
          </w:tcPr>
          <w:p w14:paraId="06AD91CF" w14:textId="0224214C" w:rsidR="00BA0E27" w:rsidRPr="005B5418" w:rsidRDefault="00BA0E27" w:rsidP="005425ED">
            <w:pPr>
              <w:pStyle w:val="FAM-Table-outline"/>
              <w:spacing w:line="240" w:lineRule="auto"/>
              <w:rPr>
                <w:rFonts w:eastAsia="Arial Unicode MS"/>
              </w:rPr>
            </w:pPr>
            <w:r w:rsidRPr="005B5418">
              <w:rPr>
                <w:rFonts w:eastAsia="Arial Unicode MS"/>
              </w:rPr>
              <w:t>Does the entity also disclose the method of disposal of seized property? (SFFAS 3, par</w:t>
            </w:r>
            <w:r w:rsidR="009270F5" w:rsidRPr="005B5418">
              <w:rPr>
                <w:rFonts w:eastAsia="Arial Unicode MS"/>
              </w:rPr>
              <w:t>a</w:t>
            </w:r>
            <w:r w:rsidRPr="005B5418">
              <w:rPr>
                <w:rFonts w:eastAsia="Arial Unicode MS"/>
              </w:rPr>
              <w:t>. 66)</w:t>
            </w:r>
          </w:p>
        </w:tc>
        <w:tc>
          <w:tcPr>
            <w:tcW w:w="965" w:type="dxa"/>
          </w:tcPr>
          <w:p w14:paraId="4BBF7017" w14:textId="77777777" w:rsidR="00BA0E27" w:rsidRPr="005B5418" w:rsidRDefault="00BA0E27" w:rsidP="00BA0E27">
            <w:pPr>
              <w:pStyle w:val="Table-Cell-CenterBoldBefore6ptAfter6pt"/>
              <w:rPr>
                <w:rFonts w:cs="Arial"/>
              </w:rPr>
            </w:pPr>
          </w:p>
        </w:tc>
        <w:tc>
          <w:tcPr>
            <w:tcW w:w="3212" w:type="dxa"/>
            <w:gridSpan w:val="2"/>
          </w:tcPr>
          <w:p w14:paraId="0A3BFD8C" w14:textId="77777777" w:rsidR="00BA0E27" w:rsidRPr="005B5418" w:rsidRDefault="00BA0E27" w:rsidP="00BA0E27">
            <w:pPr>
              <w:pStyle w:val="Table-Cell-Left"/>
              <w:spacing w:line="240" w:lineRule="auto"/>
              <w:rPr>
                <w:rFonts w:cs="Arial"/>
              </w:rPr>
            </w:pPr>
          </w:p>
        </w:tc>
      </w:tr>
      <w:tr w:rsidR="00142D42" w:rsidRPr="005B5418" w14:paraId="365E7F9C" w14:textId="77777777" w:rsidTr="005425ED">
        <w:trPr>
          <w:trHeight w:val="575"/>
        </w:trPr>
        <w:tc>
          <w:tcPr>
            <w:tcW w:w="5404" w:type="dxa"/>
          </w:tcPr>
          <w:p w14:paraId="11FEB39B" w14:textId="78A52632" w:rsidR="00142D42" w:rsidRPr="005B5418" w:rsidRDefault="008101F7" w:rsidP="005425ED">
            <w:pPr>
              <w:pStyle w:val="FAM-Table-outline"/>
              <w:spacing w:line="240" w:lineRule="auto"/>
              <w:rPr>
                <w:rFonts w:eastAsia="Arial Unicode MS"/>
              </w:rPr>
            </w:pPr>
            <w:r w:rsidRPr="005B5418">
              <w:rPr>
                <w:rFonts w:eastAsia="Arial Unicode MS"/>
              </w:rPr>
              <w:t xml:space="preserve">Does the entity </w:t>
            </w:r>
            <w:r w:rsidR="00B05B8F" w:rsidRPr="005B5418">
              <w:rPr>
                <w:rFonts w:eastAsia="Arial Unicode MS"/>
              </w:rPr>
              <w:t>apply the disclosure requirements of paragraph 66 of SFFAS 3 for seized digital assets</w:t>
            </w:r>
            <w:r w:rsidR="003F247E">
              <w:rPr>
                <w:rFonts w:eastAsia="Arial Unicode MS"/>
              </w:rPr>
              <w:t>,</w:t>
            </w:r>
            <w:r w:rsidR="00CF1EFD" w:rsidRPr="005B5418">
              <w:rPr>
                <w:rFonts w:eastAsia="Arial Unicode MS"/>
              </w:rPr>
              <w:t xml:space="preserve"> including disclosing the market value (at time of seizure)</w:t>
            </w:r>
            <w:r w:rsidRPr="005B5418">
              <w:rPr>
                <w:rFonts w:eastAsia="Arial Unicode MS"/>
              </w:rPr>
              <w:t xml:space="preserve">? </w:t>
            </w:r>
            <w:r w:rsidR="00142D42" w:rsidRPr="005425ED">
              <w:rPr>
                <w:rFonts w:eastAsia="Arial Unicode MS"/>
              </w:rPr>
              <w:t>(</w:t>
            </w:r>
            <w:r w:rsidR="00CF1EFD" w:rsidRPr="005B5418">
              <w:t xml:space="preserve">SFFAS 3, para. 66; </w:t>
            </w:r>
            <w:r w:rsidR="00CF1EFD" w:rsidRPr="005B5418">
              <w:rPr>
                <w:rFonts w:eastAsia="Arial Unicode MS"/>
              </w:rPr>
              <w:t>TB 2024-1, paras. 19</w:t>
            </w:r>
            <w:r w:rsidR="003F247E">
              <w:rPr>
                <w:rFonts w:eastAsia="Arial Unicode MS"/>
              </w:rPr>
              <w:t>–</w:t>
            </w:r>
            <w:r w:rsidR="00CF1EFD" w:rsidRPr="005B5418">
              <w:rPr>
                <w:rFonts w:eastAsia="Arial Unicode MS"/>
              </w:rPr>
              <w:t>26 and</w:t>
            </w:r>
            <w:r w:rsidR="00B05B8F" w:rsidRPr="005B5418">
              <w:rPr>
                <w:rFonts w:eastAsia="Arial Unicode MS"/>
              </w:rPr>
              <w:t xml:space="preserve"> 28</w:t>
            </w:r>
            <w:r w:rsidR="00AA365A" w:rsidRPr="005425ED">
              <w:rPr>
                <w:rFonts w:eastAsia="Arial Unicode MS"/>
              </w:rPr>
              <w:t>)</w:t>
            </w:r>
          </w:p>
        </w:tc>
        <w:tc>
          <w:tcPr>
            <w:tcW w:w="965" w:type="dxa"/>
          </w:tcPr>
          <w:p w14:paraId="733D0EEE" w14:textId="77777777" w:rsidR="00142D42" w:rsidRPr="005B5418" w:rsidRDefault="00142D42" w:rsidP="00BA0E27">
            <w:pPr>
              <w:pStyle w:val="Table-Cell-CenterBoldBefore6ptAfter6pt"/>
              <w:rPr>
                <w:rFonts w:cs="Arial"/>
              </w:rPr>
            </w:pPr>
          </w:p>
        </w:tc>
        <w:tc>
          <w:tcPr>
            <w:tcW w:w="3212" w:type="dxa"/>
            <w:gridSpan w:val="2"/>
          </w:tcPr>
          <w:p w14:paraId="0872C78F" w14:textId="77777777" w:rsidR="00142D42" w:rsidRPr="005B5418" w:rsidRDefault="00142D42" w:rsidP="00BA0E27">
            <w:pPr>
              <w:pStyle w:val="Table-Cell-Left"/>
              <w:spacing w:line="240" w:lineRule="auto"/>
              <w:rPr>
                <w:rFonts w:cs="Arial"/>
              </w:rPr>
            </w:pPr>
          </w:p>
        </w:tc>
      </w:tr>
      <w:tr w:rsidR="00BA0E27" w:rsidRPr="005B5418" w14:paraId="56F3DC3A" w14:textId="77777777" w:rsidTr="008848DA">
        <w:tc>
          <w:tcPr>
            <w:tcW w:w="9581" w:type="dxa"/>
            <w:gridSpan w:val="4"/>
          </w:tcPr>
          <w:p w14:paraId="0C5FEC2B" w14:textId="34BCFE00" w:rsidR="00BA0E27" w:rsidRPr="005B5418" w:rsidRDefault="00BA0E27" w:rsidP="00BA0E27">
            <w:pPr>
              <w:pStyle w:val="Heading5"/>
              <w:spacing w:line="240" w:lineRule="auto"/>
              <w:jc w:val="center"/>
              <w:rPr>
                <w:rFonts w:ascii="Arial" w:hAnsi="Arial" w:cs="Arial"/>
                <w:b/>
                <w:color w:val="auto"/>
              </w:rPr>
            </w:pPr>
            <w:bookmarkStart w:id="159" w:name="_Ref392094370"/>
            <w:bookmarkStart w:id="160" w:name="_Toc394667898"/>
            <w:bookmarkStart w:id="161" w:name="_Ref390347613"/>
            <w:r w:rsidRPr="005B5418">
              <w:rPr>
                <w:rFonts w:ascii="Arial" w:hAnsi="Arial" w:cs="Arial"/>
                <w:b/>
                <w:color w:val="auto"/>
              </w:rPr>
              <w:lastRenderedPageBreak/>
              <w:t>Forfeited Property</w:t>
            </w:r>
            <w:bookmarkEnd w:id="159"/>
            <w:bookmarkEnd w:id="160"/>
            <w:bookmarkEnd w:id="161"/>
            <w:r w:rsidR="001C3F36">
              <w:rPr>
                <w:rFonts w:ascii="Arial" w:hAnsi="Arial" w:cs="Arial"/>
                <w:b/>
                <w:color w:val="auto"/>
              </w:rPr>
              <w:t>, Including Digital Assets</w:t>
            </w:r>
          </w:p>
        </w:tc>
      </w:tr>
      <w:tr w:rsidR="00BA0E27" w:rsidRPr="005B5418" w14:paraId="6E06CBE8" w14:textId="77777777" w:rsidTr="008848DA">
        <w:tc>
          <w:tcPr>
            <w:tcW w:w="9581" w:type="dxa"/>
            <w:gridSpan w:val="4"/>
          </w:tcPr>
          <w:p w14:paraId="64547628" w14:textId="12004ECB" w:rsidR="00BA0E27" w:rsidRPr="005B5418" w:rsidRDefault="00BA0E27" w:rsidP="00D7798C">
            <w:pPr>
              <w:pStyle w:val="Table-Note"/>
              <w:spacing w:before="60" w:after="60" w:line="240" w:lineRule="auto"/>
              <w:ind w:left="0"/>
              <w:jc w:val="left"/>
              <w:rPr>
                <w:rFonts w:cs="Arial"/>
                <w:i w:val="0"/>
                <w:sz w:val="22"/>
                <w:szCs w:val="22"/>
              </w:rPr>
            </w:pPr>
            <w:r w:rsidRPr="005B5418">
              <w:rPr>
                <w:rFonts w:cs="Arial"/>
                <w:i w:val="0"/>
                <w:sz w:val="22"/>
                <w:szCs w:val="22"/>
              </w:rPr>
              <w:t>Forfeited property consists of (</w:t>
            </w:r>
            <w:r w:rsidR="00237F0B" w:rsidRPr="005B5418">
              <w:rPr>
                <w:rFonts w:cs="Arial"/>
                <w:i w:val="0"/>
                <w:sz w:val="22"/>
                <w:szCs w:val="22"/>
              </w:rPr>
              <w:t>1</w:t>
            </w:r>
            <w:r w:rsidRPr="005B5418">
              <w:rPr>
                <w:rFonts w:cs="Arial"/>
                <w:i w:val="0"/>
                <w:sz w:val="22"/>
                <w:szCs w:val="22"/>
              </w:rPr>
              <w:t>) property (i.e., monetary instruments, intangible property, real property, and tangible personal property) acquired through forfeiture proceedings, (</w:t>
            </w:r>
            <w:r w:rsidR="00237F0B" w:rsidRPr="005B5418">
              <w:rPr>
                <w:rFonts w:cs="Arial"/>
                <w:i w:val="0"/>
                <w:sz w:val="22"/>
                <w:szCs w:val="22"/>
              </w:rPr>
              <w:t>2</w:t>
            </w:r>
            <w:r w:rsidRPr="005B5418">
              <w:rPr>
                <w:rFonts w:cs="Arial"/>
                <w:i w:val="0"/>
                <w:sz w:val="22"/>
                <w:szCs w:val="22"/>
              </w:rPr>
              <w:t>) property acquired to satisfy a tax liability, and (</w:t>
            </w:r>
            <w:r w:rsidR="00237F0B" w:rsidRPr="005B5418">
              <w:rPr>
                <w:rFonts w:cs="Arial"/>
                <w:i w:val="0"/>
                <w:sz w:val="22"/>
                <w:szCs w:val="22"/>
              </w:rPr>
              <w:t>3</w:t>
            </w:r>
            <w:r w:rsidRPr="005B5418">
              <w:rPr>
                <w:rFonts w:cs="Arial"/>
                <w:i w:val="0"/>
                <w:sz w:val="22"/>
                <w:szCs w:val="22"/>
              </w:rPr>
              <w:t>) unclaimed and abandoned merchandise. (SFFAS 3, par</w:t>
            </w:r>
            <w:r w:rsidR="00237F0B" w:rsidRPr="005B5418">
              <w:rPr>
                <w:rFonts w:cs="Arial"/>
                <w:i w:val="0"/>
                <w:sz w:val="22"/>
                <w:szCs w:val="22"/>
              </w:rPr>
              <w:t>as</w:t>
            </w:r>
            <w:r w:rsidRPr="005B5418">
              <w:rPr>
                <w:rFonts w:cs="Arial"/>
                <w:i w:val="0"/>
                <w:sz w:val="22"/>
                <w:szCs w:val="22"/>
              </w:rPr>
              <w:t>. 67</w:t>
            </w:r>
            <w:r w:rsidR="00237F0B" w:rsidRPr="005B5418">
              <w:rPr>
                <w:rFonts w:cs="Arial"/>
                <w:i w:val="0"/>
                <w:sz w:val="22"/>
                <w:szCs w:val="22"/>
              </w:rPr>
              <w:t>–</w:t>
            </w:r>
            <w:r w:rsidRPr="005B5418">
              <w:rPr>
                <w:rFonts w:cs="Arial"/>
                <w:i w:val="0"/>
                <w:sz w:val="22"/>
                <w:szCs w:val="22"/>
              </w:rPr>
              <w:t>68)</w:t>
            </w:r>
          </w:p>
          <w:p w14:paraId="063AD4E8" w14:textId="4C835DFE" w:rsidR="0011108A" w:rsidRPr="005B5418" w:rsidRDefault="00BA0E27" w:rsidP="00D7798C">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Forfeited property not held for sale may be placed into official use, transferred to another federal agency, distributed to a state or local law enforcement agency, or distributed to a foreign government. (SFFAS 3, par</w:t>
            </w:r>
            <w:r w:rsidR="00237F0B" w:rsidRPr="005B5418">
              <w:rPr>
                <w:rFonts w:eastAsia="Arial Unicode MS" w:cs="Arial"/>
                <w:i w:val="0"/>
                <w:sz w:val="22"/>
                <w:szCs w:val="22"/>
              </w:rPr>
              <w:t>a</w:t>
            </w:r>
            <w:r w:rsidRPr="005B5418">
              <w:rPr>
                <w:rFonts w:eastAsia="Arial Unicode MS" w:cs="Arial"/>
                <w:i w:val="0"/>
                <w:sz w:val="22"/>
                <w:szCs w:val="22"/>
              </w:rPr>
              <w:t>. 73)</w:t>
            </w:r>
          </w:p>
          <w:p w14:paraId="66B9BD4D" w14:textId="03424993" w:rsidR="00A13499" w:rsidRPr="005B5418" w:rsidRDefault="00A13499" w:rsidP="00D7798C">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 xml:space="preserve">Entities with non-valued forfeited property should also refer to FASAB Technical Release 4. </w:t>
            </w:r>
          </w:p>
          <w:p w14:paraId="5D851896" w14:textId="6E37B037" w:rsidR="00B05B8F" w:rsidRPr="005B5418" w:rsidRDefault="00B05B8F" w:rsidP="005425ED">
            <w:pPr>
              <w:pStyle w:val="Table-Note"/>
              <w:spacing w:before="60" w:after="60" w:line="240" w:lineRule="auto"/>
              <w:ind w:left="-21"/>
              <w:jc w:val="left"/>
              <w:rPr>
                <w:rFonts w:cs="Arial"/>
                <w:i w:val="0"/>
                <w:spacing w:val="-1"/>
                <w:sz w:val="22"/>
                <w:szCs w:val="22"/>
              </w:rPr>
            </w:pPr>
            <w:r w:rsidRPr="005B5418">
              <w:rPr>
                <w:rFonts w:cs="Arial"/>
                <w:i w:val="0"/>
                <w:spacing w:val="-1"/>
                <w:sz w:val="22"/>
                <w:szCs w:val="22"/>
              </w:rPr>
              <w:t>Digital assets are electronic representations of value and operate as part of a complex and interconnected digital ecosystem. Crypto assets, to include cryptocurrencies, are a common subset of digital assets that use cryptographic techniques and distributed ledger technology. Digital assets also include but are not limited to stablecoins, non-fungible tokens, central bank digital currencies, security tokens, and privacy coins. (TB 2024-1, para. 8)</w:t>
            </w:r>
          </w:p>
          <w:p w14:paraId="507349F6" w14:textId="533C7AAE" w:rsidR="00B05B8F" w:rsidRPr="005B5418" w:rsidRDefault="00B05B8F" w:rsidP="005425ED">
            <w:pPr>
              <w:pStyle w:val="Table-Note"/>
              <w:spacing w:before="60" w:after="60" w:line="240" w:lineRule="auto"/>
              <w:ind w:left="-21"/>
              <w:jc w:val="left"/>
              <w:rPr>
                <w:rFonts w:cs="Arial"/>
                <w:i w:val="0"/>
                <w:spacing w:val="-1"/>
                <w:sz w:val="22"/>
                <w:szCs w:val="22"/>
              </w:rPr>
            </w:pPr>
            <w:r w:rsidRPr="005B5418">
              <w:rPr>
                <w:rFonts w:cs="Arial"/>
                <w:i w:val="0"/>
                <w:spacing w:val="-1"/>
                <w:sz w:val="22"/>
                <w:szCs w:val="22"/>
              </w:rPr>
              <w:t>Reporting entities should treat central bank digital currencies as monetary instruments and all other digital assets as nonmonetary property when applying the requirements of SFFAS 3</w:t>
            </w:r>
            <w:r w:rsidR="007C1AD1" w:rsidRPr="005B5418">
              <w:rPr>
                <w:rFonts w:cs="Arial"/>
                <w:i w:val="0"/>
                <w:spacing w:val="-1"/>
                <w:sz w:val="22"/>
                <w:szCs w:val="22"/>
              </w:rPr>
              <w:t>.</w:t>
            </w:r>
            <w:r w:rsidRPr="005B5418">
              <w:rPr>
                <w:rFonts w:cs="Arial"/>
                <w:i w:val="0"/>
                <w:spacing w:val="-1"/>
                <w:sz w:val="22"/>
                <w:szCs w:val="22"/>
              </w:rPr>
              <w:t xml:space="preserve"> (TB 2024-1, </w:t>
            </w:r>
            <w:r w:rsidR="007C1AD1" w:rsidRPr="005B5418">
              <w:rPr>
                <w:rFonts w:cs="Arial"/>
                <w:i w:val="0"/>
                <w:spacing w:val="-1"/>
                <w:sz w:val="22"/>
                <w:szCs w:val="22"/>
              </w:rPr>
              <w:t>para. 16</w:t>
            </w:r>
            <w:r w:rsidRPr="005B5418">
              <w:rPr>
                <w:rFonts w:cs="Arial"/>
                <w:i w:val="0"/>
                <w:spacing w:val="-1"/>
                <w:sz w:val="22"/>
                <w:szCs w:val="22"/>
              </w:rPr>
              <w:t>)</w:t>
            </w:r>
            <w:r w:rsidR="007C1AD1" w:rsidRPr="005B5418" w:rsidDel="007C1AD1">
              <w:rPr>
                <w:rFonts w:cs="Arial"/>
                <w:i w:val="0"/>
                <w:spacing w:val="-1"/>
                <w:sz w:val="22"/>
                <w:szCs w:val="22"/>
              </w:rPr>
              <w:t xml:space="preserve"> </w:t>
            </w:r>
          </w:p>
          <w:p w14:paraId="1745DB9D" w14:textId="4D09848D" w:rsidR="00BA0E27" w:rsidRPr="005B5418" w:rsidRDefault="00BA0E27" w:rsidP="005425ED">
            <w:pPr>
              <w:pStyle w:val="Table-Note"/>
              <w:spacing w:before="60" w:after="60" w:line="240" w:lineRule="auto"/>
              <w:ind w:left="-21"/>
              <w:jc w:val="left"/>
              <w:rPr>
                <w:rFonts w:cs="Arial"/>
                <w:i w:val="0"/>
                <w:sz w:val="22"/>
                <w:szCs w:val="22"/>
              </w:rPr>
            </w:pPr>
          </w:p>
        </w:tc>
      </w:tr>
      <w:tr w:rsidR="00BA0E27" w:rsidRPr="005B5418" w14:paraId="6C78B861" w14:textId="77777777" w:rsidTr="008848DA">
        <w:trPr>
          <w:trHeight w:val="305"/>
        </w:trPr>
        <w:tc>
          <w:tcPr>
            <w:tcW w:w="9581" w:type="dxa"/>
            <w:gridSpan w:val="4"/>
          </w:tcPr>
          <w:p w14:paraId="15C97420" w14:textId="77777777" w:rsidR="00BA0E27" w:rsidRPr="005B5418" w:rsidRDefault="00BA0E27" w:rsidP="00BA0E27">
            <w:pPr>
              <w:spacing w:line="240" w:lineRule="auto"/>
              <w:rPr>
                <w:rFonts w:ascii="Arial" w:hAnsi="Arial" w:cs="Arial"/>
                <w:b/>
              </w:rPr>
            </w:pPr>
            <w:r w:rsidRPr="005B5418">
              <w:rPr>
                <w:rFonts w:ascii="Arial" w:hAnsi="Arial" w:cs="Arial"/>
                <w:b/>
              </w:rPr>
              <w:t>Accounting</w:t>
            </w:r>
          </w:p>
        </w:tc>
      </w:tr>
      <w:tr w:rsidR="00BA0E27" w:rsidRPr="005B5418" w14:paraId="116E402F" w14:textId="77777777" w:rsidTr="005425ED">
        <w:trPr>
          <w:trHeight w:val="377"/>
        </w:trPr>
        <w:tc>
          <w:tcPr>
            <w:tcW w:w="5404" w:type="dxa"/>
          </w:tcPr>
          <w:p w14:paraId="6E464963" w14:textId="6D799AD2" w:rsidR="00BA0E27" w:rsidRPr="005B5418" w:rsidRDefault="00BA0E27" w:rsidP="005425ED">
            <w:pPr>
              <w:pStyle w:val="FAM-Table-outline"/>
              <w:spacing w:line="240" w:lineRule="auto"/>
              <w:rPr>
                <w:rFonts w:eastAsia="Arial Unicode MS"/>
              </w:rPr>
            </w:pPr>
            <w:r w:rsidRPr="005B5418">
              <w:rPr>
                <w:rFonts w:eastAsia="Arial Unicode MS"/>
              </w:rPr>
              <w:t>When a forfeiture judgment is obtained for seized monetary instruments</w:t>
            </w:r>
            <w:r w:rsidR="00F66186" w:rsidRPr="005B5418">
              <w:rPr>
                <w:rFonts w:eastAsia="Arial Unicode MS"/>
              </w:rPr>
              <w:t>,</w:t>
            </w:r>
          </w:p>
          <w:p w14:paraId="197A4764"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are they reclassified as forfeited monetary instruments at the current market value,</w:t>
            </w:r>
          </w:p>
          <w:p w14:paraId="03117484"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is revenue recognized in an amount equal to the value of the monetary asset, and </w:t>
            </w:r>
          </w:p>
          <w:p w14:paraId="4FAF8D5F" w14:textId="74289E82"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is the liability associated with the seized monetary instrument classification removed? (SFFAS 3, par</w:t>
            </w:r>
            <w:r w:rsidR="00F66186" w:rsidRPr="005B5418">
              <w:rPr>
                <w:rFonts w:eastAsia="Arial Unicode MS" w:cs="Arial"/>
                <w:szCs w:val="22"/>
              </w:rPr>
              <w:t>a</w:t>
            </w:r>
            <w:r w:rsidRPr="005B5418">
              <w:rPr>
                <w:rFonts w:eastAsia="Arial Unicode MS" w:cs="Arial"/>
                <w:szCs w:val="22"/>
              </w:rPr>
              <w:t>. 69)</w:t>
            </w:r>
          </w:p>
        </w:tc>
        <w:tc>
          <w:tcPr>
            <w:tcW w:w="965" w:type="dxa"/>
          </w:tcPr>
          <w:p w14:paraId="1CCF4FCE" w14:textId="77777777" w:rsidR="00BA0E27" w:rsidRPr="005B5418" w:rsidRDefault="00BA0E27" w:rsidP="00BA0E27">
            <w:pPr>
              <w:pStyle w:val="Table-Cell-CenterBoldBefore6ptAfter6pt"/>
              <w:rPr>
                <w:rFonts w:cs="Arial"/>
                <w:lang w:val="pt-BR"/>
              </w:rPr>
            </w:pPr>
          </w:p>
        </w:tc>
        <w:tc>
          <w:tcPr>
            <w:tcW w:w="3212" w:type="dxa"/>
            <w:gridSpan w:val="2"/>
          </w:tcPr>
          <w:p w14:paraId="58355798" w14:textId="77777777" w:rsidR="00BA0E27" w:rsidRPr="005B5418" w:rsidRDefault="00BA0E27" w:rsidP="00BA0E27">
            <w:pPr>
              <w:pStyle w:val="Table-Cell-Left"/>
              <w:spacing w:line="240" w:lineRule="auto"/>
              <w:rPr>
                <w:rFonts w:cs="Arial"/>
                <w:lang w:val="pt-BR"/>
              </w:rPr>
            </w:pPr>
          </w:p>
        </w:tc>
      </w:tr>
      <w:tr w:rsidR="00BA0E27" w:rsidRPr="005B5418" w14:paraId="5B61E268" w14:textId="77777777" w:rsidTr="005425ED">
        <w:trPr>
          <w:trHeight w:val="2160"/>
        </w:trPr>
        <w:tc>
          <w:tcPr>
            <w:tcW w:w="5404" w:type="dxa"/>
          </w:tcPr>
          <w:p w14:paraId="4DA0F602" w14:textId="550B3FF7" w:rsidR="00BA0E27" w:rsidRPr="005B5418" w:rsidRDefault="00BA0E27" w:rsidP="005425ED">
            <w:pPr>
              <w:pStyle w:val="FAM-Table-outline"/>
              <w:spacing w:line="240" w:lineRule="auto"/>
              <w:rPr>
                <w:rFonts w:eastAsia="Arial Unicode MS"/>
              </w:rPr>
            </w:pPr>
            <w:r w:rsidRPr="005B5418">
              <w:rPr>
                <w:rFonts w:eastAsia="Arial Unicode MS"/>
              </w:rPr>
              <w:t>When a forfeiture judgment is obtained for real, tangible, and intangible property</w:t>
            </w:r>
            <w:r w:rsidR="00F66186" w:rsidRPr="005B5418">
              <w:rPr>
                <w:rFonts w:eastAsia="Arial Unicode MS"/>
              </w:rPr>
              <w:t>,</w:t>
            </w:r>
          </w:p>
          <w:p w14:paraId="330A87A4" w14:textId="29364C92"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is the property recorded as an asset at its fair value at the time of forfeiture</w:t>
            </w:r>
            <w:r w:rsidR="00255DB5">
              <w:rPr>
                <w:rFonts w:eastAsia="Arial Unicode MS" w:cs="Arial"/>
                <w:szCs w:val="22"/>
              </w:rPr>
              <w:t>,</w:t>
            </w:r>
            <w:r w:rsidR="00D9480A" w:rsidRPr="005B5418">
              <w:rPr>
                <w:rStyle w:val="FootnoteReference"/>
                <w:rFonts w:eastAsia="Arial Unicode MS" w:cs="Arial"/>
                <w:szCs w:val="22"/>
              </w:rPr>
              <w:footnoteReference w:id="125"/>
            </w:r>
          </w:p>
          <w:p w14:paraId="36025B0C" w14:textId="4E8CD72C"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is an allowance account (contra-asset account) established for liens or claims from third</w:t>
            </w:r>
            <w:r w:rsidR="00F66186" w:rsidRPr="005B5418">
              <w:rPr>
                <w:rFonts w:eastAsia="Arial Unicode MS" w:cs="Arial"/>
                <w:szCs w:val="22"/>
              </w:rPr>
              <w:t>-</w:t>
            </w:r>
            <w:r w:rsidRPr="005B5418">
              <w:rPr>
                <w:rFonts w:eastAsia="Arial Unicode MS" w:cs="Arial"/>
                <w:szCs w:val="22"/>
              </w:rPr>
              <w:t>party claimants against forfeited property, and</w:t>
            </w:r>
          </w:p>
          <w:p w14:paraId="136BA53E" w14:textId="0E736464"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is offsetting deferred revenue </w:t>
            </w:r>
            <w:r w:rsidRPr="005B5418">
              <w:rPr>
                <w:rFonts w:eastAsia="Arial Unicode MS" w:cs="Arial"/>
                <w:szCs w:val="22"/>
              </w:rPr>
              <w:lastRenderedPageBreak/>
              <w:t>recognized? (SFFAS 3, par</w:t>
            </w:r>
            <w:r w:rsidR="00F66186" w:rsidRPr="005B5418">
              <w:rPr>
                <w:rFonts w:eastAsia="Arial Unicode MS" w:cs="Arial"/>
                <w:szCs w:val="22"/>
              </w:rPr>
              <w:t>a</w:t>
            </w:r>
            <w:r w:rsidRPr="005B5418">
              <w:rPr>
                <w:rFonts w:eastAsia="Arial Unicode MS" w:cs="Arial"/>
                <w:szCs w:val="22"/>
              </w:rPr>
              <w:t>. 70)</w:t>
            </w:r>
          </w:p>
        </w:tc>
        <w:tc>
          <w:tcPr>
            <w:tcW w:w="965" w:type="dxa"/>
          </w:tcPr>
          <w:p w14:paraId="23AEF2BF" w14:textId="77777777" w:rsidR="00BA0E27" w:rsidRPr="005B5418" w:rsidRDefault="00BA0E27" w:rsidP="00BA0E27">
            <w:pPr>
              <w:pStyle w:val="Table-Cell-CenterBoldBefore6ptAfter6pt"/>
              <w:rPr>
                <w:rFonts w:cs="Arial"/>
                <w:lang w:val="pt-BR"/>
              </w:rPr>
            </w:pPr>
          </w:p>
        </w:tc>
        <w:tc>
          <w:tcPr>
            <w:tcW w:w="3212" w:type="dxa"/>
            <w:gridSpan w:val="2"/>
          </w:tcPr>
          <w:p w14:paraId="09A35E36" w14:textId="77777777" w:rsidR="00BA0E27" w:rsidRPr="005B5418" w:rsidRDefault="00BA0E27" w:rsidP="00BA0E27">
            <w:pPr>
              <w:pStyle w:val="Table-Cell-Left"/>
              <w:spacing w:line="240" w:lineRule="auto"/>
              <w:rPr>
                <w:rFonts w:cs="Arial"/>
                <w:lang w:val="pt-BR"/>
              </w:rPr>
            </w:pPr>
          </w:p>
        </w:tc>
      </w:tr>
      <w:tr w:rsidR="00BA0E27" w:rsidRPr="005B5418" w14:paraId="7F25E6F7" w14:textId="77777777" w:rsidTr="005425ED">
        <w:trPr>
          <w:trHeight w:val="1691"/>
        </w:trPr>
        <w:tc>
          <w:tcPr>
            <w:tcW w:w="5404" w:type="dxa"/>
          </w:tcPr>
          <w:p w14:paraId="553790BD" w14:textId="0A399F7A" w:rsidR="00BA0E27" w:rsidRPr="005B5418" w:rsidRDefault="00BA0E27" w:rsidP="005425ED">
            <w:pPr>
              <w:pStyle w:val="FAM-Table-outline"/>
              <w:spacing w:line="240" w:lineRule="auto"/>
              <w:rPr>
                <w:rFonts w:eastAsia="Arial Unicode MS"/>
              </w:rPr>
            </w:pPr>
            <w:r w:rsidRPr="005B5418">
              <w:rPr>
                <w:rFonts w:eastAsia="Arial Unicode MS"/>
              </w:rPr>
              <w:t>Does the entity not recognize the financial value concerning the composition, valuation, and disposition of forfeited property that cannot be sold due to legal restrictions, but may be either donated or destroyed (such as ivory)? (SFFAS 3, par</w:t>
            </w:r>
            <w:r w:rsidR="00567053" w:rsidRPr="005B5418">
              <w:rPr>
                <w:rFonts w:eastAsia="Arial Unicode MS"/>
              </w:rPr>
              <w:t>a</w:t>
            </w:r>
            <w:r w:rsidRPr="005B5418">
              <w:rPr>
                <w:rFonts w:eastAsia="Arial Unicode MS"/>
              </w:rPr>
              <w:t>. 71)</w:t>
            </w:r>
          </w:p>
        </w:tc>
        <w:tc>
          <w:tcPr>
            <w:tcW w:w="965" w:type="dxa"/>
          </w:tcPr>
          <w:p w14:paraId="4FB87E26" w14:textId="77777777" w:rsidR="00BA0E27" w:rsidRPr="005B5418" w:rsidRDefault="00BA0E27" w:rsidP="00BA0E27">
            <w:pPr>
              <w:pStyle w:val="Table-Cell-CenterBoldBefore6ptAfter6pt"/>
              <w:rPr>
                <w:rFonts w:cs="Arial"/>
                <w:lang w:val="pt-BR"/>
              </w:rPr>
            </w:pPr>
          </w:p>
        </w:tc>
        <w:tc>
          <w:tcPr>
            <w:tcW w:w="3212" w:type="dxa"/>
            <w:gridSpan w:val="2"/>
          </w:tcPr>
          <w:p w14:paraId="73CC4953" w14:textId="77777777" w:rsidR="00BA0E27" w:rsidRPr="005B5418" w:rsidRDefault="00BA0E27" w:rsidP="00BA0E27">
            <w:pPr>
              <w:pStyle w:val="Table-Cell-Left"/>
              <w:spacing w:line="240" w:lineRule="auto"/>
              <w:rPr>
                <w:rFonts w:cs="Arial"/>
                <w:lang w:val="pt-BR"/>
              </w:rPr>
            </w:pPr>
          </w:p>
        </w:tc>
      </w:tr>
      <w:tr w:rsidR="00BA0E27" w:rsidRPr="005B5418" w14:paraId="0DDD4E1C" w14:textId="77777777" w:rsidTr="005425ED">
        <w:trPr>
          <w:trHeight w:val="593"/>
        </w:trPr>
        <w:tc>
          <w:tcPr>
            <w:tcW w:w="5404" w:type="dxa"/>
          </w:tcPr>
          <w:p w14:paraId="6C1A8EA2" w14:textId="2E3AD3E0" w:rsidR="00BA0E27" w:rsidRPr="005B5418" w:rsidRDefault="00BA0E27" w:rsidP="005425ED">
            <w:pPr>
              <w:pStyle w:val="FAM-Table-outline"/>
              <w:spacing w:line="240" w:lineRule="auto"/>
              <w:rPr>
                <w:rFonts w:eastAsia="Arial Unicode MS"/>
              </w:rPr>
            </w:pPr>
            <w:r w:rsidRPr="005B5418">
              <w:rPr>
                <w:rFonts w:eastAsia="Arial Unicode MS"/>
              </w:rPr>
              <w:t>Is revenue from the sale of forfeited property recognized when sold? (SFFAS 3, par</w:t>
            </w:r>
            <w:r w:rsidR="00567053" w:rsidRPr="005B5418">
              <w:rPr>
                <w:rFonts w:eastAsia="Arial Unicode MS"/>
              </w:rPr>
              <w:t>a</w:t>
            </w:r>
            <w:r w:rsidRPr="005B5418">
              <w:rPr>
                <w:rFonts w:eastAsia="Arial Unicode MS"/>
              </w:rPr>
              <w:t>. 72)</w:t>
            </w:r>
          </w:p>
        </w:tc>
        <w:tc>
          <w:tcPr>
            <w:tcW w:w="965" w:type="dxa"/>
          </w:tcPr>
          <w:p w14:paraId="51DED543" w14:textId="77777777" w:rsidR="00BA0E27" w:rsidRPr="005B5418" w:rsidRDefault="00BA0E27" w:rsidP="00BA0E27">
            <w:pPr>
              <w:pStyle w:val="Table-Cell-CenterBoldBefore6ptAfter6pt"/>
              <w:rPr>
                <w:rFonts w:cs="Arial"/>
                <w:lang w:val="pt-BR"/>
              </w:rPr>
            </w:pPr>
          </w:p>
        </w:tc>
        <w:tc>
          <w:tcPr>
            <w:tcW w:w="3212" w:type="dxa"/>
            <w:gridSpan w:val="2"/>
          </w:tcPr>
          <w:p w14:paraId="6CA84148" w14:textId="77777777" w:rsidR="00BA0E27" w:rsidRPr="005B5418" w:rsidRDefault="00BA0E27" w:rsidP="00BA0E27">
            <w:pPr>
              <w:pStyle w:val="Table-Cell-Left"/>
              <w:spacing w:line="240" w:lineRule="auto"/>
              <w:rPr>
                <w:rFonts w:cs="Arial"/>
                <w:lang w:val="pt-BR"/>
              </w:rPr>
            </w:pPr>
          </w:p>
        </w:tc>
      </w:tr>
      <w:tr w:rsidR="00BA0E27" w:rsidRPr="005B5418" w14:paraId="0D0E91AE" w14:textId="77777777" w:rsidTr="005425ED">
        <w:trPr>
          <w:trHeight w:val="1727"/>
        </w:trPr>
        <w:tc>
          <w:tcPr>
            <w:tcW w:w="5404" w:type="dxa"/>
          </w:tcPr>
          <w:p w14:paraId="7E0A51D3" w14:textId="0FE38254" w:rsidR="00BA0E27" w:rsidRPr="005B5418" w:rsidRDefault="00BA0E27" w:rsidP="005425ED">
            <w:pPr>
              <w:pStyle w:val="FAM-Table-outline"/>
              <w:spacing w:line="240" w:lineRule="auto"/>
              <w:rPr>
                <w:rFonts w:eastAsia="Arial Unicode MS"/>
              </w:rPr>
            </w:pPr>
            <w:r w:rsidRPr="005B5418">
              <w:rPr>
                <w:rFonts w:eastAsia="Arial Unicode MS"/>
              </w:rPr>
              <w:t>When a determination is made that forfeited property will not be held for sale, but distributed in one of the manners described in SFFAS 3 par</w:t>
            </w:r>
            <w:r w:rsidR="00567053" w:rsidRPr="005B5418">
              <w:rPr>
                <w:rFonts w:eastAsia="Arial Unicode MS"/>
              </w:rPr>
              <w:t>agraph</w:t>
            </w:r>
            <w:r w:rsidRPr="005B5418">
              <w:rPr>
                <w:rFonts w:eastAsia="Arial Unicode MS"/>
              </w:rPr>
              <w:t xml:space="preserve"> 73, is the property reclassified as forfeited property held for donation or use? (SFFAS 3, par</w:t>
            </w:r>
            <w:r w:rsidR="00567053" w:rsidRPr="005B5418">
              <w:rPr>
                <w:rFonts w:eastAsia="Arial Unicode MS"/>
              </w:rPr>
              <w:t>a</w:t>
            </w:r>
            <w:r w:rsidRPr="005B5418">
              <w:rPr>
                <w:rFonts w:eastAsia="Arial Unicode MS"/>
              </w:rPr>
              <w:t>. 74)</w:t>
            </w:r>
          </w:p>
        </w:tc>
        <w:tc>
          <w:tcPr>
            <w:tcW w:w="965" w:type="dxa"/>
          </w:tcPr>
          <w:p w14:paraId="6CF1FAB2" w14:textId="77777777" w:rsidR="00BA0E27" w:rsidRPr="005B5418" w:rsidRDefault="00BA0E27" w:rsidP="00BA0E27">
            <w:pPr>
              <w:pStyle w:val="Table-Cell-CenterBoldBefore6ptAfter6pt"/>
              <w:rPr>
                <w:rFonts w:cs="Arial"/>
                <w:lang w:val="pt-BR"/>
              </w:rPr>
            </w:pPr>
          </w:p>
        </w:tc>
        <w:tc>
          <w:tcPr>
            <w:tcW w:w="3212" w:type="dxa"/>
            <w:gridSpan w:val="2"/>
          </w:tcPr>
          <w:p w14:paraId="1A2B6000" w14:textId="77777777" w:rsidR="00BA0E27" w:rsidRPr="005B5418" w:rsidRDefault="00BA0E27" w:rsidP="00BA0E27">
            <w:pPr>
              <w:pStyle w:val="Table-Cell-Left"/>
              <w:spacing w:line="240" w:lineRule="auto"/>
              <w:rPr>
                <w:rFonts w:cs="Arial"/>
                <w:lang w:val="pt-BR"/>
              </w:rPr>
            </w:pPr>
          </w:p>
        </w:tc>
      </w:tr>
      <w:tr w:rsidR="00BA0E27" w:rsidRPr="005B5418" w14:paraId="23BCB186" w14:textId="77777777" w:rsidTr="005425ED">
        <w:trPr>
          <w:trHeight w:val="1520"/>
        </w:trPr>
        <w:tc>
          <w:tcPr>
            <w:tcW w:w="5404" w:type="dxa"/>
          </w:tcPr>
          <w:p w14:paraId="02F7841A" w14:textId="11F205D4" w:rsidR="00BA0E27" w:rsidRPr="005B5418" w:rsidRDefault="00BA0E27" w:rsidP="005425ED">
            <w:pPr>
              <w:pStyle w:val="FAM-Table-outline"/>
              <w:spacing w:line="240" w:lineRule="auto"/>
              <w:rPr>
                <w:rFonts w:eastAsia="Arial Unicode MS"/>
              </w:rPr>
            </w:pPr>
            <w:r w:rsidRPr="005B5418">
              <w:rPr>
                <w:rFonts w:eastAsia="Arial Unicode MS"/>
              </w:rPr>
              <w:t>Is revenue associated with property not disposed of through sale recognized upon approval of distribution and the previously established deferred revenue reversed? (SFFAS 3, par</w:t>
            </w:r>
            <w:r w:rsidR="00F911D0" w:rsidRPr="005B5418">
              <w:rPr>
                <w:rFonts w:eastAsia="Arial Unicode MS"/>
              </w:rPr>
              <w:t>a</w:t>
            </w:r>
            <w:r w:rsidRPr="005B5418">
              <w:rPr>
                <w:rFonts w:eastAsia="Arial Unicode MS"/>
              </w:rPr>
              <w:t>. 74)</w:t>
            </w:r>
          </w:p>
        </w:tc>
        <w:tc>
          <w:tcPr>
            <w:tcW w:w="965" w:type="dxa"/>
          </w:tcPr>
          <w:p w14:paraId="6C937C49" w14:textId="77777777" w:rsidR="00BA0E27" w:rsidRPr="005B5418" w:rsidRDefault="00BA0E27" w:rsidP="00BA0E27">
            <w:pPr>
              <w:pStyle w:val="Table-Cell-CenterBoldBefore6ptAfter6pt"/>
              <w:rPr>
                <w:rFonts w:cs="Arial"/>
                <w:lang w:val="pt-BR"/>
              </w:rPr>
            </w:pPr>
          </w:p>
        </w:tc>
        <w:tc>
          <w:tcPr>
            <w:tcW w:w="3212" w:type="dxa"/>
            <w:gridSpan w:val="2"/>
          </w:tcPr>
          <w:p w14:paraId="7113E81E" w14:textId="77777777" w:rsidR="00BA0E27" w:rsidRPr="005B5418" w:rsidRDefault="00BA0E27" w:rsidP="00BA0E27">
            <w:pPr>
              <w:pStyle w:val="Table-Cell-Left"/>
              <w:spacing w:line="240" w:lineRule="auto"/>
              <w:rPr>
                <w:rFonts w:cs="Arial"/>
                <w:lang w:val="pt-BR"/>
              </w:rPr>
            </w:pPr>
          </w:p>
        </w:tc>
      </w:tr>
      <w:tr w:rsidR="00BA0E27" w:rsidRPr="005B5418" w14:paraId="302856DC" w14:textId="77777777" w:rsidTr="005425ED">
        <w:trPr>
          <w:trHeight w:val="1700"/>
        </w:trPr>
        <w:tc>
          <w:tcPr>
            <w:tcW w:w="5404" w:type="dxa"/>
          </w:tcPr>
          <w:p w14:paraId="18F32771" w14:textId="0379FF53" w:rsidR="00BA0E27" w:rsidRPr="005B5418" w:rsidRDefault="00BA0E27" w:rsidP="005425ED">
            <w:pPr>
              <w:pStyle w:val="FAM-Table-outline"/>
              <w:spacing w:line="240" w:lineRule="auto"/>
              <w:rPr>
                <w:rFonts w:eastAsia="Arial Unicode MS"/>
              </w:rPr>
            </w:pPr>
            <w:r w:rsidRPr="005B5418">
              <w:rPr>
                <w:rFonts w:eastAsia="Arial Unicode MS"/>
              </w:rPr>
              <w:t>Is a distinction maintained in the entity’s accounting reports between revenue arising from the sale of forfeited property and revenue arising from forfeited property being transferred, donated, or placed into official use? (SFFAS 3, par</w:t>
            </w:r>
            <w:r w:rsidR="00F911D0" w:rsidRPr="005B5418">
              <w:rPr>
                <w:rFonts w:eastAsia="Arial Unicode MS"/>
              </w:rPr>
              <w:t>as</w:t>
            </w:r>
            <w:r w:rsidRPr="005B5418">
              <w:rPr>
                <w:rFonts w:eastAsia="Arial Unicode MS"/>
              </w:rPr>
              <w:t xml:space="preserve">. 72–75 and </w:t>
            </w:r>
            <w:r w:rsidR="00F911D0" w:rsidRPr="005B5418">
              <w:rPr>
                <w:rFonts w:eastAsia="Arial Unicode MS"/>
              </w:rPr>
              <w:t>t</w:t>
            </w:r>
            <w:r w:rsidRPr="005B5418">
              <w:rPr>
                <w:rFonts w:eastAsia="Arial Unicode MS"/>
              </w:rPr>
              <w:t>able 1)</w:t>
            </w:r>
          </w:p>
        </w:tc>
        <w:tc>
          <w:tcPr>
            <w:tcW w:w="965" w:type="dxa"/>
          </w:tcPr>
          <w:p w14:paraId="433CD1A6" w14:textId="77777777" w:rsidR="00BA0E27" w:rsidRPr="005B5418" w:rsidRDefault="00BA0E27" w:rsidP="00BA0E27">
            <w:pPr>
              <w:pStyle w:val="Table-Cell-CenterBoldBefore6ptAfter6pt"/>
              <w:rPr>
                <w:rFonts w:cs="Arial"/>
                <w:lang w:val="pt-BR"/>
              </w:rPr>
            </w:pPr>
          </w:p>
        </w:tc>
        <w:tc>
          <w:tcPr>
            <w:tcW w:w="3212" w:type="dxa"/>
            <w:gridSpan w:val="2"/>
          </w:tcPr>
          <w:p w14:paraId="0F439E9B" w14:textId="77777777" w:rsidR="00BA0E27" w:rsidRPr="005B5418" w:rsidRDefault="00BA0E27" w:rsidP="00BA0E27">
            <w:pPr>
              <w:pStyle w:val="Table-Cell-Left"/>
              <w:spacing w:line="240" w:lineRule="auto"/>
              <w:rPr>
                <w:rFonts w:cs="Arial"/>
                <w:lang w:val="pt-BR"/>
              </w:rPr>
            </w:pPr>
          </w:p>
        </w:tc>
      </w:tr>
      <w:tr w:rsidR="00BA0E27" w:rsidRPr="005B5418" w14:paraId="705912EC" w14:textId="77777777" w:rsidTr="005425ED">
        <w:trPr>
          <w:trHeight w:val="1457"/>
        </w:trPr>
        <w:tc>
          <w:tcPr>
            <w:tcW w:w="5404" w:type="dxa"/>
          </w:tcPr>
          <w:p w14:paraId="1698F264" w14:textId="2074EF05" w:rsidR="00BA0E27" w:rsidRPr="005B5418" w:rsidRDefault="00BA0E27" w:rsidP="005425ED">
            <w:pPr>
              <w:pStyle w:val="FAM-Table-outline"/>
              <w:spacing w:line="240" w:lineRule="auto"/>
              <w:rPr>
                <w:rFonts w:eastAsia="Arial Unicode MS"/>
              </w:rPr>
            </w:pPr>
            <w:r w:rsidRPr="005B5418">
              <w:rPr>
                <w:rFonts w:eastAsia="Arial Unicode MS"/>
              </w:rPr>
              <w:t>Is property acquired by the government to satisfy a taxpayer’s liability recorded when title to the property passes to the federal government, and is a credit made to the related account receivable? (SFFAS 3, par</w:t>
            </w:r>
            <w:r w:rsidR="00F911D0" w:rsidRPr="005B5418">
              <w:rPr>
                <w:rFonts w:eastAsia="Arial Unicode MS"/>
              </w:rPr>
              <w:t>a</w:t>
            </w:r>
            <w:r w:rsidRPr="005B5418">
              <w:rPr>
                <w:rFonts w:eastAsia="Arial Unicode MS"/>
              </w:rPr>
              <w:t>. 76)</w:t>
            </w:r>
          </w:p>
        </w:tc>
        <w:tc>
          <w:tcPr>
            <w:tcW w:w="965" w:type="dxa"/>
          </w:tcPr>
          <w:p w14:paraId="0497B036" w14:textId="77777777" w:rsidR="00BA0E27" w:rsidRPr="005B5418" w:rsidRDefault="00BA0E27" w:rsidP="00BA0E27">
            <w:pPr>
              <w:pStyle w:val="Table-Cell-CenterBoldBefore6ptAfter6pt"/>
              <w:rPr>
                <w:rFonts w:cs="Arial"/>
                <w:lang w:val="pt-BR"/>
              </w:rPr>
            </w:pPr>
          </w:p>
        </w:tc>
        <w:tc>
          <w:tcPr>
            <w:tcW w:w="3212" w:type="dxa"/>
            <w:gridSpan w:val="2"/>
          </w:tcPr>
          <w:p w14:paraId="4A4FBED7" w14:textId="77777777" w:rsidR="00BA0E27" w:rsidRPr="005B5418" w:rsidRDefault="00BA0E27" w:rsidP="00BA0E27">
            <w:pPr>
              <w:pStyle w:val="Table-Cell-Left"/>
              <w:spacing w:line="240" w:lineRule="auto"/>
              <w:rPr>
                <w:rFonts w:cs="Arial"/>
                <w:lang w:val="pt-BR"/>
              </w:rPr>
            </w:pPr>
          </w:p>
        </w:tc>
      </w:tr>
      <w:tr w:rsidR="00BA0E27" w:rsidRPr="005B5418" w14:paraId="0B214571" w14:textId="77777777" w:rsidTr="005425ED">
        <w:trPr>
          <w:trHeight w:val="935"/>
        </w:trPr>
        <w:tc>
          <w:tcPr>
            <w:tcW w:w="5404" w:type="dxa"/>
          </w:tcPr>
          <w:p w14:paraId="2437D941" w14:textId="795704F8" w:rsidR="00BA0E27" w:rsidRPr="005B5418" w:rsidRDefault="00BA0E27" w:rsidP="005425ED">
            <w:pPr>
              <w:pStyle w:val="FAM-Table-outline"/>
              <w:spacing w:line="240" w:lineRule="auto"/>
              <w:rPr>
                <w:rFonts w:eastAsia="Arial Unicode MS"/>
              </w:rPr>
            </w:pPr>
            <w:r w:rsidRPr="005B5418">
              <w:rPr>
                <w:rFonts w:eastAsia="Arial Unicode MS"/>
              </w:rPr>
              <w:lastRenderedPageBreak/>
              <w:t>Is the property acquired in satisfaction of a taxpayer’s liability valued at its market value less any third</w:t>
            </w:r>
            <w:r w:rsidR="00F911D0" w:rsidRPr="005B5418">
              <w:rPr>
                <w:rFonts w:eastAsia="Arial Unicode MS"/>
              </w:rPr>
              <w:t>-</w:t>
            </w:r>
            <w:r w:rsidRPr="005B5418">
              <w:rPr>
                <w:rFonts w:eastAsia="Arial Unicode MS"/>
              </w:rPr>
              <w:t>party liens? (SFFAS 3, par</w:t>
            </w:r>
            <w:r w:rsidR="00F911D0" w:rsidRPr="005B5418">
              <w:rPr>
                <w:rFonts w:eastAsia="Arial Unicode MS"/>
              </w:rPr>
              <w:t>a</w:t>
            </w:r>
            <w:r w:rsidRPr="005B5418">
              <w:rPr>
                <w:rFonts w:eastAsia="Arial Unicode MS"/>
              </w:rPr>
              <w:t>. 76)</w:t>
            </w:r>
          </w:p>
        </w:tc>
        <w:tc>
          <w:tcPr>
            <w:tcW w:w="965" w:type="dxa"/>
          </w:tcPr>
          <w:p w14:paraId="0D964D49" w14:textId="77777777" w:rsidR="00BA0E27" w:rsidRPr="005B5418" w:rsidRDefault="00BA0E27" w:rsidP="00BA0E27">
            <w:pPr>
              <w:pStyle w:val="Table-Cell-CenterBoldBefore6ptAfter6pt"/>
              <w:rPr>
                <w:rFonts w:cs="Arial"/>
                <w:lang w:val="pt-BR"/>
              </w:rPr>
            </w:pPr>
          </w:p>
        </w:tc>
        <w:tc>
          <w:tcPr>
            <w:tcW w:w="3212" w:type="dxa"/>
            <w:gridSpan w:val="2"/>
          </w:tcPr>
          <w:p w14:paraId="5A1FA59C" w14:textId="77777777" w:rsidR="00BA0E27" w:rsidRPr="005B5418" w:rsidRDefault="00BA0E27" w:rsidP="00BA0E27">
            <w:pPr>
              <w:pStyle w:val="Table-Cell-Left"/>
              <w:spacing w:line="240" w:lineRule="auto"/>
              <w:rPr>
                <w:rFonts w:cs="Arial"/>
                <w:lang w:val="pt-BR"/>
              </w:rPr>
            </w:pPr>
          </w:p>
        </w:tc>
      </w:tr>
      <w:tr w:rsidR="00BA0E27" w:rsidRPr="005B5418" w14:paraId="7E2D9F51" w14:textId="77777777" w:rsidTr="005425ED">
        <w:trPr>
          <w:trHeight w:val="1421"/>
        </w:trPr>
        <w:tc>
          <w:tcPr>
            <w:tcW w:w="5404" w:type="dxa"/>
          </w:tcPr>
          <w:p w14:paraId="1671A585" w14:textId="2F0E0CAC" w:rsidR="00BA0E27" w:rsidRPr="005B5418" w:rsidRDefault="00BA0E27" w:rsidP="005425ED">
            <w:pPr>
              <w:pStyle w:val="FAM-Table-outline"/>
              <w:spacing w:line="240" w:lineRule="auto"/>
              <w:rPr>
                <w:rFonts w:eastAsia="Arial Unicode MS"/>
              </w:rPr>
            </w:pPr>
            <w:r w:rsidRPr="005B5418">
              <w:rPr>
                <w:rFonts w:eastAsia="Arial Unicode MS"/>
              </w:rPr>
              <w:t>Upon sale of forfeited property acquired in satisfaction of a taxpayer’s liability, is revenue recognized in the amount of the sale proceeds, and are the property and third</w:t>
            </w:r>
            <w:r w:rsidR="00F911D0" w:rsidRPr="005B5418">
              <w:rPr>
                <w:rFonts w:eastAsia="Arial Unicode MS"/>
              </w:rPr>
              <w:t>-</w:t>
            </w:r>
            <w:r w:rsidRPr="005B5418">
              <w:rPr>
                <w:rFonts w:eastAsia="Arial Unicode MS"/>
              </w:rPr>
              <w:t>party liens removed from the accounts? (SFFAS 3, par</w:t>
            </w:r>
            <w:r w:rsidR="00F911D0" w:rsidRPr="005B5418">
              <w:rPr>
                <w:rFonts w:eastAsia="Arial Unicode MS"/>
              </w:rPr>
              <w:t>a</w:t>
            </w:r>
            <w:r w:rsidRPr="005B5418">
              <w:rPr>
                <w:rFonts w:eastAsia="Arial Unicode MS"/>
              </w:rPr>
              <w:t>. 76)</w:t>
            </w:r>
          </w:p>
        </w:tc>
        <w:tc>
          <w:tcPr>
            <w:tcW w:w="965" w:type="dxa"/>
          </w:tcPr>
          <w:p w14:paraId="20E78BE7" w14:textId="77777777" w:rsidR="00BA0E27" w:rsidRPr="005B5418" w:rsidRDefault="00BA0E27" w:rsidP="00BA0E27">
            <w:pPr>
              <w:pStyle w:val="Table-Cell-CenterBoldBefore6ptAfter6pt"/>
              <w:rPr>
                <w:rFonts w:cs="Arial"/>
                <w:lang w:val="pt-BR"/>
              </w:rPr>
            </w:pPr>
          </w:p>
        </w:tc>
        <w:tc>
          <w:tcPr>
            <w:tcW w:w="3212" w:type="dxa"/>
            <w:gridSpan w:val="2"/>
          </w:tcPr>
          <w:p w14:paraId="6DEED350" w14:textId="77777777" w:rsidR="00BA0E27" w:rsidRPr="005B5418" w:rsidRDefault="00BA0E27" w:rsidP="00BA0E27">
            <w:pPr>
              <w:pStyle w:val="Table-Cell-Left"/>
              <w:spacing w:line="240" w:lineRule="auto"/>
              <w:rPr>
                <w:rFonts w:cs="Arial"/>
                <w:lang w:val="pt-BR"/>
              </w:rPr>
            </w:pPr>
          </w:p>
        </w:tc>
      </w:tr>
      <w:tr w:rsidR="00BA0E27" w:rsidRPr="005B5418" w14:paraId="4749F9F4" w14:textId="77777777" w:rsidTr="005425ED">
        <w:trPr>
          <w:trHeight w:val="1250"/>
        </w:trPr>
        <w:tc>
          <w:tcPr>
            <w:tcW w:w="5404" w:type="dxa"/>
          </w:tcPr>
          <w:p w14:paraId="3745DEFC" w14:textId="4247058F" w:rsidR="00BA0E27" w:rsidRPr="005B5418" w:rsidRDefault="00BA0E27" w:rsidP="005425ED">
            <w:pPr>
              <w:pStyle w:val="FAM-Table-outline"/>
              <w:spacing w:line="240" w:lineRule="auto"/>
              <w:rPr>
                <w:rFonts w:eastAsia="Arial Unicode MS"/>
              </w:rPr>
            </w:pPr>
            <w:r w:rsidRPr="005B5418">
              <w:rPr>
                <w:rFonts w:eastAsia="Arial Unicode MS"/>
              </w:rPr>
              <w:t>Is unclaimed and abandoned merchandise recorded with offsetting deferred revenue when statutory and/or regulatory requirements for forfeiture have been met? (SFFAS 3, par</w:t>
            </w:r>
            <w:r w:rsidR="002A6A9D" w:rsidRPr="005B5418">
              <w:rPr>
                <w:rFonts w:eastAsia="Arial Unicode MS"/>
              </w:rPr>
              <w:t>a</w:t>
            </w:r>
            <w:r w:rsidRPr="005B5418">
              <w:rPr>
                <w:rFonts w:eastAsia="Arial Unicode MS"/>
              </w:rPr>
              <w:t>. 77)</w:t>
            </w:r>
          </w:p>
        </w:tc>
        <w:tc>
          <w:tcPr>
            <w:tcW w:w="965" w:type="dxa"/>
          </w:tcPr>
          <w:p w14:paraId="0E884D6E" w14:textId="77777777" w:rsidR="00BA0E27" w:rsidRPr="005B5418" w:rsidRDefault="00BA0E27" w:rsidP="00BA0E27">
            <w:pPr>
              <w:pStyle w:val="Table-Cell-CenterBoldBefore6ptAfter6pt"/>
              <w:rPr>
                <w:rFonts w:cs="Arial"/>
                <w:lang w:val="pt-BR"/>
              </w:rPr>
            </w:pPr>
          </w:p>
        </w:tc>
        <w:tc>
          <w:tcPr>
            <w:tcW w:w="3212" w:type="dxa"/>
            <w:gridSpan w:val="2"/>
          </w:tcPr>
          <w:p w14:paraId="1E0F2D4F" w14:textId="77777777" w:rsidR="00BA0E27" w:rsidRPr="005B5418" w:rsidRDefault="00BA0E27" w:rsidP="00BA0E27">
            <w:pPr>
              <w:pStyle w:val="Table-Cell-Left"/>
              <w:spacing w:line="240" w:lineRule="auto"/>
              <w:rPr>
                <w:rFonts w:cs="Arial"/>
                <w:lang w:val="pt-BR"/>
              </w:rPr>
            </w:pPr>
          </w:p>
        </w:tc>
      </w:tr>
      <w:tr w:rsidR="00BA0E27" w:rsidRPr="005B5418" w14:paraId="2130817C" w14:textId="77777777" w:rsidTr="005425ED">
        <w:trPr>
          <w:trHeight w:val="710"/>
        </w:trPr>
        <w:tc>
          <w:tcPr>
            <w:tcW w:w="5404" w:type="dxa"/>
          </w:tcPr>
          <w:p w14:paraId="7C06DFB3" w14:textId="1EC55A65" w:rsidR="00BA0E27" w:rsidRPr="005B5418" w:rsidRDefault="00BA0E27" w:rsidP="005425ED">
            <w:pPr>
              <w:pStyle w:val="FAM-Table-outline"/>
              <w:spacing w:line="240" w:lineRule="auto"/>
              <w:rPr>
                <w:rFonts w:eastAsia="Arial Unicode MS"/>
              </w:rPr>
            </w:pPr>
            <w:r w:rsidRPr="005B5418">
              <w:rPr>
                <w:rFonts w:eastAsia="Arial Unicode MS"/>
              </w:rPr>
              <w:t>Is unclaimed and abandoned merchandise valued at its market value? (SFFAS 3, par</w:t>
            </w:r>
            <w:r w:rsidR="002A6A9D" w:rsidRPr="005B5418">
              <w:rPr>
                <w:rFonts w:eastAsia="Arial Unicode MS"/>
              </w:rPr>
              <w:t>a</w:t>
            </w:r>
            <w:r w:rsidRPr="005B5418">
              <w:rPr>
                <w:rFonts w:eastAsia="Arial Unicode MS"/>
              </w:rPr>
              <w:t>. 77)</w:t>
            </w:r>
          </w:p>
        </w:tc>
        <w:tc>
          <w:tcPr>
            <w:tcW w:w="965" w:type="dxa"/>
          </w:tcPr>
          <w:p w14:paraId="2EC0E2F8" w14:textId="77777777" w:rsidR="00BA0E27" w:rsidRPr="005B5418" w:rsidRDefault="00BA0E27" w:rsidP="00BA0E27">
            <w:pPr>
              <w:pStyle w:val="Table-Cell-CenterBoldBefore6ptAfter6pt"/>
              <w:rPr>
                <w:rFonts w:cs="Arial"/>
                <w:lang w:val="pt-BR"/>
              </w:rPr>
            </w:pPr>
          </w:p>
        </w:tc>
        <w:tc>
          <w:tcPr>
            <w:tcW w:w="3212" w:type="dxa"/>
            <w:gridSpan w:val="2"/>
          </w:tcPr>
          <w:p w14:paraId="38D01132" w14:textId="77777777" w:rsidR="00BA0E27" w:rsidRPr="005B5418" w:rsidRDefault="00BA0E27" w:rsidP="00BA0E27">
            <w:pPr>
              <w:pStyle w:val="Table-Cell-Left"/>
              <w:spacing w:line="240" w:lineRule="auto"/>
              <w:rPr>
                <w:rFonts w:cs="Arial"/>
                <w:lang w:val="pt-BR"/>
              </w:rPr>
            </w:pPr>
          </w:p>
        </w:tc>
      </w:tr>
      <w:tr w:rsidR="00BA0E27" w:rsidRPr="005B5418" w14:paraId="3F8CC12C" w14:textId="77777777" w:rsidTr="005425ED">
        <w:trPr>
          <w:trHeight w:val="1430"/>
        </w:trPr>
        <w:tc>
          <w:tcPr>
            <w:tcW w:w="5404" w:type="dxa"/>
          </w:tcPr>
          <w:p w14:paraId="5CE42F1D" w14:textId="104B62A3" w:rsidR="00BA0E27" w:rsidRPr="005B5418" w:rsidRDefault="00BA0E27" w:rsidP="005425ED">
            <w:pPr>
              <w:pStyle w:val="FAM-Table-outline"/>
              <w:spacing w:line="240" w:lineRule="auto"/>
              <w:rPr>
                <w:rFonts w:eastAsia="Arial Unicode MS"/>
              </w:rPr>
            </w:pPr>
            <w:r w:rsidRPr="005B5418">
              <w:rPr>
                <w:rFonts w:eastAsia="Arial Unicode MS"/>
              </w:rPr>
              <w:t>Upon the sale of unclaimed and abandoned merchandise, is revenue recognized in the amount of the sale proceeds, and</w:t>
            </w:r>
            <w:r w:rsidR="002A6A9D" w:rsidRPr="005B5418">
              <w:rPr>
                <w:rFonts w:eastAsia="Arial Unicode MS"/>
              </w:rPr>
              <w:t xml:space="preserve"> are</w:t>
            </w:r>
            <w:r w:rsidRPr="005B5418">
              <w:rPr>
                <w:rFonts w:eastAsia="Arial Unicode MS"/>
              </w:rPr>
              <w:t xml:space="preserve"> the merchandise and the deferred revenue removed from the accounts? (SFFAS 3, par</w:t>
            </w:r>
            <w:r w:rsidR="002A6A9D" w:rsidRPr="005B5418">
              <w:rPr>
                <w:rFonts w:eastAsia="Arial Unicode MS"/>
              </w:rPr>
              <w:t>a</w:t>
            </w:r>
            <w:r w:rsidRPr="005B5418">
              <w:rPr>
                <w:rFonts w:eastAsia="Arial Unicode MS"/>
              </w:rPr>
              <w:t>. 77)</w:t>
            </w:r>
          </w:p>
        </w:tc>
        <w:tc>
          <w:tcPr>
            <w:tcW w:w="965" w:type="dxa"/>
          </w:tcPr>
          <w:p w14:paraId="38F046CC" w14:textId="77777777" w:rsidR="00BA0E27" w:rsidRPr="005B5418" w:rsidRDefault="00BA0E27" w:rsidP="00BA0E27">
            <w:pPr>
              <w:pStyle w:val="Table-Cell-CenterBoldBefore6ptAfter6pt"/>
              <w:rPr>
                <w:rFonts w:cs="Arial"/>
                <w:lang w:val="pt-BR"/>
              </w:rPr>
            </w:pPr>
          </w:p>
        </w:tc>
        <w:tc>
          <w:tcPr>
            <w:tcW w:w="3212" w:type="dxa"/>
            <w:gridSpan w:val="2"/>
          </w:tcPr>
          <w:p w14:paraId="74D8E316" w14:textId="77777777" w:rsidR="00BA0E27" w:rsidRPr="005B5418" w:rsidRDefault="00BA0E27" w:rsidP="00BA0E27">
            <w:pPr>
              <w:pStyle w:val="Table-Cell-Left"/>
              <w:spacing w:line="240" w:lineRule="auto"/>
              <w:rPr>
                <w:rFonts w:cs="Arial"/>
                <w:lang w:val="pt-BR"/>
              </w:rPr>
            </w:pPr>
          </w:p>
        </w:tc>
      </w:tr>
      <w:tr w:rsidR="00BA0E27" w:rsidRPr="005B5418" w14:paraId="22568E16" w14:textId="77777777" w:rsidTr="008848DA">
        <w:trPr>
          <w:trHeight w:val="161"/>
        </w:trPr>
        <w:tc>
          <w:tcPr>
            <w:tcW w:w="9581" w:type="dxa"/>
            <w:gridSpan w:val="4"/>
          </w:tcPr>
          <w:p w14:paraId="15DB8A55" w14:textId="77777777" w:rsidR="00BA0E27" w:rsidRPr="005B5418" w:rsidRDefault="00BA0E27" w:rsidP="00BA0E27">
            <w:pPr>
              <w:spacing w:line="240" w:lineRule="auto"/>
              <w:rPr>
                <w:rFonts w:ascii="Arial" w:hAnsi="Arial" w:cs="Arial"/>
                <w:b/>
              </w:rPr>
            </w:pPr>
            <w:r w:rsidRPr="005B5418">
              <w:rPr>
                <w:rFonts w:ascii="Arial" w:hAnsi="Arial" w:cs="Arial"/>
                <w:b/>
              </w:rPr>
              <w:t>Disclosure</w:t>
            </w:r>
          </w:p>
        </w:tc>
      </w:tr>
      <w:tr w:rsidR="00BA0E27" w:rsidRPr="005B5418" w14:paraId="5CF990BB" w14:textId="77777777" w:rsidTr="005425ED">
        <w:trPr>
          <w:trHeight w:val="1727"/>
        </w:trPr>
        <w:tc>
          <w:tcPr>
            <w:tcW w:w="5404" w:type="dxa"/>
          </w:tcPr>
          <w:p w14:paraId="6D95A619" w14:textId="77777777" w:rsidR="00BA0E27" w:rsidRPr="005B5418" w:rsidRDefault="00BA0E27" w:rsidP="005425ED">
            <w:pPr>
              <w:pStyle w:val="FAM-Table-outline"/>
              <w:spacing w:line="240" w:lineRule="auto"/>
              <w:rPr>
                <w:rFonts w:eastAsia="Arial Unicode MS"/>
              </w:rPr>
            </w:pPr>
            <w:r w:rsidRPr="005B5418">
              <w:rPr>
                <w:rFonts w:eastAsia="Arial Unicode MS"/>
              </w:rPr>
              <w:t>Does entity disclosure of forfeited property include</w:t>
            </w:r>
          </w:p>
          <w:p w14:paraId="2112118F"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composition of the property;</w:t>
            </w:r>
          </w:p>
          <w:p w14:paraId="4D3853D2"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valuation method(s);</w:t>
            </w:r>
          </w:p>
          <w:p w14:paraId="04F473F6"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restrictions on the use or disposition of forfeited property;</w:t>
            </w:r>
          </w:p>
          <w:p w14:paraId="31116196"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changes from prior year’s accounting methods;</w:t>
            </w:r>
          </w:p>
          <w:p w14:paraId="02D97A55" w14:textId="1DEF2C86"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analysis by type of forfeited property (e.g., monetary instruments, intangible property, real property, and tangible personal property) of the changes in forfeited property by dollar amount and number of forfeitures that are</w:t>
            </w:r>
          </w:p>
          <w:p w14:paraId="6C36C340"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on hand at the beginning of the year,</w:t>
            </w:r>
          </w:p>
          <w:p w14:paraId="0BED6D2F"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made during the year,</w:t>
            </w:r>
          </w:p>
          <w:p w14:paraId="2E826317"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lastRenderedPageBreak/>
              <w:t>disposed of during the year by method of disposition, and</w:t>
            </w:r>
          </w:p>
          <w:p w14:paraId="5B2039FA"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on hand at the end of the year;</w:t>
            </w:r>
          </w:p>
          <w:p w14:paraId="7E5D16BD"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if available, an estimate of the value of property or funds to be distributed to other federal, state, or local agencies; U.S. territories; or foreign governments in future reporting periods; and</w:t>
            </w:r>
          </w:p>
          <w:p w14:paraId="543E5894" w14:textId="0FB529A4"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information on non-valued forfeited property that cannot be sold due to legal restrictions, but may be either donated or destroyed, in accordance with (a) </w:t>
            </w:r>
            <w:r w:rsidR="008068E7" w:rsidRPr="005B5418">
              <w:rPr>
                <w:rFonts w:eastAsia="Arial Unicode MS" w:cs="Arial"/>
                <w:szCs w:val="22"/>
              </w:rPr>
              <w:t>through</w:t>
            </w:r>
            <w:r w:rsidRPr="005B5418">
              <w:rPr>
                <w:rFonts w:eastAsia="Arial Unicode MS" w:cs="Arial"/>
                <w:szCs w:val="22"/>
              </w:rPr>
              <w:t xml:space="preserve"> (e), above? (SFFAS 3, par</w:t>
            </w:r>
            <w:r w:rsidR="008068E7" w:rsidRPr="005B5418">
              <w:rPr>
                <w:rFonts w:eastAsia="Arial Unicode MS" w:cs="Arial"/>
                <w:szCs w:val="22"/>
              </w:rPr>
              <w:t>as</w:t>
            </w:r>
            <w:r w:rsidRPr="005B5418">
              <w:rPr>
                <w:rFonts w:eastAsia="Arial Unicode MS" w:cs="Arial"/>
                <w:szCs w:val="22"/>
              </w:rPr>
              <w:t>.</w:t>
            </w:r>
            <w:r w:rsidR="00EA44B3" w:rsidRPr="005B5418">
              <w:rPr>
                <w:rFonts w:eastAsia="Arial Unicode MS" w:cs="Arial"/>
                <w:szCs w:val="22"/>
              </w:rPr>
              <w:t xml:space="preserve"> </w:t>
            </w:r>
            <w:r w:rsidRPr="005B5418">
              <w:rPr>
                <w:rFonts w:eastAsia="Arial Unicode MS" w:cs="Arial"/>
                <w:szCs w:val="22"/>
              </w:rPr>
              <w:t>71</w:t>
            </w:r>
            <w:r w:rsidR="00EA44B3" w:rsidRPr="005B5418">
              <w:rPr>
                <w:rFonts w:eastAsia="Arial Unicode MS" w:cs="Arial"/>
                <w:szCs w:val="22"/>
              </w:rPr>
              <w:t>, 73</w:t>
            </w:r>
            <w:r w:rsidRPr="005B5418">
              <w:rPr>
                <w:rFonts w:eastAsia="Arial Unicode MS" w:cs="Arial"/>
                <w:szCs w:val="22"/>
              </w:rPr>
              <w:t xml:space="preserve"> </w:t>
            </w:r>
            <w:r w:rsidR="008068E7" w:rsidRPr="005B5418">
              <w:rPr>
                <w:rFonts w:eastAsia="Arial Unicode MS" w:cs="Arial"/>
                <w:szCs w:val="22"/>
              </w:rPr>
              <w:t>and</w:t>
            </w:r>
            <w:r w:rsidRPr="005B5418">
              <w:rPr>
                <w:rFonts w:eastAsia="Arial Unicode MS" w:cs="Arial"/>
                <w:szCs w:val="22"/>
              </w:rPr>
              <w:t xml:space="preserve"> 78)</w:t>
            </w:r>
          </w:p>
        </w:tc>
        <w:tc>
          <w:tcPr>
            <w:tcW w:w="965" w:type="dxa"/>
          </w:tcPr>
          <w:p w14:paraId="76D912C9" w14:textId="77777777" w:rsidR="00BA0E27" w:rsidRPr="005B5418" w:rsidRDefault="00BA0E27" w:rsidP="00BA0E27">
            <w:pPr>
              <w:pStyle w:val="Table-Cell-CenterBoldBefore6ptAfter6pt"/>
              <w:rPr>
                <w:rFonts w:cs="Arial"/>
                <w:lang w:val="pt-BR"/>
              </w:rPr>
            </w:pPr>
          </w:p>
        </w:tc>
        <w:tc>
          <w:tcPr>
            <w:tcW w:w="3212" w:type="dxa"/>
            <w:gridSpan w:val="2"/>
          </w:tcPr>
          <w:p w14:paraId="00B28DE1" w14:textId="77777777" w:rsidR="00BA0E27" w:rsidRPr="005B5418" w:rsidRDefault="00BA0E27" w:rsidP="00BA0E27">
            <w:pPr>
              <w:pStyle w:val="Table-Cell-Left"/>
              <w:spacing w:line="240" w:lineRule="auto"/>
              <w:rPr>
                <w:rFonts w:cs="Arial"/>
                <w:lang w:val="pt-BR"/>
              </w:rPr>
            </w:pPr>
          </w:p>
        </w:tc>
      </w:tr>
      <w:tr w:rsidR="00A221F0" w:rsidRPr="005B5418" w14:paraId="2B4907B5" w14:textId="77777777" w:rsidTr="005425ED">
        <w:trPr>
          <w:trHeight w:val="2160"/>
        </w:trPr>
        <w:tc>
          <w:tcPr>
            <w:tcW w:w="5404" w:type="dxa"/>
          </w:tcPr>
          <w:p w14:paraId="166A4BDD" w14:textId="365932DB" w:rsidR="00A221F0" w:rsidRPr="005B5418" w:rsidRDefault="008101F7" w:rsidP="005425ED">
            <w:pPr>
              <w:pStyle w:val="FAM-Table-outline"/>
              <w:spacing w:line="240" w:lineRule="auto"/>
              <w:rPr>
                <w:rFonts w:eastAsia="Arial Unicode MS" w:cs="Arial"/>
                <w:szCs w:val="22"/>
              </w:rPr>
            </w:pPr>
            <w:r w:rsidRPr="005B5418">
              <w:rPr>
                <w:rFonts w:eastAsia="Arial Unicode MS"/>
              </w:rPr>
              <w:t xml:space="preserve">Does the entity </w:t>
            </w:r>
            <w:r w:rsidR="006D4DD6" w:rsidRPr="005B5418">
              <w:rPr>
                <w:rFonts w:eastAsia="Arial Unicode MS"/>
              </w:rPr>
              <w:t xml:space="preserve">apply the disclosure requirements of paragraph 78 of SFFAS 3 for </w:t>
            </w:r>
            <w:r w:rsidR="003079A1" w:rsidRPr="005B5418">
              <w:rPr>
                <w:rFonts w:eastAsia="Arial Unicode MS"/>
              </w:rPr>
              <w:t>forfeited</w:t>
            </w:r>
            <w:r w:rsidR="006D4DD6" w:rsidRPr="005B5418">
              <w:rPr>
                <w:rFonts w:eastAsia="Arial Unicode MS"/>
              </w:rPr>
              <w:t xml:space="preserve"> digital assets</w:t>
            </w:r>
            <w:r w:rsidR="00F75748">
              <w:rPr>
                <w:rFonts w:eastAsia="Arial Unicode MS"/>
              </w:rPr>
              <w:t>,</w:t>
            </w:r>
            <w:r w:rsidR="006D4DD6" w:rsidRPr="005B5418">
              <w:rPr>
                <w:rFonts w:eastAsia="Arial Unicode MS"/>
              </w:rPr>
              <w:t xml:space="preserve"> including </w:t>
            </w:r>
            <w:r w:rsidRPr="005B5418">
              <w:rPr>
                <w:rFonts w:eastAsia="Arial Unicode MS"/>
              </w:rPr>
              <w:t>disclos</w:t>
            </w:r>
            <w:r w:rsidR="006D4DD6" w:rsidRPr="005B5418">
              <w:rPr>
                <w:rFonts w:eastAsia="Arial Unicode MS"/>
              </w:rPr>
              <w:t>ing</w:t>
            </w:r>
            <w:r w:rsidRPr="005B5418">
              <w:rPr>
                <w:rFonts w:eastAsia="Arial Unicode MS"/>
              </w:rPr>
              <w:t xml:space="preserve"> the market value (at time of forfeiture) of </w:t>
            </w:r>
            <w:r w:rsidR="00D4020F" w:rsidRPr="005B5418">
              <w:rPr>
                <w:rFonts w:eastAsia="Arial Unicode MS"/>
              </w:rPr>
              <w:t xml:space="preserve">digital assets? </w:t>
            </w:r>
            <w:r w:rsidR="00A221F0" w:rsidRPr="005425ED">
              <w:rPr>
                <w:rFonts w:eastAsia="Arial Unicode MS"/>
              </w:rPr>
              <w:t>(</w:t>
            </w:r>
            <w:r w:rsidR="00CF1EFD" w:rsidRPr="005B5418">
              <w:rPr>
                <w:rFonts w:eastAsia="Arial Unicode MS"/>
              </w:rPr>
              <w:t>SFFAS 3, para</w:t>
            </w:r>
            <w:r w:rsidR="00F75748">
              <w:rPr>
                <w:rFonts w:eastAsia="Arial Unicode MS"/>
              </w:rPr>
              <w:t>s</w:t>
            </w:r>
            <w:r w:rsidR="00CF1EFD" w:rsidRPr="005B5418">
              <w:rPr>
                <w:rFonts w:eastAsia="Arial Unicode MS"/>
              </w:rPr>
              <w:t xml:space="preserve">. </w:t>
            </w:r>
            <w:r w:rsidR="00BB5D3B" w:rsidRPr="005425ED">
              <w:rPr>
                <w:rFonts w:eastAsia="Arial Unicode MS"/>
              </w:rPr>
              <w:t>69, 70</w:t>
            </w:r>
            <w:r w:rsidR="00F75748">
              <w:rPr>
                <w:rFonts w:eastAsia="Arial Unicode MS"/>
              </w:rPr>
              <w:t>,</w:t>
            </w:r>
            <w:r w:rsidR="00BB5D3B" w:rsidRPr="005425ED">
              <w:rPr>
                <w:rFonts w:eastAsia="Arial Unicode MS"/>
              </w:rPr>
              <w:t xml:space="preserve"> and </w:t>
            </w:r>
            <w:r w:rsidR="00CF1EFD" w:rsidRPr="005B5418">
              <w:rPr>
                <w:rFonts w:eastAsia="Arial Unicode MS"/>
              </w:rPr>
              <w:t xml:space="preserve">78; </w:t>
            </w:r>
            <w:r w:rsidR="00D4020F" w:rsidRPr="005B5418">
              <w:rPr>
                <w:rFonts w:eastAsia="Arial Unicode MS"/>
              </w:rPr>
              <w:t>TB 2024-1, paras. 19</w:t>
            </w:r>
            <w:r w:rsidR="00F75748">
              <w:rPr>
                <w:rFonts w:eastAsia="Arial Unicode MS"/>
              </w:rPr>
              <w:t>–</w:t>
            </w:r>
            <w:r w:rsidR="00D4020F" w:rsidRPr="005B5418">
              <w:rPr>
                <w:rFonts w:eastAsia="Arial Unicode MS"/>
              </w:rPr>
              <w:t>26</w:t>
            </w:r>
            <w:r w:rsidR="003079A1" w:rsidRPr="005B5418">
              <w:rPr>
                <w:rFonts w:eastAsia="Arial Unicode MS"/>
              </w:rPr>
              <w:t xml:space="preserve">; </w:t>
            </w:r>
            <w:r w:rsidR="00491305" w:rsidRPr="005425ED">
              <w:rPr>
                <w:rFonts w:eastAsia="Arial Unicode MS"/>
              </w:rPr>
              <w:t>A-136, section II.3.8.9</w:t>
            </w:r>
            <w:r w:rsidR="00A221F0" w:rsidRPr="005425ED">
              <w:rPr>
                <w:rFonts w:eastAsia="Arial Unicode MS"/>
              </w:rPr>
              <w:t>)</w:t>
            </w:r>
          </w:p>
        </w:tc>
        <w:tc>
          <w:tcPr>
            <w:tcW w:w="965" w:type="dxa"/>
          </w:tcPr>
          <w:p w14:paraId="06ED1C9A" w14:textId="77777777" w:rsidR="00A221F0" w:rsidRPr="005B5418" w:rsidRDefault="00A221F0" w:rsidP="00BA0E27">
            <w:pPr>
              <w:pStyle w:val="Table-Cell-CenterBoldBefore6ptAfter6pt"/>
              <w:rPr>
                <w:rFonts w:cs="Arial"/>
                <w:lang w:val="pt-BR"/>
              </w:rPr>
            </w:pPr>
          </w:p>
        </w:tc>
        <w:tc>
          <w:tcPr>
            <w:tcW w:w="3212" w:type="dxa"/>
            <w:gridSpan w:val="2"/>
          </w:tcPr>
          <w:p w14:paraId="516F0614" w14:textId="77777777" w:rsidR="00A221F0" w:rsidRPr="005B5418" w:rsidRDefault="00A221F0" w:rsidP="00BA0E27">
            <w:pPr>
              <w:pStyle w:val="Table-Cell-Left"/>
              <w:spacing w:line="240" w:lineRule="auto"/>
              <w:rPr>
                <w:rFonts w:cs="Arial"/>
                <w:lang w:val="pt-BR"/>
              </w:rPr>
            </w:pPr>
          </w:p>
        </w:tc>
      </w:tr>
      <w:tr w:rsidR="00BA0E27" w:rsidRPr="005B5418" w14:paraId="3C9896F3" w14:textId="77777777" w:rsidTr="008848DA">
        <w:trPr>
          <w:trHeight w:val="377"/>
        </w:trPr>
        <w:tc>
          <w:tcPr>
            <w:tcW w:w="9581" w:type="dxa"/>
            <w:gridSpan w:val="4"/>
            <w:tcBorders>
              <w:top w:val="single" w:sz="4" w:space="0" w:color="auto"/>
              <w:left w:val="single" w:sz="4" w:space="0" w:color="auto"/>
              <w:bottom w:val="single" w:sz="4" w:space="0" w:color="auto"/>
              <w:right w:val="single" w:sz="4" w:space="0" w:color="auto"/>
            </w:tcBorders>
          </w:tcPr>
          <w:p w14:paraId="6D324547" w14:textId="160A5B9A" w:rsidR="00BA0E27" w:rsidRPr="005B5418" w:rsidRDefault="00BA0E27" w:rsidP="008068E7">
            <w:pPr>
              <w:pStyle w:val="Heading5"/>
              <w:spacing w:line="240" w:lineRule="auto"/>
              <w:jc w:val="center"/>
              <w:rPr>
                <w:rFonts w:ascii="Arial" w:hAnsi="Arial" w:cs="Arial"/>
                <w:b/>
                <w:color w:val="auto"/>
              </w:rPr>
            </w:pPr>
            <w:bookmarkStart w:id="162" w:name="_Ref392094378"/>
            <w:bookmarkStart w:id="163" w:name="_Toc394667899"/>
            <w:bookmarkStart w:id="164" w:name="_Ref390347635"/>
            <w:r w:rsidRPr="005B5418">
              <w:rPr>
                <w:rFonts w:ascii="Arial" w:hAnsi="Arial" w:cs="Arial"/>
                <w:b/>
                <w:color w:val="auto"/>
              </w:rPr>
              <w:t xml:space="preserve">Goods Held </w:t>
            </w:r>
            <w:r w:rsidR="00F75748">
              <w:rPr>
                <w:rFonts w:ascii="Arial" w:hAnsi="Arial" w:cs="Arial"/>
                <w:b/>
                <w:color w:val="auto"/>
              </w:rPr>
              <w:t>U</w:t>
            </w:r>
            <w:r w:rsidR="00F75748" w:rsidRPr="005B5418">
              <w:rPr>
                <w:rFonts w:ascii="Arial" w:hAnsi="Arial" w:cs="Arial"/>
                <w:b/>
                <w:color w:val="auto"/>
              </w:rPr>
              <w:t xml:space="preserve">nder </w:t>
            </w:r>
            <w:r w:rsidRPr="005B5418">
              <w:rPr>
                <w:rFonts w:ascii="Arial" w:hAnsi="Arial" w:cs="Arial"/>
                <w:b/>
                <w:color w:val="auto"/>
              </w:rPr>
              <w:t>Price Support and Stabilization Programs</w:t>
            </w:r>
            <w:bookmarkEnd w:id="162"/>
            <w:bookmarkEnd w:id="163"/>
            <w:bookmarkEnd w:id="164"/>
          </w:p>
        </w:tc>
      </w:tr>
      <w:tr w:rsidR="00BA0E27" w:rsidRPr="005B5418" w14:paraId="7055CDAC" w14:textId="77777777" w:rsidTr="008848DA">
        <w:tc>
          <w:tcPr>
            <w:tcW w:w="9581" w:type="dxa"/>
            <w:gridSpan w:val="4"/>
          </w:tcPr>
          <w:p w14:paraId="44E3C051" w14:textId="01390FF6" w:rsidR="00BA0E27" w:rsidRPr="005B5418" w:rsidRDefault="00BA0E27" w:rsidP="005E0822">
            <w:pPr>
              <w:pStyle w:val="Table-Note"/>
              <w:spacing w:line="240" w:lineRule="auto"/>
              <w:ind w:left="-21"/>
              <w:jc w:val="left"/>
              <w:rPr>
                <w:rFonts w:cs="Arial"/>
                <w:i w:val="0"/>
                <w:sz w:val="22"/>
                <w:szCs w:val="22"/>
              </w:rPr>
            </w:pPr>
            <w:r w:rsidRPr="005B5418">
              <w:rPr>
                <w:rFonts w:cs="Arial"/>
                <w:i w:val="0"/>
                <w:sz w:val="22"/>
                <w:szCs w:val="22"/>
              </w:rPr>
              <w:t xml:space="preserve">Goods acquired under price support and stabilization programs (i.e., commodities) are items of commerce or trade (usually farm commodities) having an exchange value. They are acquired, held, sold, or otherwise disposed of to satisfy or help satisfy economic goals. Producers of the goods </w:t>
            </w:r>
            <w:r w:rsidR="008A05F4" w:rsidRPr="005B5418">
              <w:rPr>
                <w:rFonts w:cs="Arial"/>
                <w:i w:val="0"/>
                <w:sz w:val="22"/>
                <w:szCs w:val="22"/>
              </w:rPr>
              <w:t xml:space="preserve">either </w:t>
            </w:r>
            <w:r w:rsidRPr="005B5418">
              <w:rPr>
                <w:rFonts w:cs="Arial"/>
                <w:i w:val="0"/>
                <w:sz w:val="22"/>
                <w:szCs w:val="22"/>
              </w:rPr>
              <w:t>(1) are given nonrecourse loans under which they can, at their option, repay the loan</w:t>
            </w:r>
            <w:r w:rsidR="008A05F4" w:rsidRPr="005B5418">
              <w:rPr>
                <w:rFonts w:cs="Arial"/>
                <w:i w:val="0"/>
                <w:sz w:val="22"/>
                <w:szCs w:val="22"/>
              </w:rPr>
              <w:t>s</w:t>
            </w:r>
            <w:r w:rsidRPr="005B5418">
              <w:rPr>
                <w:rFonts w:cs="Arial"/>
                <w:i w:val="0"/>
                <w:sz w:val="22"/>
                <w:szCs w:val="22"/>
              </w:rPr>
              <w:t xml:space="preserve"> with interest or surrender the </w:t>
            </w:r>
            <w:r w:rsidR="008A05F4" w:rsidRPr="005B5418">
              <w:rPr>
                <w:rFonts w:cs="Arial"/>
                <w:i w:val="0"/>
                <w:sz w:val="22"/>
                <w:szCs w:val="22"/>
              </w:rPr>
              <w:t xml:space="preserve">commodities </w:t>
            </w:r>
            <w:r w:rsidRPr="005B5418">
              <w:rPr>
                <w:rFonts w:cs="Arial"/>
                <w:i w:val="0"/>
                <w:sz w:val="22"/>
                <w:szCs w:val="22"/>
              </w:rPr>
              <w:t>pledged as collateral for the loan</w:t>
            </w:r>
            <w:r w:rsidR="008A05F4" w:rsidRPr="005B5418">
              <w:rPr>
                <w:rFonts w:cs="Arial"/>
                <w:i w:val="0"/>
                <w:sz w:val="22"/>
                <w:szCs w:val="22"/>
              </w:rPr>
              <w:t>s</w:t>
            </w:r>
            <w:r w:rsidRPr="005B5418">
              <w:rPr>
                <w:rFonts w:cs="Arial"/>
                <w:i w:val="0"/>
                <w:sz w:val="22"/>
                <w:szCs w:val="22"/>
              </w:rPr>
              <w:t xml:space="preserve"> or (2) may enter into purchase agreements that allow the producer</w:t>
            </w:r>
            <w:r w:rsidR="008A05F4" w:rsidRPr="005B5418">
              <w:rPr>
                <w:rFonts w:cs="Arial"/>
                <w:i w:val="0"/>
                <w:sz w:val="22"/>
                <w:szCs w:val="22"/>
              </w:rPr>
              <w:t>s</w:t>
            </w:r>
            <w:r w:rsidRPr="005B5418">
              <w:rPr>
                <w:rFonts w:cs="Arial"/>
                <w:i w:val="0"/>
                <w:sz w:val="22"/>
                <w:szCs w:val="22"/>
              </w:rPr>
              <w:t xml:space="preserve"> the option to sell commodities to the government (the Commodity Credit Corporation) at the price support rate. (SFFAS 3, par</w:t>
            </w:r>
            <w:r w:rsidR="00C65667" w:rsidRPr="005B5418">
              <w:rPr>
                <w:rFonts w:cs="Arial"/>
                <w:i w:val="0"/>
                <w:sz w:val="22"/>
                <w:szCs w:val="22"/>
              </w:rPr>
              <w:t>as</w:t>
            </w:r>
            <w:r w:rsidRPr="005B5418">
              <w:rPr>
                <w:rFonts w:cs="Arial"/>
                <w:i w:val="0"/>
                <w:sz w:val="22"/>
                <w:szCs w:val="22"/>
              </w:rPr>
              <w:t>. 92</w:t>
            </w:r>
            <w:r w:rsidR="00C65667" w:rsidRPr="005B5418">
              <w:rPr>
                <w:rFonts w:cs="Arial"/>
                <w:i w:val="0"/>
                <w:sz w:val="22"/>
                <w:szCs w:val="22"/>
              </w:rPr>
              <w:t>–</w:t>
            </w:r>
            <w:r w:rsidRPr="005B5418">
              <w:rPr>
                <w:rFonts w:cs="Arial"/>
                <w:i w:val="0"/>
                <w:sz w:val="22"/>
                <w:szCs w:val="22"/>
              </w:rPr>
              <w:t>94)</w:t>
            </w:r>
          </w:p>
        </w:tc>
      </w:tr>
      <w:tr w:rsidR="00BA0E27" w:rsidRPr="005B5418" w14:paraId="35D9F165" w14:textId="77777777" w:rsidTr="008848DA">
        <w:trPr>
          <w:trHeight w:val="350"/>
        </w:trPr>
        <w:tc>
          <w:tcPr>
            <w:tcW w:w="9581" w:type="dxa"/>
            <w:gridSpan w:val="4"/>
          </w:tcPr>
          <w:p w14:paraId="26C02F0E" w14:textId="77777777" w:rsidR="00BA0E27" w:rsidRPr="005B5418" w:rsidRDefault="00BA0E27" w:rsidP="00BA0E27">
            <w:pPr>
              <w:spacing w:line="240" w:lineRule="auto"/>
              <w:rPr>
                <w:rFonts w:ascii="Arial" w:hAnsi="Arial" w:cs="Arial"/>
                <w:b/>
              </w:rPr>
            </w:pPr>
            <w:r w:rsidRPr="005B5418">
              <w:rPr>
                <w:rFonts w:ascii="Arial" w:hAnsi="Arial" w:cs="Arial"/>
                <w:b/>
              </w:rPr>
              <w:t>Accounting</w:t>
            </w:r>
          </w:p>
        </w:tc>
      </w:tr>
      <w:tr w:rsidR="00BA0E27" w:rsidRPr="005B5418" w14:paraId="23AEFD15" w14:textId="77777777" w:rsidTr="005425ED">
        <w:trPr>
          <w:trHeight w:val="1187"/>
        </w:trPr>
        <w:tc>
          <w:tcPr>
            <w:tcW w:w="5404" w:type="dxa"/>
          </w:tcPr>
          <w:p w14:paraId="050E8A35" w14:textId="417C5580" w:rsidR="00BA0E27" w:rsidRPr="005B5418" w:rsidRDefault="00BA0E27" w:rsidP="005425ED">
            <w:pPr>
              <w:pStyle w:val="FAM-Table-outline"/>
              <w:spacing w:line="240" w:lineRule="auto"/>
              <w:rPr>
                <w:rFonts w:eastAsia="Arial Unicode MS"/>
              </w:rPr>
            </w:pPr>
            <w:r w:rsidRPr="005B5418">
              <w:rPr>
                <w:rFonts w:eastAsia="Arial Unicode MS"/>
              </w:rPr>
              <w:t>Are nonrecourse loans recognized as assets when the loan principal is disbursed and recorded at the amount of the loan principal? (SFFAS 3, par</w:t>
            </w:r>
            <w:r w:rsidR="001C272A" w:rsidRPr="005B5418">
              <w:rPr>
                <w:rFonts w:eastAsia="Arial Unicode MS"/>
              </w:rPr>
              <w:t>a</w:t>
            </w:r>
            <w:r w:rsidRPr="005B5418">
              <w:rPr>
                <w:rFonts w:eastAsia="Arial Unicode MS"/>
              </w:rPr>
              <w:t>. 96)</w:t>
            </w:r>
          </w:p>
        </w:tc>
        <w:tc>
          <w:tcPr>
            <w:tcW w:w="965" w:type="dxa"/>
          </w:tcPr>
          <w:p w14:paraId="19D8D6EB" w14:textId="77777777" w:rsidR="00BA0E27" w:rsidRPr="005B5418" w:rsidRDefault="00BA0E27" w:rsidP="00BA0E27">
            <w:pPr>
              <w:pStyle w:val="Table-Cell-CenterBoldBefore6ptAfter6pt"/>
              <w:rPr>
                <w:rFonts w:cs="Arial"/>
              </w:rPr>
            </w:pPr>
          </w:p>
        </w:tc>
        <w:tc>
          <w:tcPr>
            <w:tcW w:w="3212" w:type="dxa"/>
            <w:gridSpan w:val="2"/>
          </w:tcPr>
          <w:p w14:paraId="2EB9A9AC" w14:textId="77777777" w:rsidR="00BA0E27" w:rsidRPr="005B5418" w:rsidRDefault="00BA0E27" w:rsidP="00BA0E27">
            <w:pPr>
              <w:spacing w:line="240" w:lineRule="auto"/>
              <w:rPr>
                <w:rFonts w:cs="Arial"/>
              </w:rPr>
            </w:pPr>
          </w:p>
        </w:tc>
      </w:tr>
      <w:tr w:rsidR="00BA0E27" w:rsidRPr="005B5418" w14:paraId="701F81DE" w14:textId="77777777" w:rsidTr="005425ED">
        <w:trPr>
          <w:trHeight w:val="575"/>
        </w:trPr>
        <w:tc>
          <w:tcPr>
            <w:tcW w:w="5404" w:type="dxa"/>
          </w:tcPr>
          <w:p w14:paraId="0B2FE10E" w14:textId="769569A4" w:rsidR="00BA0E27" w:rsidRPr="005B5418" w:rsidRDefault="00BA0E27" w:rsidP="005425ED">
            <w:pPr>
              <w:pStyle w:val="FAM-Table-outline"/>
              <w:spacing w:line="240" w:lineRule="auto"/>
              <w:rPr>
                <w:rFonts w:eastAsia="Arial Unicode MS"/>
              </w:rPr>
            </w:pPr>
            <w:r w:rsidRPr="005B5418">
              <w:rPr>
                <w:rFonts w:eastAsia="Arial Unicode MS"/>
              </w:rPr>
              <w:t>Is interest accrued on nonrecourse loans? (SFFAS 3, par</w:t>
            </w:r>
            <w:r w:rsidR="001C272A" w:rsidRPr="005B5418">
              <w:rPr>
                <w:rFonts w:eastAsia="Arial Unicode MS"/>
              </w:rPr>
              <w:t>a</w:t>
            </w:r>
            <w:r w:rsidRPr="005B5418">
              <w:rPr>
                <w:rFonts w:eastAsia="Arial Unicode MS"/>
              </w:rPr>
              <w:t>. 96)</w:t>
            </w:r>
          </w:p>
        </w:tc>
        <w:tc>
          <w:tcPr>
            <w:tcW w:w="965" w:type="dxa"/>
          </w:tcPr>
          <w:p w14:paraId="46D98212" w14:textId="77777777" w:rsidR="00BA0E27" w:rsidRPr="005B5418" w:rsidRDefault="00BA0E27" w:rsidP="00BA0E27">
            <w:pPr>
              <w:pStyle w:val="Table-Cell-CenterBoldBefore6ptAfter6pt"/>
              <w:rPr>
                <w:rFonts w:cs="Arial"/>
              </w:rPr>
            </w:pPr>
          </w:p>
        </w:tc>
        <w:tc>
          <w:tcPr>
            <w:tcW w:w="3212" w:type="dxa"/>
            <w:gridSpan w:val="2"/>
          </w:tcPr>
          <w:p w14:paraId="215FB7EB" w14:textId="77777777" w:rsidR="00BA0E27" w:rsidRPr="005B5418" w:rsidRDefault="00BA0E27" w:rsidP="00BA0E27">
            <w:pPr>
              <w:spacing w:line="240" w:lineRule="auto"/>
              <w:rPr>
                <w:rFonts w:cs="Arial"/>
              </w:rPr>
            </w:pPr>
          </w:p>
        </w:tc>
      </w:tr>
      <w:tr w:rsidR="00BA0E27" w:rsidRPr="005B5418" w14:paraId="47B4E426" w14:textId="77777777" w:rsidTr="005425ED">
        <w:trPr>
          <w:trHeight w:val="737"/>
        </w:trPr>
        <w:tc>
          <w:tcPr>
            <w:tcW w:w="5404" w:type="dxa"/>
          </w:tcPr>
          <w:p w14:paraId="03C61724" w14:textId="2D0C8E66" w:rsidR="00BA0E27" w:rsidRPr="005B5418" w:rsidRDefault="00BA0E27" w:rsidP="005425ED">
            <w:pPr>
              <w:pStyle w:val="FAM-Table-outline"/>
              <w:spacing w:line="240" w:lineRule="auto"/>
              <w:rPr>
                <w:rFonts w:eastAsia="Arial Unicode MS"/>
              </w:rPr>
            </w:pPr>
            <w:r w:rsidRPr="005B5418">
              <w:rPr>
                <w:rFonts w:eastAsia="Arial Unicode MS"/>
              </w:rPr>
              <w:t>When the entity has entered into a purchase agreement and there is an expected loss</w:t>
            </w:r>
            <w:r w:rsidR="001C272A" w:rsidRPr="005B5418">
              <w:rPr>
                <w:rFonts w:eastAsia="Arial Unicode MS"/>
              </w:rPr>
              <w:t>,</w:t>
            </w:r>
          </w:p>
          <w:p w14:paraId="61726C5C" w14:textId="5A133E50"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lastRenderedPageBreak/>
              <w:t>is a loss</w:t>
            </w:r>
            <w:r w:rsidRPr="005B5418">
              <w:rPr>
                <w:rFonts w:eastAsia="Arial Unicode MS" w:cs="Arial"/>
                <w:szCs w:val="22"/>
                <w:vertAlign w:val="superscript"/>
              </w:rPr>
              <w:footnoteReference w:id="126"/>
            </w:r>
            <w:r w:rsidRPr="005B5418">
              <w:rPr>
                <w:rFonts w:eastAsia="Arial Unicode MS" w:cs="Arial"/>
                <w:szCs w:val="22"/>
              </w:rPr>
              <w:t xml:space="preserve"> recognized if it is probable that a loss has been incurred on purchase agreements outstanding and the amount of the loss can be reasonably measured and</w:t>
            </w:r>
          </w:p>
          <w:p w14:paraId="7DB3ECAB" w14:textId="2EE0A5E8"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is a corresponding liability recognized? (SFFAS 3, par</w:t>
            </w:r>
            <w:r w:rsidR="001C272A" w:rsidRPr="005B5418">
              <w:rPr>
                <w:rFonts w:eastAsia="Arial Unicode MS" w:cs="Arial"/>
                <w:szCs w:val="22"/>
              </w:rPr>
              <w:t>as</w:t>
            </w:r>
            <w:r w:rsidRPr="005B5418">
              <w:rPr>
                <w:rFonts w:eastAsia="Arial Unicode MS" w:cs="Arial"/>
                <w:szCs w:val="22"/>
              </w:rPr>
              <w:t>. 97 and 103)</w:t>
            </w:r>
          </w:p>
        </w:tc>
        <w:tc>
          <w:tcPr>
            <w:tcW w:w="965" w:type="dxa"/>
          </w:tcPr>
          <w:p w14:paraId="7A8B67DC" w14:textId="77777777" w:rsidR="00BA0E27" w:rsidRPr="005B5418" w:rsidRDefault="00BA0E27" w:rsidP="00BA0E27">
            <w:pPr>
              <w:pStyle w:val="Table-Cell-CenterBoldBefore6ptAfter6pt"/>
              <w:rPr>
                <w:rFonts w:cs="Arial"/>
              </w:rPr>
            </w:pPr>
          </w:p>
        </w:tc>
        <w:tc>
          <w:tcPr>
            <w:tcW w:w="3212" w:type="dxa"/>
            <w:gridSpan w:val="2"/>
          </w:tcPr>
          <w:p w14:paraId="511C59FB" w14:textId="77777777" w:rsidR="00BA0E27" w:rsidRPr="005B5418" w:rsidRDefault="00BA0E27" w:rsidP="00BA0E27">
            <w:pPr>
              <w:spacing w:line="240" w:lineRule="auto"/>
              <w:rPr>
                <w:rFonts w:cs="Arial"/>
              </w:rPr>
            </w:pPr>
          </w:p>
        </w:tc>
      </w:tr>
      <w:tr w:rsidR="00BA0E27" w:rsidRPr="005B5418" w14:paraId="531439EA" w14:textId="77777777" w:rsidTr="005425ED">
        <w:trPr>
          <w:trHeight w:val="1592"/>
        </w:trPr>
        <w:tc>
          <w:tcPr>
            <w:tcW w:w="5404" w:type="dxa"/>
          </w:tcPr>
          <w:p w14:paraId="01A16A36" w14:textId="74351BE8" w:rsidR="00BA0E27" w:rsidRPr="005B5418" w:rsidRDefault="00BA0E27" w:rsidP="005425ED">
            <w:pPr>
              <w:pStyle w:val="FAM-Table-outline"/>
              <w:spacing w:line="240" w:lineRule="auto"/>
              <w:rPr>
                <w:rFonts w:eastAsia="Arial Unicode MS" w:cs="Arial"/>
                <w:szCs w:val="22"/>
              </w:rPr>
            </w:pPr>
            <w:r w:rsidRPr="005B5418">
              <w:rPr>
                <w:rFonts w:eastAsia="Arial Unicode MS"/>
              </w:rPr>
              <w:t>When commodities are acquired to satisfy a nonrecourse loan or purchase agreement, are they recognized as assets at the lower of cost or net realizable value? (SFFAS 3, par</w:t>
            </w:r>
            <w:r w:rsidR="001C272A" w:rsidRPr="005B5418">
              <w:rPr>
                <w:rFonts w:eastAsia="Arial Unicode MS"/>
              </w:rPr>
              <w:t>as</w:t>
            </w:r>
            <w:r w:rsidRPr="005B5418">
              <w:rPr>
                <w:rFonts w:eastAsia="Arial Unicode MS"/>
              </w:rPr>
              <w:t>. 99 and 104)</w:t>
            </w:r>
          </w:p>
        </w:tc>
        <w:tc>
          <w:tcPr>
            <w:tcW w:w="965" w:type="dxa"/>
          </w:tcPr>
          <w:p w14:paraId="28745C61" w14:textId="77777777" w:rsidR="00BA0E27" w:rsidRPr="005B5418" w:rsidRDefault="00BA0E27" w:rsidP="00BA0E27">
            <w:pPr>
              <w:pStyle w:val="Table-Cell-CenterBoldBefore6ptAfter6pt"/>
              <w:rPr>
                <w:rFonts w:cs="Arial"/>
              </w:rPr>
            </w:pPr>
          </w:p>
        </w:tc>
        <w:tc>
          <w:tcPr>
            <w:tcW w:w="3212" w:type="dxa"/>
            <w:gridSpan w:val="2"/>
          </w:tcPr>
          <w:p w14:paraId="1308C903" w14:textId="77777777" w:rsidR="00BA0E27" w:rsidRPr="005B5418" w:rsidRDefault="00BA0E27" w:rsidP="00BA0E27">
            <w:pPr>
              <w:spacing w:line="240" w:lineRule="auto"/>
              <w:rPr>
                <w:rFonts w:cs="Arial"/>
              </w:rPr>
            </w:pPr>
          </w:p>
        </w:tc>
      </w:tr>
      <w:tr w:rsidR="00BA0E27" w:rsidRPr="005B5418" w14:paraId="693B6B4C" w14:textId="77777777" w:rsidTr="005425ED">
        <w:trPr>
          <w:trHeight w:val="2160"/>
        </w:trPr>
        <w:tc>
          <w:tcPr>
            <w:tcW w:w="5404" w:type="dxa"/>
          </w:tcPr>
          <w:p w14:paraId="49FEA295" w14:textId="45C84BC6" w:rsidR="00BA0E27" w:rsidRPr="005B5418" w:rsidRDefault="00BA0E27" w:rsidP="005425ED">
            <w:pPr>
              <w:pStyle w:val="FAM-Table-outline"/>
              <w:spacing w:line="240" w:lineRule="auto"/>
              <w:rPr>
                <w:rFonts w:eastAsia="Arial Unicode MS"/>
              </w:rPr>
            </w:pPr>
            <w:r w:rsidRPr="005B5418">
              <w:rPr>
                <w:rFonts w:eastAsia="Arial Unicode MS"/>
              </w:rPr>
              <w:t>When commodities acquired to satisfy the terms of a nonrecourse loan or purchase agreement are sold</w:t>
            </w:r>
            <w:r w:rsidR="001C272A" w:rsidRPr="005B5418">
              <w:rPr>
                <w:rFonts w:eastAsia="Arial Unicode MS"/>
              </w:rPr>
              <w:t>,</w:t>
            </w:r>
          </w:p>
          <w:p w14:paraId="48B004BF" w14:textId="5CA7852B"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are revenues recognized and</w:t>
            </w:r>
          </w:p>
          <w:p w14:paraId="23B2EC54" w14:textId="16B8E38B"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is the carrying amount of the commodities removed from the asset account and reported as a cost of goods sold? (SFFAS 3, par</w:t>
            </w:r>
            <w:r w:rsidR="001C272A" w:rsidRPr="005B5418">
              <w:rPr>
                <w:rFonts w:eastAsia="Arial Unicode MS" w:cs="Arial"/>
                <w:szCs w:val="22"/>
              </w:rPr>
              <w:t>a</w:t>
            </w:r>
            <w:r w:rsidRPr="005B5418">
              <w:rPr>
                <w:rFonts w:eastAsia="Arial Unicode MS" w:cs="Arial"/>
                <w:szCs w:val="22"/>
              </w:rPr>
              <w:t>. 100)</w:t>
            </w:r>
          </w:p>
        </w:tc>
        <w:tc>
          <w:tcPr>
            <w:tcW w:w="965" w:type="dxa"/>
          </w:tcPr>
          <w:p w14:paraId="22211D4C" w14:textId="77777777" w:rsidR="00BA0E27" w:rsidRPr="005B5418" w:rsidRDefault="00BA0E27" w:rsidP="00BA0E27">
            <w:pPr>
              <w:pStyle w:val="Table-Cell-CenterBoldBefore6ptAfter6pt"/>
              <w:rPr>
                <w:rFonts w:cs="Arial"/>
              </w:rPr>
            </w:pPr>
          </w:p>
        </w:tc>
        <w:tc>
          <w:tcPr>
            <w:tcW w:w="3212" w:type="dxa"/>
            <w:gridSpan w:val="2"/>
          </w:tcPr>
          <w:p w14:paraId="6B6DAAB9" w14:textId="77777777" w:rsidR="00BA0E27" w:rsidRPr="005B5418" w:rsidRDefault="00BA0E27" w:rsidP="00BA0E27">
            <w:pPr>
              <w:spacing w:line="240" w:lineRule="auto"/>
              <w:rPr>
                <w:rFonts w:cs="Arial"/>
              </w:rPr>
            </w:pPr>
          </w:p>
        </w:tc>
      </w:tr>
      <w:tr w:rsidR="00BA0E27" w:rsidRPr="005B5418" w14:paraId="61166E16" w14:textId="77777777" w:rsidTr="005425ED">
        <w:trPr>
          <w:trHeight w:val="1052"/>
        </w:trPr>
        <w:tc>
          <w:tcPr>
            <w:tcW w:w="5404" w:type="dxa"/>
          </w:tcPr>
          <w:p w14:paraId="279038A0" w14:textId="0530C455" w:rsidR="00BA0E27" w:rsidRPr="005B5418" w:rsidRDefault="00BA0E27" w:rsidP="005425ED">
            <w:pPr>
              <w:pStyle w:val="FAM-Table-outline"/>
              <w:spacing w:line="240" w:lineRule="auto"/>
              <w:rPr>
                <w:rFonts w:eastAsia="Arial Unicode MS" w:cs="Arial"/>
                <w:szCs w:val="22"/>
              </w:rPr>
            </w:pPr>
            <w:r w:rsidRPr="005B5418">
              <w:rPr>
                <w:rFonts w:eastAsia="Arial Unicode MS"/>
              </w:rPr>
              <w:t>When commodities are held for purposes other than sale, is the carrying amount reported as an expense and removed from the commodity asset account upon transfer? (SFFAS 3, par</w:t>
            </w:r>
            <w:r w:rsidR="001C272A" w:rsidRPr="005B5418">
              <w:rPr>
                <w:rFonts w:eastAsia="Arial Unicode MS"/>
              </w:rPr>
              <w:t>a</w:t>
            </w:r>
            <w:r w:rsidRPr="005B5418">
              <w:rPr>
                <w:rFonts w:eastAsia="Arial Unicode MS"/>
              </w:rPr>
              <w:t>. 101)</w:t>
            </w:r>
          </w:p>
        </w:tc>
        <w:tc>
          <w:tcPr>
            <w:tcW w:w="965" w:type="dxa"/>
          </w:tcPr>
          <w:p w14:paraId="62D908D2" w14:textId="77777777" w:rsidR="00BA0E27" w:rsidRPr="005B5418" w:rsidRDefault="00BA0E27" w:rsidP="00BA0E27">
            <w:pPr>
              <w:pStyle w:val="Table-Cell-CenterBoldBefore6ptAfter6pt"/>
              <w:rPr>
                <w:rFonts w:cs="Arial"/>
              </w:rPr>
            </w:pPr>
          </w:p>
        </w:tc>
        <w:tc>
          <w:tcPr>
            <w:tcW w:w="3212" w:type="dxa"/>
            <w:gridSpan w:val="2"/>
          </w:tcPr>
          <w:p w14:paraId="3B34510F" w14:textId="77777777" w:rsidR="00BA0E27" w:rsidRPr="005B5418" w:rsidRDefault="00BA0E27" w:rsidP="00BA0E27">
            <w:pPr>
              <w:spacing w:line="240" w:lineRule="auto"/>
              <w:rPr>
                <w:rFonts w:cs="Arial"/>
              </w:rPr>
            </w:pPr>
          </w:p>
        </w:tc>
      </w:tr>
      <w:tr w:rsidR="00BA0E27" w:rsidRPr="005B5418" w14:paraId="750FFAEC" w14:textId="77777777" w:rsidTr="005425ED">
        <w:trPr>
          <w:trHeight w:val="1700"/>
        </w:trPr>
        <w:tc>
          <w:tcPr>
            <w:tcW w:w="5404" w:type="dxa"/>
          </w:tcPr>
          <w:p w14:paraId="348A2054" w14:textId="2E4898B8" w:rsidR="00BA0E27" w:rsidRPr="005B5418" w:rsidRDefault="00BA0E27" w:rsidP="005425ED">
            <w:pPr>
              <w:pStyle w:val="FAM-Table-outline"/>
              <w:spacing w:line="240" w:lineRule="auto"/>
              <w:rPr>
                <w:rFonts w:eastAsia="Arial Unicode MS"/>
              </w:rPr>
            </w:pPr>
            <w:r w:rsidRPr="005B5418">
              <w:rPr>
                <w:rFonts w:eastAsia="Arial Unicode MS"/>
              </w:rPr>
              <w:t>Are all nonrecourse loans recorded at their face amounts, and is a valuation allowance set up to recognize losses on such loans when it is “more likely than not” (i.e., more than a 50 percent chance) that loans will not be totally collected? (SFFAS 3, par</w:t>
            </w:r>
            <w:r w:rsidR="001C272A" w:rsidRPr="005B5418">
              <w:rPr>
                <w:rFonts w:eastAsia="Arial Unicode MS"/>
              </w:rPr>
              <w:t>a</w:t>
            </w:r>
            <w:r w:rsidRPr="005B5418">
              <w:rPr>
                <w:rFonts w:eastAsia="Arial Unicode MS"/>
              </w:rPr>
              <w:t>. 102)</w:t>
            </w:r>
          </w:p>
        </w:tc>
        <w:tc>
          <w:tcPr>
            <w:tcW w:w="965" w:type="dxa"/>
          </w:tcPr>
          <w:p w14:paraId="3207044B" w14:textId="77777777" w:rsidR="00BA0E27" w:rsidRPr="005B5418" w:rsidRDefault="00BA0E27" w:rsidP="00BA0E27">
            <w:pPr>
              <w:pStyle w:val="Table-Cell-CenterBoldBefore6ptAfter6pt"/>
              <w:rPr>
                <w:rFonts w:cs="Arial"/>
              </w:rPr>
            </w:pPr>
          </w:p>
        </w:tc>
        <w:tc>
          <w:tcPr>
            <w:tcW w:w="3212" w:type="dxa"/>
            <w:gridSpan w:val="2"/>
          </w:tcPr>
          <w:p w14:paraId="523C798D" w14:textId="77777777" w:rsidR="00BA0E27" w:rsidRPr="005B5418" w:rsidRDefault="00BA0E27" w:rsidP="00BA0E27">
            <w:pPr>
              <w:spacing w:line="240" w:lineRule="auto"/>
              <w:rPr>
                <w:rFonts w:cs="Arial"/>
              </w:rPr>
            </w:pPr>
          </w:p>
        </w:tc>
      </w:tr>
      <w:tr w:rsidR="00BA0E27" w:rsidRPr="005B5418" w14:paraId="554E2D9E" w14:textId="77777777" w:rsidTr="005425ED">
        <w:trPr>
          <w:trHeight w:val="557"/>
        </w:trPr>
        <w:tc>
          <w:tcPr>
            <w:tcW w:w="5404" w:type="dxa"/>
          </w:tcPr>
          <w:p w14:paraId="011A34BC" w14:textId="3D966189" w:rsidR="00BA0E27" w:rsidRPr="005B5418" w:rsidRDefault="00BA0E27" w:rsidP="005425ED">
            <w:pPr>
              <w:pStyle w:val="FAM-Table-outline"/>
              <w:spacing w:line="240" w:lineRule="auto"/>
              <w:rPr>
                <w:rFonts w:eastAsia="Arial Unicode MS"/>
              </w:rPr>
            </w:pPr>
            <w:r w:rsidRPr="005B5418">
              <w:rPr>
                <w:rFonts w:eastAsia="Arial Unicode MS"/>
              </w:rPr>
              <w:t>Is this allowance reestimated on each financial reporting date? (SFFAS 3, par</w:t>
            </w:r>
            <w:r w:rsidR="009062E6" w:rsidRPr="005B5418">
              <w:rPr>
                <w:rFonts w:eastAsia="Arial Unicode MS"/>
              </w:rPr>
              <w:t>a</w:t>
            </w:r>
            <w:r w:rsidRPr="005B5418">
              <w:rPr>
                <w:rFonts w:eastAsia="Arial Unicode MS"/>
              </w:rPr>
              <w:t>. 102)</w:t>
            </w:r>
          </w:p>
        </w:tc>
        <w:tc>
          <w:tcPr>
            <w:tcW w:w="965" w:type="dxa"/>
          </w:tcPr>
          <w:p w14:paraId="6565D3A8" w14:textId="77777777" w:rsidR="00BA0E27" w:rsidRPr="005B5418" w:rsidRDefault="00BA0E27" w:rsidP="00BA0E27">
            <w:pPr>
              <w:pStyle w:val="Table-Cell-CenterBoldBefore6ptAfter6pt"/>
              <w:rPr>
                <w:rFonts w:cs="Arial"/>
              </w:rPr>
            </w:pPr>
          </w:p>
        </w:tc>
        <w:tc>
          <w:tcPr>
            <w:tcW w:w="3212" w:type="dxa"/>
            <w:gridSpan w:val="2"/>
          </w:tcPr>
          <w:p w14:paraId="0E75B930" w14:textId="77777777" w:rsidR="00BA0E27" w:rsidRPr="005B5418" w:rsidRDefault="00BA0E27" w:rsidP="00BA0E27">
            <w:pPr>
              <w:spacing w:line="240" w:lineRule="auto"/>
              <w:rPr>
                <w:rFonts w:cs="Arial"/>
              </w:rPr>
            </w:pPr>
          </w:p>
        </w:tc>
      </w:tr>
      <w:tr w:rsidR="00BA0E27" w:rsidRPr="005B5418" w14:paraId="7F722A60" w14:textId="77777777" w:rsidTr="005425ED">
        <w:trPr>
          <w:trHeight w:val="2160"/>
        </w:trPr>
        <w:tc>
          <w:tcPr>
            <w:tcW w:w="5404" w:type="dxa"/>
          </w:tcPr>
          <w:p w14:paraId="3338F5AB" w14:textId="68381740" w:rsidR="00BA0E27" w:rsidRPr="005B5418" w:rsidRDefault="00BA0E27" w:rsidP="005425ED">
            <w:pPr>
              <w:pStyle w:val="FAM-Table-outline"/>
              <w:numPr>
                <w:ilvl w:val="0"/>
                <w:numId w:val="1"/>
              </w:numPr>
              <w:spacing w:line="240" w:lineRule="auto"/>
              <w:ind w:left="609" w:hanging="609"/>
              <w:rPr>
                <w:rFonts w:eastAsia="Arial Unicode MS" w:cs="Arial"/>
                <w:szCs w:val="22"/>
              </w:rPr>
            </w:pPr>
            <w:r w:rsidRPr="005B5418">
              <w:rPr>
                <w:rFonts w:eastAsia="Arial Unicode MS"/>
              </w:rPr>
              <w:lastRenderedPageBreak/>
              <w:t>Does the cost for the commodities acquired through a nonrecourse loan settlement include the following amounts</w:t>
            </w:r>
            <w:r w:rsidR="009062E6" w:rsidRPr="005B5418">
              <w:rPr>
                <w:rFonts w:eastAsia="Arial Unicode MS" w:cs="Arial"/>
                <w:szCs w:val="22"/>
              </w:rPr>
              <w:t>:</w:t>
            </w:r>
          </w:p>
          <w:p w14:paraId="2B3570D9"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loan principal (excluding interest), </w:t>
            </w:r>
          </w:p>
          <w:p w14:paraId="3C36F280"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processing and packaging costs incurred after acquisition, and</w:t>
            </w:r>
          </w:p>
          <w:p w14:paraId="2301DEC9" w14:textId="7B0A6E79"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other costs (e.g., transportation) incurred in taking title to the commodity? (SFFAS 3, par</w:t>
            </w:r>
            <w:r w:rsidR="009062E6" w:rsidRPr="005B5418">
              <w:rPr>
                <w:rFonts w:eastAsia="Arial Unicode MS" w:cs="Arial"/>
                <w:szCs w:val="22"/>
              </w:rPr>
              <w:t>a</w:t>
            </w:r>
            <w:r w:rsidRPr="005B5418">
              <w:rPr>
                <w:rFonts w:eastAsia="Arial Unicode MS" w:cs="Arial"/>
                <w:szCs w:val="22"/>
              </w:rPr>
              <w:t>. 105)</w:t>
            </w:r>
          </w:p>
        </w:tc>
        <w:tc>
          <w:tcPr>
            <w:tcW w:w="965" w:type="dxa"/>
          </w:tcPr>
          <w:p w14:paraId="19CC8709" w14:textId="77777777" w:rsidR="00BA0E27" w:rsidRPr="005B5418" w:rsidRDefault="00BA0E27" w:rsidP="00BA0E27">
            <w:pPr>
              <w:pStyle w:val="Table-Cell-CenterBoldBefore6ptAfter6pt"/>
              <w:rPr>
                <w:rFonts w:cs="Arial"/>
              </w:rPr>
            </w:pPr>
          </w:p>
        </w:tc>
        <w:tc>
          <w:tcPr>
            <w:tcW w:w="3212" w:type="dxa"/>
            <w:gridSpan w:val="2"/>
          </w:tcPr>
          <w:p w14:paraId="566518B8" w14:textId="77777777" w:rsidR="00BA0E27" w:rsidRPr="005B5418" w:rsidRDefault="00BA0E27" w:rsidP="00BA0E27">
            <w:pPr>
              <w:spacing w:line="240" w:lineRule="auto"/>
              <w:rPr>
                <w:rFonts w:cs="Arial"/>
              </w:rPr>
            </w:pPr>
          </w:p>
        </w:tc>
      </w:tr>
      <w:tr w:rsidR="00BA0E27" w:rsidRPr="005B5418" w14:paraId="761F67AE" w14:textId="77777777" w:rsidTr="005425ED">
        <w:trPr>
          <w:trHeight w:val="2160"/>
        </w:trPr>
        <w:tc>
          <w:tcPr>
            <w:tcW w:w="5404" w:type="dxa"/>
          </w:tcPr>
          <w:p w14:paraId="59D0956B" w14:textId="588E15CE" w:rsidR="00BA0E27" w:rsidRPr="005B5418" w:rsidRDefault="00BA0E27" w:rsidP="005425ED">
            <w:pPr>
              <w:pStyle w:val="FAM-Table-outline"/>
              <w:numPr>
                <w:ilvl w:val="0"/>
                <w:numId w:val="1"/>
              </w:numPr>
              <w:spacing w:line="240" w:lineRule="auto"/>
              <w:ind w:left="609" w:hanging="609"/>
              <w:rPr>
                <w:rFonts w:eastAsia="Arial Unicode MS"/>
              </w:rPr>
            </w:pPr>
            <w:r w:rsidRPr="005B5418">
              <w:rPr>
                <w:rFonts w:eastAsia="Arial Unicode MS"/>
              </w:rPr>
              <w:t>Does the cost for commodities acquired though a purchase agreement include the following amounts</w:t>
            </w:r>
            <w:r w:rsidR="009062E6" w:rsidRPr="005B5418">
              <w:rPr>
                <w:rFonts w:eastAsia="Arial Unicode MS"/>
              </w:rPr>
              <w:t>:</w:t>
            </w:r>
          </w:p>
          <w:p w14:paraId="3200FD1E" w14:textId="335ABFEA"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the unit price agreed upon in the purchase agreement multiplied by the number of units purchased and </w:t>
            </w:r>
          </w:p>
          <w:p w14:paraId="6AFB3A2B" w14:textId="795A7021"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other costs incurred in taking title to the commodity? (SFFAS 3, par</w:t>
            </w:r>
            <w:r w:rsidR="009062E6" w:rsidRPr="005B5418">
              <w:rPr>
                <w:rFonts w:eastAsia="Arial Unicode MS" w:cs="Arial"/>
                <w:szCs w:val="22"/>
              </w:rPr>
              <w:t>a</w:t>
            </w:r>
            <w:r w:rsidRPr="005B5418">
              <w:rPr>
                <w:rFonts w:eastAsia="Arial Unicode MS" w:cs="Arial"/>
                <w:szCs w:val="22"/>
              </w:rPr>
              <w:t>. 106)</w:t>
            </w:r>
          </w:p>
        </w:tc>
        <w:tc>
          <w:tcPr>
            <w:tcW w:w="965" w:type="dxa"/>
          </w:tcPr>
          <w:p w14:paraId="42F36E65" w14:textId="77777777" w:rsidR="00BA0E27" w:rsidRPr="005B5418" w:rsidRDefault="00BA0E27" w:rsidP="00BA0E27">
            <w:pPr>
              <w:pStyle w:val="Table-Cell-CenterBoldBefore6ptAfter6pt"/>
              <w:rPr>
                <w:rFonts w:cs="Arial"/>
              </w:rPr>
            </w:pPr>
          </w:p>
        </w:tc>
        <w:tc>
          <w:tcPr>
            <w:tcW w:w="3212" w:type="dxa"/>
            <w:gridSpan w:val="2"/>
          </w:tcPr>
          <w:p w14:paraId="0FDEEC64" w14:textId="77777777" w:rsidR="00BA0E27" w:rsidRPr="005B5418" w:rsidRDefault="00BA0E27" w:rsidP="00BA0E27">
            <w:pPr>
              <w:spacing w:line="240" w:lineRule="auto"/>
              <w:rPr>
                <w:rFonts w:cs="Arial"/>
              </w:rPr>
            </w:pPr>
          </w:p>
        </w:tc>
      </w:tr>
      <w:tr w:rsidR="00BA0E27" w:rsidRPr="005B5418" w14:paraId="7BB05E1B" w14:textId="77777777" w:rsidTr="005425ED">
        <w:trPr>
          <w:trHeight w:val="2160"/>
        </w:trPr>
        <w:tc>
          <w:tcPr>
            <w:tcW w:w="5404" w:type="dxa"/>
          </w:tcPr>
          <w:p w14:paraId="2DD9769F" w14:textId="0F0AD4C9" w:rsidR="00BA0E27" w:rsidRPr="005B5418" w:rsidRDefault="00BA0E27" w:rsidP="005425ED">
            <w:pPr>
              <w:pStyle w:val="FAM-Table-outline"/>
              <w:numPr>
                <w:ilvl w:val="0"/>
                <w:numId w:val="1"/>
              </w:numPr>
              <w:spacing w:line="240" w:lineRule="auto"/>
              <w:ind w:left="609" w:hanging="609"/>
              <w:rPr>
                <w:rFonts w:eastAsia="Arial Unicode MS"/>
              </w:rPr>
            </w:pPr>
            <w:r w:rsidRPr="005B5418">
              <w:rPr>
                <w:rFonts w:eastAsia="Arial Unicode MS"/>
              </w:rPr>
              <w:t xml:space="preserve">Is any adjustment necessary to reduce the carrying amount of the acquired commodities to the lower of cost or net realizable value </w:t>
            </w:r>
          </w:p>
          <w:p w14:paraId="0AA887B5" w14:textId="6FABB410" w:rsidR="00BA0E27" w:rsidRPr="005B5418" w:rsidRDefault="009062E6"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recognized </w:t>
            </w:r>
            <w:r w:rsidR="00BA0E27" w:rsidRPr="005B5418">
              <w:rPr>
                <w:rFonts w:eastAsia="Arial Unicode MS" w:cs="Arial"/>
                <w:szCs w:val="22"/>
              </w:rPr>
              <w:t xml:space="preserve">as a loss on farm price support in the current period and </w:t>
            </w:r>
          </w:p>
          <w:p w14:paraId="7E6AEB57" w14:textId="0ED8761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recorded in a commodity valuation allowance? (SFFAS 3, par</w:t>
            </w:r>
            <w:r w:rsidR="009062E6" w:rsidRPr="005B5418">
              <w:rPr>
                <w:rFonts w:eastAsia="Arial Unicode MS" w:cs="Arial"/>
                <w:szCs w:val="22"/>
              </w:rPr>
              <w:t>a</w:t>
            </w:r>
            <w:r w:rsidRPr="005B5418">
              <w:rPr>
                <w:rFonts w:eastAsia="Arial Unicode MS" w:cs="Arial"/>
                <w:szCs w:val="22"/>
              </w:rPr>
              <w:t>. 107)</w:t>
            </w:r>
          </w:p>
        </w:tc>
        <w:tc>
          <w:tcPr>
            <w:tcW w:w="965" w:type="dxa"/>
          </w:tcPr>
          <w:p w14:paraId="66D35879" w14:textId="77777777" w:rsidR="00BA0E27" w:rsidRPr="005B5418" w:rsidRDefault="00BA0E27" w:rsidP="00BA0E27">
            <w:pPr>
              <w:pStyle w:val="Table-Cell-CenterBoldBefore6ptAfter6pt"/>
              <w:rPr>
                <w:rFonts w:cs="Arial"/>
              </w:rPr>
            </w:pPr>
          </w:p>
        </w:tc>
        <w:tc>
          <w:tcPr>
            <w:tcW w:w="3212" w:type="dxa"/>
            <w:gridSpan w:val="2"/>
          </w:tcPr>
          <w:p w14:paraId="54F5FB23" w14:textId="77777777" w:rsidR="00BA0E27" w:rsidRPr="005B5418" w:rsidRDefault="00BA0E27" w:rsidP="00BA0E27">
            <w:pPr>
              <w:spacing w:line="240" w:lineRule="auto"/>
              <w:rPr>
                <w:rFonts w:cs="Arial"/>
              </w:rPr>
            </w:pPr>
          </w:p>
        </w:tc>
      </w:tr>
      <w:tr w:rsidR="00BA0E27" w:rsidRPr="005B5418" w14:paraId="4A2C7F96" w14:textId="77777777" w:rsidTr="005425ED">
        <w:trPr>
          <w:trHeight w:val="1475"/>
        </w:trPr>
        <w:tc>
          <w:tcPr>
            <w:tcW w:w="5404" w:type="dxa"/>
          </w:tcPr>
          <w:p w14:paraId="38171D55" w14:textId="42148FAE" w:rsidR="00BA0E27" w:rsidRPr="005B5418" w:rsidRDefault="00BA0E27" w:rsidP="005425ED">
            <w:pPr>
              <w:pStyle w:val="FAM-Table-outline"/>
              <w:numPr>
                <w:ilvl w:val="0"/>
                <w:numId w:val="1"/>
              </w:numPr>
              <w:spacing w:line="240" w:lineRule="auto"/>
              <w:ind w:left="609" w:hanging="609"/>
              <w:rPr>
                <w:rFonts w:eastAsia="Arial Unicode MS" w:cs="Arial"/>
                <w:szCs w:val="22"/>
              </w:rPr>
            </w:pPr>
            <w:r w:rsidRPr="005B5418">
              <w:rPr>
                <w:rFonts w:eastAsia="Arial Unicode MS"/>
              </w:rPr>
              <w:t>Are recoveries of losses recognized up to the point of any previously recognized losses on the commodities, and is the commodity valuation allowance reduced accordingly in the current period? (SFFAS 3, par</w:t>
            </w:r>
            <w:r w:rsidR="008D5884" w:rsidRPr="005B5418">
              <w:rPr>
                <w:rFonts w:eastAsia="Arial Unicode MS"/>
              </w:rPr>
              <w:t>a</w:t>
            </w:r>
            <w:r w:rsidRPr="005B5418">
              <w:rPr>
                <w:rFonts w:eastAsia="Arial Unicode MS"/>
              </w:rPr>
              <w:t>. 107)</w:t>
            </w:r>
          </w:p>
        </w:tc>
        <w:tc>
          <w:tcPr>
            <w:tcW w:w="965" w:type="dxa"/>
          </w:tcPr>
          <w:p w14:paraId="69CD1287" w14:textId="77777777" w:rsidR="00BA0E27" w:rsidRPr="005B5418" w:rsidRDefault="00BA0E27" w:rsidP="00BA0E27">
            <w:pPr>
              <w:pStyle w:val="Table-Cell-CenterBoldBefore6ptAfter6pt"/>
              <w:rPr>
                <w:rFonts w:cs="Arial"/>
              </w:rPr>
            </w:pPr>
          </w:p>
        </w:tc>
        <w:tc>
          <w:tcPr>
            <w:tcW w:w="3212" w:type="dxa"/>
            <w:gridSpan w:val="2"/>
          </w:tcPr>
          <w:p w14:paraId="7B4CBE46" w14:textId="77777777" w:rsidR="00BA0E27" w:rsidRPr="005B5418" w:rsidRDefault="00BA0E27" w:rsidP="00BA0E27">
            <w:pPr>
              <w:spacing w:line="240" w:lineRule="auto"/>
              <w:rPr>
                <w:rFonts w:cs="Arial"/>
              </w:rPr>
            </w:pPr>
          </w:p>
        </w:tc>
      </w:tr>
      <w:tr w:rsidR="00BA0E27" w:rsidRPr="005B5418" w14:paraId="0CFD0AD9" w14:textId="77777777" w:rsidTr="008848DA">
        <w:trPr>
          <w:trHeight w:val="323"/>
        </w:trPr>
        <w:tc>
          <w:tcPr>
            <w:tcW w:w="9581" w:type="dxa"/>
            <w:gridSpan w:val="4"/>
          </w:tcPr>
          <w:p w14:paraId="28277695" w14:textId="77777777" w:rsidR="00BA0E27" w:rsidRPr="005B5418" w:rsidRDefault="00BA0E27" w:rsidP="00BA0E27">
            <w:pPr>
              <w:spacing w:line="240" w:lineRule="auto"/>
              <w:rPr>
                <w:rFonts w:ascii="Arial" w:hAnsi="Arial" w:cs="Arial"/>
                <w:b/>
              </w:rPr>
            </w:pPr>
            <w:r w:rsidRPr="005B5418">
              <w:rPr>
                <w:rFonts w:ascii="Arial" w:hAnsi="Arial" w:cs="Arial"/>
                <w:b/>
              </w:rPr>
              <w:t>Disclosure</w:t>
            </w:r>
          </w:p>
        </w:tc>
      </w:tr>
      <w:tr w:rsidR="00BA0E27" w:rsidRPr="005B5418" w14:paraId="624F3DA1" w14:textId="77777777" w:rsidTr="005425ED">
        <w:trPr>
          <w:trHeight w:val="1664"/>
        </w:trPr>
        <w:tc>
          <w:tcPr>
            <w:tcW w:w="5404" w:type="dxa"/>
          </w:tcPr>
          <w:p w14:paraId="6295DCB4" w14:textId="7D7167E2" w:rsidR="00BA0E27" w:rsidRPr="005B5418" w:rsidRDefault="00BA0E27" w:rsidP="005425ED">
            <w:pPr>
              <w:pStyle w:val="FAM-Table-outline"/>
              <w:numPr>
                <w:ilvl w:val="0"/>
                <w:numId w:val="1"/>
              </w:numPr>
              <w:spacing w:line="240" w:lineRule="auto"/>
              <w:ind w:left="609" w:hanging="609"/>
              <w:rPr>
                <w:rFonts w:eastAsia="Arial Unicode MS" w:cs="Arial"/>
                <w:szCs w:val="22"/>
              </w:rPr>
            </w:pPr>
            <w:r w:rsidRPr="005B5418">
              <w:rPr>
                <w:rFonts w:eastAsia="Arial Unicode MS"/>
              </w:rPr>
              <w:t>If a loss contingency arising from a purchase agreement is not recognized because it is less than probable or is not reasonably measurable, is the loss contingency disclosed if it is at least “reasonably possible that a loss may occu</w:t>
            </w:r>
            <w:r w:rsidR="008D5884" w:rsidRPr="005B5418">
              <w:rPr>
                <w:rFonts w:eastAsia="Arial Unicode MS"/>
              </w:rPr>
              <w:t>r”</w:t>
            </w:r>
            <w:r w:rsidRPr="005B5418">
              <w:rPr>
                <w:rFonts w:eastAsia="Arial Unicode MS"/>
              </w:rPr>
              <w:t>? (SFFAS 3, par</w:t>
            </w:r>
            <w:r w:rsidR="008D5884" w:rsidRPr="005B5418">
              <w:rPr>
                <w:rFonts w:eastAsia="Arial Unicode MS"/>
              </w:rPr>
              <w:t>a</w:t>
            </w:r>
            <w:r w:rsidRPr="005B5418">
              <w:rPr>
                <w:rFonts w:eastAsia="Arial Unicode MS"/>
              </w:rPr>
              <w:t>. 98)</w:t>
            </w:r>
          </w:p>
        </w:tc>
        <w:tc>
          <w:tcPr>
            <w:tcW w:w="965" w:type="dxa"/>
          </w:tcPr>
          <w:p w14:paraId="2A40D63C" w14:textId="77777777" w:rsidR="00BA0E27" w:rsidRPr="005B5418" w:rsidRDefault="00BA0E27" w:rsidP="00BA0E27">
            <w:pPr>
              <w:pStyle w:val="Table-Cell-CenterBoldBefore6ptAfter6pt"/>
              <w:rPr>
                <w:rFonts w:cs="Arial"/>
              </w:rPr>
            </w:pPr>
          </w:p>
        </w:tc>
        <w:tc>
          <w:tcPr>
            <w:tcW w:w="3212" w:type="dxa"/>
            <w:gridSpan w:val="2"/>
          </w:tcPr>
          <w:p w14:paraId="14678468" w14:textId="77777777" w:rsidR="00BA0E27" w:rsidRPr="005B5418" w:rsidRDefault="00BA0E27" w:rsidP="00BA0E27">
            <w:pPr>
              <w:spacing w:line="240" w:lineRule="auto"/>
              <w:rPr>
                <w:rFonts w:cs="Arial"/>
              </w:rPr>
            </w:pPr>
          </w:p>
        </w:tc>
      </w:tr>
      <w:tr w:rsidR="00BA0E27" w:rsidRPr="005B5418" w14:paraId="5ACC488C" w14:textId="77777777" w:rsidTr="005425ED">
        <w:trPr>
          <w:trHeight w:val="7649"/>
        </w:trPr>
        <w:tc>
          <w:tcPr>
            <w:tcW w:w="5404" w:type="dxa"/>
          </w:tcPr>
          <w:p w14:paraId="14FC3E01" w14:textId="77777777" w:rsidR="00BA0E27" w:rsidRPr="005B5418" w:rsidRDefault="00BA0E27" w:rsidP="005425ED">
            <w:pPr>
              <w:pStyle w:val="FAM-Table-outline"/>
              <w:numPr>
                <w:ilvl w:val="0"/>
                <w:numId w:val="1"/>
              </w:numPr>
              <w:spacing w:line="240" w:lineRule="auto"/>
              <w:ind w:left="609" w:hanging="609"/>
              <w:rPr>
                <w:rFonts w:eastAsia="Arial Unicode MS" w:cs="Arial"/>
                <w:szCs w:val="22"/>
              </w:rPr>
            </w:pPr>
            <w:r w:rsidRPr="005B5418">
              <w:rPr>
                <w:rFonts w:eastAsia="Arial Unicode MS" w:cs="Arial"/>
                <w:szCs w:val="22"/>
              </w:rPr>
              <w:lastRenderedPageBreak/>
              <w:t xml:space="preserve">Does entity disclosure of goods held under price support and stabilization programs include </w:t>
            </w:r>
          </w:p>
          <w:p w14:paraId="2BE37126" w14:textId="70F246B1"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basis for valuing commodities</w:t>
            </w:r>
            <w:r w:rsidR="00E93146" w:rsidRPr="005B5418">
              <w:rPr>
                <w:rFonts w:eastAsia="Arial Unicode MS" w:cs="Arial"/>
                <w:szCs w:val="22"/>
              </w:rPr>
              <w:t>,</w:t>
            </w:r>
            <w:r w:rsidRPr="005B5418">
              <w:rPr>
                <w:rFonts w:eastAsia="Arial Unicode MS" w:cs="Arial"/>
                <w:szCs w:val="22"/>
              </w:rPr>
              <w:t xml:space="preserve"> including valuation method and cost flow assumptions (e.g., FIFO, weighted average, moving average, </w:t>
            </w:r>
            <w:r w:rsidR="00E93146" w:rsidRPr="005B5418">
              <w:rPr>
                <w:rFonts w:eastAsia="Arial Unicode MS" w:cs="Arial"/>
                <w:szCs w:val="22"/>
              </w:rPr>
              <w:t xml:space="preserve">or </w:t>
            </w:r>
            <w:r w:rsidRPr="005B5418">
              <w:rPr>
                <w:rFonts w:eastAsia="Arial Unicode MS" w:cs="Arial"/>
                <w:szCs w:val="22"/>
              </w:rPr>
              <w:t>specific identification);</w:t>
            </w:r>
          </w:p>
          <w:p w14:paraId="4F788EE7"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changes from prior years’ accounting methods;</w:t>
            </w:r>
          </w:p>
          <w:p w14:paraId="5F0F146D" w14:textId="77777777"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restrictions on the use, disposal, or sale of commodities; </w:t>
            </w:r>
          </w:p>
          <w:p w14:paraId="608F71A3" w14:textId="68F04285"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analysis of the changes in dollar amount and volume of commodities, including those</w:t>
            </w:r>
          </w:p>
          <w:p w14:paraId="7A076476"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on hand at the beginning of the year,</w:t>
            </w:r>
          </w:p>
          <w:p w14:paraId="08A5F270"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acquired during the year,</w:t>
            </w:r>
          </w:p>
          <w:p w14:paraId="615277FF"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disposed of during the year by method of disposition,</w:t>
            </w:r>
          </w:p>
          <w:p w14:paraId="33D24C27"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on hand at the end of the year,</w:t>
            </w:r>
          </w:p>
          <w:p w14:paraId="25C037D5"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on hand at year’s end and estimated to be donated or transferred during the coming period, and</w:t>
            </w:r>
          </w:p>
          <w:p w14:paraId="5A2A9AAD" w14:textId="77777777" w:rsidR="00BA0E27" w:rsidRPr="005B5418" w:rsidRDefault="00BA0E27"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that may be received as a result of surrender of collateral related to nonrecourse loans outstanding; and</w:t>
            </w:r>
          </w:p>
          <w:p w14:paraId="2F7CD6CF" w14:textId="0247871A" w:rsidR="00BA0E27" w:rsidRPr="005B5418" w:rsidRDefault="00BA0E2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analysis of the dollar value and volume of purchase agreement commitments?</w:t>
            </w:r>
            <w:r w:rsidRPr="005B5418">
              <w:rPr>
                <w:rFonts w:eastAsia="Arial Unicode MS" w:cs="Arial"/>
                <w:szCs w:val="22"/>
              </w:rPr>
              <w:br/>
              <w:t>(SFFAS 3, par</w:t>
            </w:r>
            <w:r w:rsidR="00E93146" w:rsidRPr="005B5418">
              <w:rPr>
                <w:rFonts w:eastAsia="Arial Unicode MS" w:cs="Arial"/>
                <w:szCs w:val="22"/>
              </w:rPr>
              <w:t>a</w:t>
            </w:r>
            <w:r w:rsidRPr="005B5418">
              <w:rPr>
                <w:rFonts w:eastAsia="Arial Unicode MS" w:cs="Arial"/>
                <w:szCs w:val="22"/>
              </w:rPr>
              <w:t>. 109)</w:t>
            </w:r>
          </w:p>
        </w:tc>
        <w:tc>
          <w:tcPr>
            <w:tcW w:w="965" w:type="dxa"/>
          </w:tcPr>
          <w:p w14:paraId="6349959E" w14:textId="77777777" w:rsidR="00BA0E27" w:rsidRPr="005B5418" w:rsidRDefault="00BA0E27" w:rsidP="00BA0E27">
            <w:pPr>
              <w:pStyle w:val="Table-Cell-CenterBoldBefore6ptAfter6pt"/>
              <w:rPr>
                <w:rFonts w:cs="Arial"/>
                <w:lang w:val="pt-BR"/>
              </w:rPr>
            </w:pPr>
          </w:p>
        </w:tc>
        <w:tc>
          <w:tcPr>
            <w:tcW w:w="3212" w:type="dxa"/>
            <w:gridSpan w:val="2"/>
          </w:tcPr>
          <w:p w14:paraId="18FDC71C" w14:textId="77777777" w:rsidR="00BA0E27" w:rsidRPr="005B5418" w:rsidRDefault="00BA0E27" w:rsidP="00BA0E27">
            <w:pPr>
              <w:spacing w:line="240" w:lineRule="auto"/>
              <w:rPr>
                <w:rFonts w:cs="Arial"/>
                <w:lang w:val="pt-BR"/>
              </w:rPr>
            </w:pPr>
          </w:p>
        </w:tc>
      </w:tr>
    </w:tbl>
    <w:p w14:paraId="08974AA2" w14:textId="3D1B5D9F" w:rsidR="00884E2F" w:rsidRPr="005B5418" w:rsidRDefault="00884E2F"/>
    <w:p w14:paraId="5DE37660" w14:textId="2FB97A3C" w:rsidR="00884E2F" w:rsidRPr="005B5418" w:rsidRDefault="00884E2F"/>
    <w:p w14:paraId="79930B36" w14:textId="674D74AC" w:rsidR="00884E2F" w:rsidRPr="005B5418" w:rsidRDefault="00884E2F"/>
    <w:p w14:paraId="2181E2F9" w14:textId="1FA5BD8A" w:rsidR="00884E2F" w:rsidRPr="005B5418" w:rsidRDefault="00884E2F"/>
    <w:p w14:paraId="34650B36" w14:textId="77777777" w:rsidR="00884E2F" w:rsidRPr="005B5418" w:rsidRDefault="00884E2F"/>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98"/>
        <w:gridCol w:w="963"/>
        <w:gridCol w:w="3220"/>
        <w:gridCol w:w="19"/>
      </w:tblGrid>
      <w:tr w:rsidR="00984623" w:rsidRPr="005B5418" w14:paraId="5B9E4DF4" w14:textId="77777777" w:rsidTr="00E2238C">
        <w:trPr>
          <w:gridAfter w:val="1"/>
          <w:wAfter w:w="19" w:type="dxa"/>
          <w:tblHeader/>
        </w:trPr>
        <w:tc>
          <w:tcPr>
            <w:tcW w:w="5398" w:type="dxa"/>
          </w:tcPr>
          <w:p w14:paraId="4218D93D" w14:textId="531E99EB" w:rsidR="00984623" w:rsidRPr="005B5418" w:rsidRDefault="00884E2F">
            <w:pPr>
              <w:pStyle w:val="Heading4"/>
              <w:spacing w:before="60" w:after="60" w:line="240" w:lineRule="auto"/>
              <w:jc w:val="left"/>
              <w:rPr>
                <w:b/>
                <w:u w:val="none"/>
              </w:rPr>
            </w:pPr>
            <w:bookmarkStart w:id="165" w:name="_II.3.8.10_General_Property,_1"/>
            <w:bookmarkEnd w:id="165"/>
            <w:r w:rsidRPr="005B5418">
              <w:lastRenderedPageBreak/>
              <w:br/>
            </w:r>
            <w:bookmarkStart w:id="166" w:name="_Ref8637659"/>
            <w:r w:rsidR="00984623" w:rsidRPr="005B5418">
              <w:rPr>
                <w:b/>
                <w:u w:val="none"/>
              </w:rPr>
              <w:t>II.3.8.10 Property, Plant, and Equipment, Net</w:t>
            </w:r>
            <w:bookmarkEnd w:id="166"/>
            <w:r w:rsidR="00984623" w:rsidRPr="005B5418">
              <w:rPr>
                <w:b/>
                <w:u w:val="none"/>
              </w:rPr>
              <w:t xml:space="preserve"> </w:t>
            </w:r>
          </w:p>
        </w:tc>
        <w:tc>
          <w:tcPr>
            <w:tcW w:w="963" w:type="dxa"/>
          </w:tcPr>
          <w:p w14:paraId="4E52DB2A" w14:textId="77777777" w:rsidR="00984623" w:rsidRPr="005B5418" w:rsidRDefault="00984623" w:rsidP="008848DA">
            <w:pPr>
              <w:pStyle w:val="TableCellCenter"/>
              <w:spacing w:before="60" w:after="60"/>
              <w:jc w:val="left"/>
            </w:pPr>
            <w:r w:rsidRPr="005B5418">
              <w:t>Yes, No, or N/A</w:t>
            </w:r>
          </w:p>
        </w:tc>
        <w:tc>
          <w:tcPr>
            <w:tcW w:w="3220" w:type="dxa"/>
          </w:tcPr>
          <w:p w14:paraId="5BAECA93" w14:textId="77777777" w:rsidR="00984623" w:rsidRPr="005B5418" w:rsidRDefault="00984623" w:rsidP="008848DA">
            <w:pPr>
              <w:pStyle w:val="TableCellCenter"/>
              <w:spacing w:before="60" w:after="60"/>
              <w:jc w:val="left"/>
            </w:pPr>
            <w:r w:rsidRPr="005B5418">
              <w:t>Explanation and Reference</w:t>
            </w:r>
          </w:p>
        </w:tc>
      </w:tr>
      <w:tr w:rsidR="00984623" w:rsidRPr="005B5418" w14:paraId="55D19DB1" w14:textId="77777777" w:rsidTr="000355E7">
        <w:trPr>
          <w:gridAfter w:val="1"/>
          <w:wAfter w:w="19" w:type="dxa"/>
        </w:trPr>
        <w:tc>
          <w:tcPr>
            <w:tcW w:w="9581" w:type="dxa"/>
            <w:gridSpan w:val="3"/>
            <w:vAlign w:val="center"/>
          </w:tcPr>
          <w:p w14:paraId="12F5B8ED" w14:textId="2DE53E0C" w:rsidR="00496240" w:rsidRPr="005B5418" w:rsidRDefault="00496240" w:rsidP="00D7798C">
            <w:pPr>
              <w:autoSpaceDE w:val="0"/>
              <w:autoSpaceDN w:val="0"/>
              <w:spacing w:before="60" w:after="60" w:line="240" w:lineRule="auto"/>
              <w:contextualSpacing/>
              <w:rPr>
                <w:rFonts w:ascii="Arial" w:hAnsi="Arial" w:cs="Arial"/>
              </w:rPr>
            </w:pPr>
            <w:r w:rsidRPr="005B5418">
              <w:rPr>
                <w:rFonts w:ascii="Arial" w:hAnsi="Arial" w:cs="Arial"/>
              </w:rPr>
              <w:t xml:space="preserve">The </w:t>
            </w:r>
            <w:r w:rsidR="003F4D92" w:rsidRPr="005B5418">
              <w:rPr>
                <w:rFonts w:ascii="Arial" w:eastAsia="Arial Unicode MS" w:hAnsi="Arial" w:cs="Arial"/>
              </w:rPr>
              <w:t>p</w:t>
            </w:r>
            <w:r w:rsidR="00703A58" w:rsidRPr="005B5418">
              <w:rPr>
                <w:rFonts w:ascii="Arial" w:eastAsia="Arial Unicode MS" w:hAnsi="Arial" w:cs="Arial"/>
              </w:rPr>
              <w:t xml:space="preserve">roperty, plant, and equipment (PP&amp;E) </w:t>
            </w:r>
            <w:r w:rsidRPr="005B5418">
              <w:rPr>
                <w:rFonts w:ascii="Arial" w:hAnsi="Arial" w:cs="Arial"/>
              </w:rPr>
              <w:t xml:space="preserve">line item encompasses certain assets that are broader than the scope of SFFAS 6, </w:t>
            </w:r>
            <w:r w:rsidRPr="005B5418">
              <w:rPr>
                <w:rFonts w:ascii="Arial" w:hAnsi="Arial" w:cs="Arial"/>
                <w:i/>
                <w:iCs/>
              </w:rPr>
              <w:t>Accounting for PP&amp;E</w:t>
            </w:r>
            <w:r w:rsidRPr="005B5418">
              <w:rPr>
                <w:rFonts w:ascii="Arial" w:hAnsi="Arial" w:cs="Arial"/>
              </w:rPr>
              <w:t xml:space="preserve">. Specifically, </w:t>
            </w:r>
            <w:r w:rsidR="003F4D92" w:rsidRPr="005B5418">
              <w:rPr>
                <w:rFonts w:ascii="Arial" w:hAnsi="Arial" w:cs="Arial"/>
              </w:rPr>
              <w:t xml:space="preserve">the </w:t>
            </w:r>
            <w:r w:rsidRPr="005B5418">
              <w:rPr>
                <w:rFonts w:ascii="Arial" w:hAnsi="Arial" w:cs="Arial"/>
              </w:rPr>
              <w:t>PP&amp;E</w:t>
            </w:r>
            <w:r w:rsidR="009F1FFC" w:rsidRPr="005B5418">
              <w:rPr>
                <w:rFonts w:ascii="Arial" w:hAnsi="Arial" w:cs="Arial"/>
              </w:rPr>
              <w:t xml:space="preserve"> line item (as per A-136)</w:t>
            </w:r>
            <w:r w:rsidRPr="005B5418">
              <w:rPr>
                <w:rFonts w:ascii="Arial" w:hAnsi="Arial" w:cs="Arial"/>
              </w:rPr>
              <w:t xml:space="preserve"> represents the entity’s rights with respect to PP&amp;E</w:t>
            </w:r>
            <w:r w:rsidR="009F1FFC" w:rsidRPr="005B5418">
              <w:rPr>
                <w:rFonts w:ascii="Arial" w:hAnsi="Arial" w:cs="Arial"/>
              </w:rPr>
              <w:t>.</w:t>
            </w:r>
            <w:r w:rsidR="0076635F" w:rsidRPr="005B5418" w:rsidDel="0076635F">
              <w:rPr>
                <w:rStyle w:val="FootnoteReference"/>
                <w:rFonts w:ascii="Arial" w:hAnsi="Arial" w:cs="Arial"/>
              </w:rPr>
              <w:t xml:space="preserve"> </w:t>
            </w:r>
          </w:p>
          <w:p w14:paraId="6DC6D22E" w14:textId="77777777" w:rsidR="00496240" w:rsidRPr="005B5418" w:rsidRDefault="00496240" w:rsidP="00D7798C">
            <w:pPr>
              <w:autoSpaceDE w:val="0"/>
              <w:autoSpaceDN w:val="0"/>
              <w:spacing w:before="60" w:after="60" w:line="240" w:lineRule="auto"/>
              <w:contextualSpacing/>
              <w:rPr>
                <w:rFonts w:ascii="Arial" w:eastAsia="Arial Unicode MS" w:hAnsi="Arial" w:cs="Arial"/>
              </w:rPr>
            </w:pPr>
          </w:p>
          <w:p w14:paraId="632180B3" w14:textId="570E62DE" w:rsidR="00984623" w:rsidRPr="005B5418" w:rsidRDefault="00984623" w:rsidP="00D7798C">
            <w:pPr>
              <w:autoSpaceDE w:val="0"/>
              <w:autoSpaceDN w:val="0"/>
              <w:spacing w:before="60" w:after="60" w:line="240" w:lineRule="auto"/>
              <w:contextualSpacing/>
              <w:rPr>
                <w:rFonts w:ascii="Arial" w:eastAsia="Arial Unicode MS" w:hAnsi="Arial" w:cs="Arial"/>
              </w:rPr>
            </w:pPr>
            <w:r w:rsidRPr="005B5418">
              <w:rPr>
                <w:rFonts w:ascii="Arial" w:eastAsia="Arial Unicode MS" w:hAnsi="Arial" w:cs="Arial"/>
              </w:rPr>
              <w:t>PP&amp;E consists of tangible assets, including land, that meet the following criteria:</w:t>
            </w:r>
          </w:p>
          <w:p w14:paraId="175344EC" w14:textId="77777777" w:rsidR="00984623" w:rsidRPr="005B5418" w:rsidRDefault="00984623" w:rsidP="00D7798C">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 they have estimated useful lives</w:t>
            </w:r>
            <w:r w:rsidRPr="005B5418">
              <w:t xml:space="preserve"> </w:t>
            </w:r>
            <w:r w:rsidRPr="005B5418">
              <w:rPr>
                <w:rFonts w:ascii="Arial" w:eastAsia="Arial Unicode MS" w:hAnsi="Arial" w:cs="Arial"/>
              </w:rPr>
              <w:t>of 2 years or more;</w:t>
            </w:r>
            <w:r w:rsidRPr="005B5418">
              <w:rPr>
                <w:rStyle w:val="FootnoteReference"/>
                <w:rFonts w:ascii="Arial" w:eastAsia="Arial Unicode MS" w:hAnsi="Arial" w:cs="Arial"/>
              </w:rPr>
              <w:footnoteReference w:id="127"/>
            </w:r>
            <w:r w:rsidRPr="005B5418">
              <w:rPr>
                <w:rFonts w:ascii="Arial" w:eastAsia="Arial Unicode MS" w:hAnsi="Arial" w:cs="Arial"/>
              </w:rPr>
              <w:t xml:space="preserve"> </w:t>
            </w:r>
          </w:p>
          <w:p w14:paraId="7087C8CE" w14:textId="77777777" w:rsidR="00984623" w:rsidRPr="005B5418" w:rsidRDefault="00984623" w:rsidP="00D7798C">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 they are not intended for sale in the ordinary course of operations; and</w:t>
            </w:r>
          </w:p>
          <w:p w14:paraId="242F7415" w14:textId="77777777" w:rsidR="00984623" w:rsidRPr="005B5418" w:rsidRDefault="00984623" w:rsidP="00D7798C">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 they have been acquired or constructed with the intention of being used, or being</w:t>
            </w:r>
          </w:p>
          <w:p w14:paraId="4B851D2C" w14:textId="77777777" w:rsidR="00984623" w:rsidRPr="005B5418" w:rsidRDefault="00984623" w:rsidP="00D7798C">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available for use, by the entity.</w:t>
            </w:r>
          </w:p>
          <w:p w14:paraId="4CBD0F21" w14:textId="77777777" w:rsidR="00984623" w:rsidRPr="005B5418" w:rsidRDefault="00984623" w:rsidP="00D7798C">
            <w:pPr>
              <w:autoSpaceDE w:val="0"/>
              <w:autoSpaceDN w:val="0"/>
              <w:spacing w:before="60" w:after="60" w:line="240" w:lineRule="auto"/>
              <w:contextualSpacing/>
              <w:rPr>
                <w:rFonts w:ascii="Arial" w:eastAsia="Arial Unicode MS" w:hAnsi="Arial" w:cs="Arial"/>
              </w:rPr>
            </w:pPr>
          </w:p>
          <w:p w14:paraId="0BFA3F48" w14:textId="4E8A223B" w:rsidR="00984623" w:rsidRPr="005B5418" w:rsidRDefault="003F4D92" w:rsidP="00D7798C">
            <w:pPr>
              <w:autoSpaceDE w:val="0"/>
              <w:autoSpaceDN w:val="0"/>
              <w:spacing w:before="60" w:after="60" w:line="240" w:lineRule="auto"/>
              <w:contextualSpacing/>
              <w:rPr>
                <w:rFonts w:ascii="Arial" w:eastAsia="Arial Unicode MS" w:hAnsi="Arial" w:cs="Arial"/>
              </w:rPr>
            </w:pPr>
            <w:r w:rsidRPr="005B5418">
              <w:rPr>
                <w:rFonts w:ascii="Arial" w:eastAsia="Arial Unicode MS" w:hAnsi="Arial" w:cs="Arial"/>
              </w:rPr>
              <w:t xml:space="preserve">The </w:t>
            </w:r>
            <w:r w:rsidR="00984623" w:rsidRPr="005B5418">
              <w:rPr>
                <w:rFonts w:ascii="Arial" w:eastAsia="Arial Unicode MS" w:hAnsi="Arial" w:cs="Arial"/>
              </w:rPr>
              <w:t>PP&amp;E</w:t>
            </w:r>
            <w:r w:rsidR="00756AD4" w:rsidRPr="005B5418">
              <w:rPr>
                <w:rFonts w:ascii="Arial" w:eastAsia="Arial Unicode MS" w:hAnsi="Arial" w:cs="Arial"/>
              </w:rPr>
              <w:t xml:space="preserve"> line item </w:t>
            </w:r>
            <w:r w:rsidR="00984623" w:rsidRPr="005B5418">
              <w:rPr>
                <w:rFonts w:ascii="Arial" w:eastAsia="Arial Unicode MS" w:hAnsi="Arial" w:cs="Arial"/>
              </w:rPr>
              <w:t>also includes</w:t>
            </w:r>
          </w:p>
          <w:p w14:paraId="1784E0AC" w14:textId="43F7B46D" w:rsidR="00984623" w:rsidRPr="005B5418" w:rsidRDefault="00984623" w:rsidP="00703A58">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 xml:space="preserve">• </w:t>
            </w:r>
            <w:r w:rsidR="00703A58" w:rsidRPr="005B5418">
              <w:rPr>
                <w:rFonts w:ascii="Arial" w:eastAsia="Arial Unicode MS" w:hAnsi="Arial" w:cs="Arial"/>
              </w:rPr>
              <w:t>right-to-use lease assets</w:t>
            </w:r>
            <w:r w:rsidR="003F4D92" w:rsidRPr="005B5418">
              <w:rPr>
                <w:rFonts w:ascii="Arial" w:eastAsia="Arial Unicode MS" w:hAnsi="Arial" w:cs="Arial"/>
              </w:rPr>
              <w:t xml:space="preserve"> (A-136, section II.3.8.10);</w:t>
            </w:r>
            <w:r w:rsidR="0076635F" w:rsidRPr="005B5418">
              <w:rPr>
                <w:rStyle w:val="FootnoteReference"/>
                <w:rFonts w:ascii="Arial" w:hAnsi="Arial" w:cs="Arial"/>
              </w:rPr>
              <w:footnoteReference w:id="128"/>
            </w:r>
            <w:r w:rsidR="0076635F" w:rsidRPr="005B5418">
              <w:rPr>
                <w:rFonts w:ascii="Arial" w:hAnsi="Arial" w:cs="Arial"/>
              </w:rPr>
              <w:t xml:space="preserve"> </w:t>
            </w:r>
          </w:p>
          <w:p w14:paraId="4DC8CE89" w14:textId="0A3CFCFC" w:rsidR="00703A58" w:rsidRPr="005B5418" w:rsidRDefault="00703A58" w:rsidP="00703A58">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 leasehold improvements;</w:t>
            </w:r>
          </w:p>
          <w:p w14:paraId="47A9AEFF" w14:textId="51519589" w:rsidR="00496240" w:rsidRPr="005B5418" w:rsidRDefault="00984623">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 property owned by the reporting entity in the hands of</w:t>
            </w:r>
            <w:r w:rsidR="003D3801" w:rsidRPr="005B5418">
              <w:rPr>
                <w:rFonts w:ascii="Arial" w:eastAsia="Arial Unicode MS" w:hAnsi="Arial" w:cs="Arial"/>
              </w:rPr>
              <w:t xml:space="preserve"> or leased to</w:t>
            </w:r>
            <w:r w:rsidRPr="005B5418">
              <w:rPr>
                <w:rFonts w:ascii="Arial" w:eastAsia="Arial Unicode MS" w:hAnsi="Arial" w:cs="Arial"/>
              </w:rPr>
              <w:t xml:space="preserve"> others (e.g., state and local</w:t>
            </w:r>
            <w:r w:rsidR="003D3801" w:rsidRPr="005B5418">
              <w:rPr>
                <w:rFonts w:ascii="Arial" w:eastAsia="Arial Unicode MS" w:hAnsi="Arial" w:cs="Arial"/>
              </w:rPr>
              <w:t xml:space="preserve"> </w:t>
            </w:r>
            <w:r w:rsidRPr="005B5418">
              <w:rPr>
                <w:rFonts w:ascii="Arial" w:eastAsia="Arial Unicode MS" w:hAnsi="Arial" w:cs="Arial"/>
              </w:rPr>
              <w:t>governments, colleges and universities, or federal contractors);</w:t>
            </w:r>
          </w:p>
          <w:p w14:paraId="131FB4A9" w14:textId="41E278DE" w:rsidR="00496240" w:rsidRPr="005B5418" w:rsidRDefault="00984623">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 land rights</w:t>
            </w:r>
            <w:r w:rsidR="00496240" w:rsidRPr="005B5418">
              <w:rPr>
                <w:rFonts w:ascii="Arial" w:eastAsia="Arial Unicode MS" w:hAnsi="Arial" w:cs="Arial"/>
              </w:rPr>
              <w:t xml:space="preserve"> that do not meet the definition of a lease</w:t>
            </w:r>
            <w:r w:rsidR="003F4D92" w:rsidRPr="005B5418">
              <w:rPr>
                <w:rFonts w:ascii="Arial" w:eastAsia="Arial Unicode MS" w:hAnsi="Arial" w:cs="Arial"/>
              </w:rPr>
              <w:t>;</w:t>
            </w:r>
            <w:r w:rsidRPr="005B5418">
              <w:rPr>
                <w:rStyle w:val="FootnoteReference"/>
                <w:rFonts w:ascii="Arial" w:eastAsia="Arial Unicode MS" w:hAnsi="Arial" w:cs="Arial"/>
              </w:rPr>
              <w:footnoteReference w:id="129"/>
            </w:r>
            <w:r w:rsidRPr="005B5418">
              <w:rPr>
                <w:rFonts w:ascii="Arial" w:eastAsia="Arial Unicode MS" w:hAnsi="Arial" w:cs="Arial"/>
              </w:rPr>
              <w:t xml:space="preserve"> </w:t>
            </w:r>
          </w:p>
          <w:p w14:paraId="24F0960F" w14:textId="70A05616" w:rsidR="00496240" w:rsidRPr="005B5418" w:rsidRDefault="00496240" w:rsidP="00496240">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 contracts or agreements that transfer ownership</w:t>
            </w:r>
            <w:r w:rsidR="003F4D92" w:rsidRPr="005B5418">
              <w:rPr>
                <w:rFonts w:ascii="Arial" w:eastAsia="Arial Unicode MS" w:hAnsi="Arial" w:cs="Arial"/>
              </w:rPr>
              <w:t xml:space="preserve"> (SFFAS 6, para. 17 and 18);</w:t>
            </w:r>
            <w:r w:rsidRPr="005B5418">
              <w:rPr>
                <w:rStyle w:val="FootnoteReference"/>
                <w:rFonts w:ascii="Arial" w:eastAsia="Arial Unicode MS" w:hAnsi="Arial" w:cs="Arial"/>
              </w:rPr>
              <w:footnoteReference w:id="130"/>
            </w:r>
            <w:r w:rsidR="003F4D92" w:rsidRPr="005B5418">
              <w:rPr>
                <w:rFonts w:ascii="Arial" w:eastAsia="Arial Unicode MS" w:hAnsi="Arial" w:cs="Arial"/>
              </w:rPr>
              <w:t xml:space="preserve"> </w:t>
            </w:r>
            <w:r w:rsidRPr="005B5418">
              <w:rPr>
                <w:rFonts w:ascii="Arial" w:eastAsia="Arial Unicode MS" w:hAnsi="Arial" w:cs="Arial"/>
              </w:rPr>
              <w:t>and</w:t>
            </w:r>
          </w:p>
          <w:p w14:paraId="50C1088C" w14:textId="56EF6F97" w:rsidR="00703A58" w:rsidRPr="005B5418" w:rsidRDefault="00496240" w:rsidP="00703A58">
            <w:pPr>
              <w:autoSpaceDE w:val="0"/>
              <w:autoSpaceDN w:val="0"/>
              <w:spacing w:before="60" w:after="60" w:line="240" w:lineRule="auto"/>
              <w:ind w:left="720"/>
              <w:contextualSpacing/>
              <w:rPr>
                <w:rFonts w:ascii="Arial" w:eastAsia="Arial Unicode MS" w:hAnsi="Arial" w:cs="Arial"/>
              </w:rPr>
            </w:pPr>
            <w:r w:rsidRPr="005B5418">
              <w:rPr>
                <w:rFonts w:ascii="Arial" w:eastAsia="Arial Unicode MS" w:hAnsi="Arial" w:cs="Arial"/>
              </w:rPr>
              <w:t>• internal use software (SFFAS 10, para. 15).</w:t>
            </w:r>
          </w:p>
          <w:p w14:paraId="0DB9A69D" w14:textId="0C137C0E" w:rsidR="00C00CA8" w:rsidRPr="005B5418" w:rsidRDefault="00C00CA8" w:rsidP="00BE4C71">
            <w:pPr>
              <w:pStyle w:val="ListParagraph"/>
              <w:autoSpaceDE w:val="0"/>
              <w:autoSpaceDN w:val="0"/>
              <w:spacing w:before="60" w:after="60" w:line="240" w:lineRule="auto"/>
              <w:ind w:left="0"/>
              <w:contextualSpacing/>
              <w:rPr>
                <w:rFonts w:eastAsia="Arial Unicode MS" w:cs="Arial"/>
                <w:sz w:val="22"/>
                <w:szCs w:val="22"/>
              </w:rPr>
            </w:pPr>
          </w:p>
          <w:p w14:paraId="4D9D3AB6" w14:textId="6335458A" w:rsidR="00BE4C71" w:rsidRPr="005B5418" w:rsidRDefault="00BE4C71" w:rsidP="00BE4C71">
            <w:pPr>
              <w:pStyle w:val="ListParagraph"/>
              <w:autoSpaceDE w:val="0"/>
              <w:autoSpaceDN w:val="0"/>
              <w:spacing w:before="60" w:after="60" w:line="240" w:lineRule="auto"/>
              <w:ind w:left="0"/>
              <w:contextualSpacing/>
              <w:rPr>
                <w:rFonts w:eastAsia="Arial Unicode MS" w:cs="Arial"/>
                <w:sz w:val="22"/>
                <w:szCs w:val="22"/>
              </w:rPr>
            </w:pPr>
            <w:r w:rsidRPr="005B5418">
              <w:rPr>
                <w:rFonts w:eastAsia="Arial Unicode MS" w:cs="Arial"/>
                <w:sz w:val="22"/>
                <w:szCs w:val="22"/>
              </w:rPr>
              <w:t>PP&amp;E in this section is recognized as an asset on the balance sheet. Stewardship PP&amp;E (heritage assets and stewardship property) is disclosed in the notes to the financial statements (See section II.3.8.11 Stewardship Property, Plant, and Equipment).</w:t>
            </w:r>
            <w:r w:rsidRPr="005B5418">
              <w:rPr>
                <w:rStyle w:val="FootnoteReference"/>
                <w:rFonts w:eastAsia="Arial Unicode MS" w:cs="Arial"/>
                <w:sz w:val="22"/>
                <w:szCs w:val="22"/>
              </w:rPr>
              <w:footnoteReference w:id="131"/>
            </w:r>
          </w:p>
          <w:p w14:paraId="5FCB8213" w14:textId="26AC2BA4" w:rsidR="00C00CA8" w:rsidRPr="005B5418" w:rsidRDefault="00B40738" w:rsidP="008E261A">
            <w:pPr>
              <w:pStyle w:val="ListParagraph"/>
              <w:autoSpaceDE w:val="0"/>
              <w:autoSpaceDN w:val="0"/>
              <w:spacing w:before="60" w:after="60" w:line="240" w:lineRule="auto"/>
              <w:ind w:left="1440"/>
              <w:contextualSpacing/>
            </w:pPr>
            <w:r w:rsidRPr="005B5418">
              <w:rPr>
                <w:rFonts w:eastAsia="Arial Unicode MS" w:cs="Arial"/>
              </w:rPr>
              <w:t xml:space="preserve"> </w:t>
            </w:r>
          </w:p>
          <w:p w14:paraId="31536A69" w14:textId="5C8C074D" w:rsidR="00D57828" w:rsidRPr="005B5418" w:rsidRDefault="00984623" w:rsidP="00D7798C">
            <w:pPr>
              <w:autoSpaceDE w:val="0"/>
              <w:autoSpaceDN w:val="0"/>
              <w:spacing w:before="60" w:after="60" w:line="240" w:lineRule="auto"/>
              <w:contextualSpacing/>
              <w:rPr>
                <w:rFonts w:ascii="Arial" w:hAnsi="Arial" w:cs="Arial"/>
              </w:rPr>
            </w:pPr>
            <w:r w:rsidRPr="005B5418">
              <w:rPr>
                <w:rFonts w:ascii="Arial" w:hAnsi="Arial" w:cs="Arial"/>
              </w:rPr>
              <w:t xml:space="preserve">SFFAS 50 provides implementation guidance that allows a reporting entity, under specific </w:t>
            </w:r>
          </w:p>
          <w:p w14:paraId="05D8970B" w14:textId="7DD7D924" w:rsidR="00D57828" w:rsidRPr="005B5418" w:rsidRDefault="00984623" w:rsidP="00923D3A">
            <w:pPr>
              <w:autoSpaceDE w:val="0"/>
              <w:autoSpaceDN w:val="0"/>
              <w:spacing w:before="60" w:after="60" w:line="240" w:lineRule="auto"/>
              <w:rPr>
                <w:rFonts w:ascii="Arial" w:hAnsi="Arial" w:cs="Arial"/>
              </w:rPr>
            </w:pPr>
            <w:r w:rsidRPr="005B5418">
              <w:rPr>
                <w:rFonts w:ascii="Arial" w:hAnsi="Arial" w:cs="Arial"/>
              </w:rPr>
              <w:t xml:space="preserve">methods are permitted when presenting financial statements, or one or more line items </w:t>
            </w:r>
            <w:r w:rsidR="00D57828" w:rsidRPr="005B5418">
              <w:rPr>
                <w:rFonts w:ascii="Arial" w:hAnsi="Arial" w:cs="Arial"/>
              </w:rPr>
              <w:t xml:space="preserve">conditions, to apply alternative methods in establishing opening balances for </w:t>
            </w:r>
            <w:r w:rsidR="000A0C1F" w:rsidRPr="005B5418">
              <w:rPr>
                <w:rFonts w:ascii="Arial" w:hAnsi="Arial" w:cs="Arial"/>
              </w:rPr>
              <w:t>PP&amp;E</w:t>
            </w:r>
            <w:r w:rsidR="00D57828" w:rsidRPr="005B5418">
              <w:rPr>
                <w:rFonts w:ascii="Arial" w:hAnsi="Arial" w:cs="Arial"/>
              </w:rPr>
              <w:t>.</w:t>
            </w:r>
          </w:p>
          <w:p w14:paraId="6127378B" w14:textId="3C9BE1ED" w:rsidR="00D57828" w:rsidRPr="005B5418" w:rsidRDefault="00D57828" w:rsidP="00923D3A">
            <w:pPr>
              <w:autoSpaceDE w:val="0"/>
              <w:autoSpaceDN w:val="0"/>
              <w:spacing w:before="60" w:after="60" w:line="240" w:lineRule="auto"/>
              <w:rPr>
                <w:rFonts w:cs="Arial"/>
              </w:rPr>
            </w:pPr>
            <w:r w:rsidRPr="005B5418">
              <w:rPr>
                <w:rFonts w:ascii="Arial" w:hAnsi="Arial" w:cs="Arial"/>
              </w:rPr>
              <w:t xml:space="preserve">The alternative methods include (1) using deemed cost to establish opening balances of </w:t>
            </w:r>
            <w:r w:rsidR="000A0C1F" w:rsidRPr="005B5418">
              <w:rPr>
                <w:rFonts w:ascii="Arial" w:hAnsi="Arial" w:cs="Arial"/>
              </w:rPr>
              <w:t>PP&amp;E</w:t>
            </w:r>
            <w:r w:rsidRPr="005B5418">
              <w:rPr>
                <w:rFonts w:ascii="Arial" w:hAnsi="Arial" w:cs="Arial"/>
              </w:rPr>
              <w:t>; (2) selecting between deemed cost and prospective capitalization of internal use software; and (3) allowing an exclusion of land and land rights from opening balances with disclosure of acreage information and expensing of future acquisitions.</w:t>
            </w:r>
          </w:p>
          <w:p w14:paraId="049CA345" w14:textId="6D19EE7D" w:rsidR="00984623" w:rsidRPr="005B5418" w:rsidRDefault="00D57828" w:rsidP="00923D3A">
            <w:pPr>
              <w:autoSpaceDE w:val="0"/>
              <w:autoSpaceDN w:val="0"/>
              <w:spacing w:before="60" w:after="60" w:line="240" w:lineRule="auto"/>
              <w:rPr>
                <w:rFonts w:cs="Arial"/>
              </w:rPr>
            </w:pPr>
            <w:r w:rsidRPr="005B5418">
              <w:rPr>
                <w:rFonts w:ascii="Arial" w:hAnsi="Arial" w:cs="Arial"/>
              </w:rPr>
              <w:t xml:space="preserve">The alternative </w:t>
            </w:r>
            <w:r w:rsidR="00984623" w:rsidRPr="005B5418">
              <w:rPr>
                <w:rFonts w:ascii="Arial" w:hAnsi="Arial" w:cs="Arial"/>
              </w:rPr>
              <w:t xml:space="preserve">addressed by this statement, following FASAB-promulgated GAAP either (1) for the first time or (2) after a period during which existing systems could not provide the information necessary for producing such GAAP-based financial statements without use of the </w:t>
            </w:r>
            <w:r w:rsidR="00984623" w:rsidRPr="005B5418">
              <w:rPr>
                <w:rFonts w:ascii="Arial" w:hAnsi="Arial" w:cs="Arial"/>
              </w:rPr>
              <w:lastRenderedPageBreak/>
              <w:t xml:space="preserve">alternative methods. The application of SFFAS 50 </w:t>
            </w:r>
            <w:r w:rsidR="000C65AD" w:rsidRPr="005B5418">
              <w:rPr>
                <w:rFonts w:ascii="Arial" w:hAnsi="Arial" w:cs="Arial"/>
              </w:rPr>
              <w:t xml:space="preserve">(which amended SFFAS 6) </w:t>
            </w:r>
            <w:r w:rsidR="00984623" w:rsidRPr="005B5418">
              <w:rPr>
                <w:rFonts w:ascii="Arial" w:hAnsi="Arial" w:cs="Arial"/>
              </w:rPr>
              <w:t>based on the second condition is available to each reporting entity only once per line item addressed in this standard.</w:t>
            </w:r>
          </w:p>
          <w:p w14:paraId="083030B0" w14:textId="36130A52" w:rsidR="00984623" w:rsidRPr="005B5418" w:rsidRDefault="00984623" w:rsidP="00923D3A">
            <w:pPr>
              <w:pStyle w:val="Table-Note"/>
              <w:spacing w:before="60" w:after="60" w:line="240" w:lineRule="auto"/>
              <w:ind w:left="0"/>
              <w:jc w:val="left"/>
              <w:rPr>
                <w:rFonts w:cs="Arial"/>
                <w:i w:val="0"/>
                <w:sz w:val="22"/>
                <w:szCs w:val="22"/>
              </w:rPr>
            </w:pPr>
            <w:r w:rsidRPr="005B5418">
              <w:rPr>
                <w:rFonts w:cs="Arial"/>
                <w:i w:val="0"/>
                <w:sz w:val="22"/>
                <w:szCs w:val="22"/>
              </w:rPr>
              <w:t xml:space="preserve">Disclose the major classes of </w:t>
            </w:r>
            <w:r w:rsidR="000A0C1F" w:rsidRPr="005B5418">
              <w:rPr>
                <w:rFonts w:cs="Arial"/>
                <w:i w:val="0"/>
                <w:sz w:val="22"/>
                <w:szCs w:val="22"/>
              </w:rPr>
              <w:t>PP&amp;E</w:t>
            </w:r>
            <w:r w:rsidRPr="005B5418">
              <w:rPr>
                <w:rFonts w:cs="Arial"/>
                <w:i w:val="0"/>
                <w:sz w:val="22"/>
                <w:szCs w:val="22"/>
              </w:rPr>
              <w:t xml:space="preserve"> that include buildings and</w:t>
            </w:r>
            <w:r w:rsidRPr="005B5418">
              <w:rPr>
                <w:rFonts w:cs="Arial"/>
              </w:rPr>
              <w:t xml:space="preserve"> </w:t>
            </w:r>
            <w:r w:rsidRPr="005B5418">
              <w:rPr>
                <w:rFonts w:cs="Arial"/>
                <w:i w:val="0"/>
                <w:sz w:val="22"/>
                <w:szCs w:val="22"/>
              </w:rPr>
              <w:t>structures, furniture and fixtures, equipment, vehicles, internal use software, and land. (SFFAS 6, para. 23; A-136, section II.3.8.10)</w:t>
            </w:r>
          </w:p>
          <w:p w14:paraId="115E67EF" w14:textId="77777777" w:rsidR="00144057" w:rsidRPr="005B5418" w:rsidRDefault="00144057" w:rsidP="00D7798C">
            <w:pPr>
              <w:pStyle w:val="Table-Note"/>
              <w:spacing w:before="60" w:after="60" w:line="240" w:lineRule="auto"/>
              <w:ind w:left="0"/>
              <w:jc w:val="left"/>
              <w:rPr>
                <w:rFonts w:cs="Arial"/>
                <w:i w:val="0"/>
                <w:sz w:val="22"/>
                <w:szCs w:val="22"/>
              </w:rPr>
            </w:pPr>
          </w:p>
          <w:p w14:paraId="3A03BA03" w14:textId="77777777" w:rsidR="00144057" w:rsidRPr="005B5418" w:rsidRDefault="000A0C1F" w:rsidP="00D7798C">
            <w:pPr>
              <w:pStyle w:val="Table-Note"/>
              <w:spacing w:before="60" w:after="60" w:line="240" w:lineRule="auto"/>
              <w:ind w:left="0"/>
              <w:jc w:val="left"/>
              <w:rPr>
                <w:rFonts w:cs="Arial"/>
                <w:i w:val="0"/>
                <w:sz w:val="22"/>
                <w:szCs w:val="22"/>
              </w:rPr>
            </w:pPr>
            <w:r w:rsidRPr="005B5418">
              <w:rPr>
                <w:rFonts w:cs="Arial"/>
                <w:i w:val="0"/>
                <w:sz w:val="22"/>
                <w:szCs w:val="22"/>
              </w:rPr>
              <w:t>PP&amp;E</w:t>
            </w:r>
            <w:r w:rsidR="00984623" w:rsidRPr="005B5418">
              <w:rPr>
                <w:rFonts w:cs="Arial"/>
                <w:i w:val="0"/>
                <w:sz w:val="22"/>
                <w:szCs w:val="22"/>
              </w:rPr>
              <w:t xml:space="preserve"> questions are divided as follows: </w:t>
            </w:r>
          </w:p>
          <w:p w14:paraId="5C4C4454" w14:textId="08751B33" w:rsidR="00144057" w:rsidRPr="005B5418" w:rsidRDefault="000A0C1F">
            <w:pPr>
              <w:pStyle w:val="Table-Note"/>
              <w:numPr>
                <w:ilvl w:val="0"/>
                <w:numId w:val="124"/>
              </w:numPr>
              <w:spacing w:before="60" w:after="60" w:line="240" w:lineRule="auto"/>
              <w:jc w:val="left"/>
              <w:rPr>
                <w:rFonts w:cs="Arial"/>
                <w:i w:val="0"/>
                <w:sz w:val="22"/>
                <w:szCs w:val="22"/>
              </w:rPr>
            </w:pPr>
            <w:r w:rsidRPr="005B5418">
              <w:rPr>
                <w:rFonts w:cs="Arial"/>
                <w:i w:val="0"/>
                <w:sz w:val="22"/>
                <w:szCs w:val="22"/>
              </w:rPr>
              <w:t>PP&amp;</w:t>
            </w:r>
            <w:r w:rsidR="00144057" w:rsidRPr="005B5418">
              <w:rPr>
                <w:rFonts w:cs="Arial"/>
                <w:i w:val="0"/>
                <w:sz w:val="22"/>
                <w:szCs w:val="22"/>
              </w:rPr>
              <w:t>E</w:t>
            </w:r>
            <w:r w:rsidR="00A3220A" w:rsidRPr="005B5418">
              <w:rPr>
                <w:rFonts w:cs="Arial"/>
                <w:i w:val="0"/>
                <w:sz w:val="22"/>
                <w:szCs w:val="22"/>
              </w:rPr>
              <w:t>,</w:t>
            </w:r>
            <w:r w:rsidR="00984623" w:rsidRPr="005B5418">
              <w:rPr>
                <w:rFonts w:cs="Arial"/>
                <w:i w:val="0"/>
                <w:sz w:val="22"/>
                <w:szCs w:val="22"/>
              </w:rPr>
              <w:t xml:space="preserve"> </w:t>
            </w:r>
            <w:r w:rsidR="00A3220A" w:rsidRPr="005B5418">
              <w:rPr>
                <w:rFonts w:cs="Arial"/>
                <w:i w:val="0"/>
                <w:sz w:val="22"/>
                <w:szCs w:val="22"/>
              </w:rPr>
              <w:t>Excluding R</w:t>
            </w:r>
            <w:r w:rsidR="00144057" w:rsidRPr="005B5418">
              <w:rPr>
                <w:rFonts w:cs="Arial"/>
                <w:i w:val="0"/>
                <w:sz w:val="22"/>
                <w:szCs w:val="22"/>
              </w:rPr>
              <w:t>ight-to-</w:t>
            </w:r>
            <w:r w:rsidR="00A3220A" w:rsidRPr="005B5418">
              <w:rPr>
                <w:rFonts w:cs="Arial"/>
                <w:i w:val="0"/>
                <w:sz w:val="22"/>
                <w:szCs w:val="22"/>
              </w:rPr>
              <w:t>U</w:t>
            </w:r>
            <w:r w:rsidR="00144057" w:rsidRPr="005B5418">
              <w:rPr>
                <w:rFonts w:cs="Arial"/>
                <w:i w:val="0"/>
                <w:sz w:val="22"/>
                <w:szCs w:val="22"/>
              </w:rPr>
              <w:t xml:space="preserve">se </w:t>
            </w:r>
            <w:r w:rsidR="00A3220A" w:rsidRPr="005B5418">
              <w:rPr>
                <w:rFonts w:cs="Arial"/>
                <w:i w:val="0"/>
                <w:sz w:val="22"/>
                <w:szCs w:val="22"/>
              </w:rPr>
              <w:t>L</w:t>
            </w:r>
            <w:r w:rsidR="00F73339" w:rsidRPr="005B5418">
              <w:rPr>
                <w:rFonts w:cs="Arial"/>
                <w:i w:val="0"/>
                <w:sz w:val="22"/>
                <w:szCs w:val="22"/>
              </w:rPr>
              <w:t xml:space="preserve">ease </w:t>
            </w:r>
            <w:r w:rsidR="00A3220A" w:rsidRPr="005B5418">
              <w:rPr>
                <w:rFonts w:cs="Arial"/>
                <w:i w:val="0"/>
                <w:sz w:val="22"/>
                <w:szCs w:val="22"/>
              </w:rPr>
              <w:t>A</w:t>
            </w:r>
            <w:r w:rsidR="00144057" w:rsidRPr="005B5418">
              <w:rPr>
                <w:rFonts w:cs="Arial"/>
                <w:i w:val="0"/>
                <w:sz w:val="22"/>
                <w:szCs w:val="22"/>
              </w:rPr>
              <w:t xml:space="preserve">ssets </w:t>
            </w:r>
            <w:r w:rsidR="00F666BB" w:rsidRPr="005B5418">
              <w:rPr>
                <w:rFonts w:cs="Arial"/>
                <w:i w:val="0"/>
                <w:sz w:val="22"/>
                <w:szCs w:val="22"/>
              </w:rPr>
              <w:t>and</w:t>
            </w:r>
            <w:r w:rsidR="0091269F" w:rsidRPr="005B5418">
              <w:rPr>
                <w:rFonts w:cs="Arial"/>
                <w:i w:val="0"/>
                <w:sz w:val="22"/>
                <w:szCs w:val="22"/>
              </w:rPr>
              <w:t xml:space="preserve"> </w:t>
            </w:r>
            <w:r w:rsidR="00A3220A" w:rsidRPr="005B5418">
              <w:rPr>
                <w:rFonts w:cs="Arial"/>
                <w:i w:val="0"/>
                <w:sz w:val="22"/>
                <w:szCs w:val="22"/>
              </w:rPr>
              <w:t>I</w:t>
            </w:r>
            <w:r w:rsidR="00AB357F" w:rsidRPr="005B5418">
              <w:rPr>
                <w:rFonts w:cs="Arial"/>
                <w:i w:val="0"/>
                <w:sz w:val="22"/>
                <w:szCs w:val="22"/>
              </w:rPr>
              <w:t xml:space="preserve">nternal </w:t>
            </w:r>
            <w:r w:rsidR="00A3220A" w:rsidRPr="005B5418">
              <w:rPr>
                <w:rFonts w:cs="Arial"/>
                <w:i w:val="0"/>
                <w:sz w:val="22"/>
                <w:szCs w:val="22"/>
              </w:rPr>
              <w:t>U</w:t>
            </w:r>
            <w:r w:rsidR="00AB357F" w:rsidRPr="005B5418">
              <w:rPr>
                <w:rFonts w:cs="Arial"/>
                <w:i w:val="0"/>
                <w:sz w:val="22"/>
                <w:szCs w:val="22"/>
              </w:rPr>
              <w:t xml:space="preserve">se </w:t>
            </w:r>
            <w:r w:rsidR="00A3220A" w:rsidRPr="005B5418">
              <w:rPr>
                <w:rFonts w:cs="Arial"/>
                <w:i w:val="0"/>
                <w:sz w:val="22"/>
                <w:szCs w:val="22"/>
              </w:rPr>
              <w:t>S</w:t>
            </w:r>
            <w:r w:rsidR="00AB357F" w:rsidRPr="005B5418">
              <w:rPr>
                <w:rFonts w:cs="Arial"/>
                <w:i w:val="0"/>
                <w:sz w:val="22"/>
                <w:szCs w:val="22"/>
              </w:rPr>
              <w:t>oftware</w:t>
            </w:r>
          </w:p>
          <w:p w14:paraId="0A8CE753" w14:textId="5C14BBCB" w:rsidR="00144057" w:rsidRPr="005B5418" w:rsidRDefault="00144057" w:rsidP="008E261A">
            <w:pPr>
              <w:pStyle w:val="Table-Note"/>
              <w:numPr>
                <w:ilvl w:val="0"/>
                <w:numId w:val="124"/>
              </w:numPr>
              <w:spacing w:before="60" w:after="60" w:line="240" w:lineRule="auto"/>
              <w:jc w:val="left"/>
              <w:rPr>
                <w:rFonts w:cs="Arial"/>
                <w:i w:val="0"/>
                <w:sz w:val="22"/>
                <w:szCs w:val="22"/>
              </w:rPr>
            </w:pPr>
            <w:r w:rsidRPr="005B5418">
              <w:rPr>
                <w:rFonts w:cs="Arial"/>
                <w:i w:val="0"/>
                <w:sz w:val="22"/>
                <w:szCs w:val="22"/>
              </w:rPr>
              <w:t>Right-to-Use</w:t>
            </w:r>
            <w:r w:rsidR="0053748B" w:rsidRPr="005B5418">
              <w:rPr>
                <w:rFonts w:cs="Arial"/>
                <w:i w:val="0"/>
                <w:sz w:val="22"/>
                <w:szCs w:val="22"/>
              </w:rPr>
              <w:t xml:space="preserve"> </w:t>
            </w:r>
            <w:r w:rsidR="00A3220A" w:rsidRPr="005B5418">
              <w:rPr>
                <w:rFonts w:cs="Arial"/>
                <w:i w:val="0"/>
                <w:sz w:val="22"/>
                <w:szCs w:val="22"/>
              </w:rPr>
              <w:t>L</w:t>
            </w:r>
            <w:r w:rsidR="0053748B" w:rsidRPr="005B5418">
              <w:rPr>
                <w:rFonts w:cs="Arial"/>
                <w:i w:val="0"/>
                <w:sz w:val="22"/>
                <w:szCs w:val="22"/>
              </w:rPr>
              <w:t>ease</w:t>
            </w:r>
            <w:r w:rsidRPr="005B5418">
              <w:rPr>
                <w:rFonts w:cs="Arial"/>
                <w:i w:val="0"/>
                <w:sz w:val="22"/>
                <w:szCs w:val="22"/>
              </w:rPr>
              <w:t xml:space="preserve"> </w:t>
            </w:r>
            <w:r w:rsidR="00A3220A" w:rsidRPr="005B5418">
              <w:rPr>
                <w:rFonts w:cs="Arial"/>
                <w:i w:val="0"/>
                <w:sz w:val="22"/>
                <w:szCs w:val="22"/>
              </w:rPr>
              <w:t>A</w:t>
            </w:r>
            <w:r w:rsidRPr="005B5418">
              <w:rPr>
                <w:rFonts w:cs="Arial"/>
                <w:i w:val="0"/>
                <w:sz w:val="22"/>
                <w:szCs w:val="22"/>
              </w:rPr>
              <w:t>ssets</w:t>
            </w:r>
          </w:p>
          <w:p w14:paraId="51FB66D3" w14:textId="0507B4D3" w:rsidR="00C45502" w:rsidRPr="005B5418" w:rsidRDefault="00C45502" w:rsidP="00C45502">
            <w:pPr>
              <w:pStyle w:val="Table-Note"/>
              <w:numPr>
                <w:ilvl w:val="0"/>
                <w:numId w:val="124"/>
              </w:numPr>
              <w:spacing w:before="60" w:after="60" w:line="240" w:lineRule="auto"/>
              <w:jc w:val="left"/>
              <w:rPr>
                <w:rFonts w:cs="Arial"/>
                <w:i w:val="0"/>
                <w:sz w:val="22"/>
                <w:szCs w:val="22"/>
              </w:rPr>
            </w:pPr>
            <w:r w:rsidRPr="005B5418">
              <w:rPr>
                <w:rFonts w:cs="Arial"/>
                <w:i w:val="0"/>
                <w:sz w:val="22"/>
                <w:szCs w:val="22"/>
              </w:rPr>
              <w:t xml:space="preserve">Internal </w:t>
            </w:r>
            <w:r w:rsidR="00A3220A" w:rsidRPr="005B5418">
              <w:rPr>
                <w:rFonts w:cs="Arial"/>
                <w:i w:val="0"/>
                <w:sz w:val="22"/>
                <w:szCs w:val="22"/>
              </w:rPr>
              <w:t>U</w:t>
            </w:r>
            <w:r w:rsidRPr="005B5418">
              <w:rPr>
                <w:rFonts w:cs="Arial"/>
                <w:i w:val="0"/>
                <w:sz w:val="22"/>
                <w:szCs w:val="22"/>
              </w:rPr>
              <w:t xml:space="preserve">se </w:t>
            </w:r>
            <w:r w:rsidR="00A3220A" w:rsidRPr="005B5418">
              <w:rPr>
                <w:rFonts w:cs="Arial"/>
                <w:i w:val="0"/>
                <w:sz w:val="22"/>
                <w:szCs w:val="22"/>
              </w:rPr>
              <w:t>S</w:t>
            </w:r>
            <w:r w:rsidRPr="005B5418">
              <w:rPr>
                <w:rFonts w:cs="Arial"/>
                <w:i w:val="0"/>
                <w:sz w:val="22"/>
                <w:szCs w:val="22"/>
              </w:rPr>
              <w:t>oftware</w:t>
            </w:r>
          </w:p>
          <w:p w14:paraId="6D418D91" w14:textId="77777777" w:rsidR="00144057" w:rsidRPr="005B5418" w:rsidRDefault="00144057">
            <w:pPr>
              <w:pStyle w:val="Table-Note"/>
              <w:spacing w:before="60" w:after="60" w:line="240" w:lineRule="auto"/>
              <w:ind w:left="0"/>
              <w:jc w:val="left"/>
              <w:rPr>
                <w:rFonts w:cs="Arial"/>
                <w:i w:val="0"/>
                <w:sz w:val="22"/>
                <w:szCs w:val="22"/>
              </w:rPr>
            </w:pPr>
          </w:p>
          <w:p w14:paraId="745482BD" w14:textId="31D8F292" w:rsidR="00984623" w:rsidRPr="005B5418" w:rsidRDefault="00984623" w:rsidP="00D7798C">
            <w:pPr>
              <w:pStyle w:val="Table-Note"/>
              <w:spacing w:before="60" w:after="60" w:line="240" w:lineRule="auto"/>
              <w:ind w:left="0"/>
              <w:jc w:val="left"/>
              <w:rPr>
                <w:rFonts w:cs="Arial"/>
                <w:i w:val="0"/>
                <w:sz w:val="22"/>
                <w:szCs w:val="22"/>
              </w:rPr>
            </w:pPr>
            <w:r w:rsidRPr="005B5418">
              <w:rPr>
                <w:rFonts w:cs="Arial"/>
                <w:i w:val="0"/>
                <w:sz w:val="22"/>
                <w:szCs w:val="22"/>
              </w:rPr>
              <w:t xml:space="preserve">Also see section II.3.8.11, which includes questions about multi-use heritage assets that are accounted for as </w:t>
            </w:r>
            <w:r w:rsidR="000A0C1F" w:rsidRPr="005B5418">
              <w:rPr>
                <w:rFonts w:cs="Arial"/>
                <w:i w:val="0"/>
                <w:sz w:val="22"/>
                <w:szCs w:val="22"/>
              </w:rPr>
              <w:t>PP&amp;E</w:t>
            </w:r>
            <w:r w:rsidRPr="005B5418">
              <w:rPr>
                <w:rFonts w:cs="Arial"/>
                <w:i w:val="0"/>
                <w:sz w:val="22"/>
                <w:szCs w:val="22"/>
              </w:rPr>
              <w:t>.</w:t>
            </w:r>
          </w:p>
          <w:p w14:paraId="3922BC04" w14:textId="77777777" w:rsidR="00422500" w:rsidRPr="005B5418" w:rsidRDefault="00422500" w:rsidP="00D7798C">
            <w:pPr>
              <w:pStyle w:val="Table-Note"/>
              <w:spacing w:before="60" w:after="60" w:line="240" w:lineRule="auto"/>
              <w:ind w:left="0"/>
              <w:jc w:val="left"/>
              <w:rPr>
                <w:rFonts w:cs="Arial"/>
                <w:i w:val="0"/>
                <w:sz w:val="22"/>
                <w:szCs w:val="22"/>
              </w:rPr>
            </w:pPr>
            <w:r w:rsidRPr="005B5418">
              <w:rPr>
                <w:rFonts w:cs="Arial"/>
                <w:i w:val="0"/>
                <w:color w:val="auto"/>
                <w:sz w:val="22"/>
                <w:szCs w:val="22"/>
              </w:rPr>
              <w:t xml:space="preserve">SFFAS 59, </w:t>
            </w:r>
            <w:r w:rsidRPr="005B5418">
              <w:rPr>
                <w:rFonts w:cs="Arial"/>
                <w:color w:val="auto"/>
                <w:sz w:val="22"/>
                <w:szCs w:val="22"/>
              </w:rPr>
              <w:t>Accounting and Reporting of Government Land</w:t>
            </w:r>
            <w:r w:rsidRPr="005B5418">
              <w:rPr>
                <w:rFonts w:cs="Arial"/>
                <w:i w:val="0"/>
                <w:color w:val="auto"/>
                <w:sz w:val="22"/>
                <w:szCs w:val="22"/>
              </w:rPr>
              <w:t xml:space="preserve">, amends SFFAS 6 and SFFAS 29, among other standards, </w:t>
            </w:r>
            <w:r w:rsidR="00E04637" w:rsidRPr="005B5418">
              <w:rPr>
                <w:rFonts w:cs="Arial"/>
                <w:i w:val="0"/>
                <w:color w:val="auto"/>
                <w:sz w:val="22"/>
                <w:szCs w:val="22"/>
              </w:rPr>
              <w:t xml:space="preserve">requires that certain information </w:t>
            </w:r>
            <w:r w:rsidRPr="005B5418">
              <w:rPr>
                <w:rFonts w:cs="Arial"/>
                <w:i w:val="0"/>
                <w:color w:val="auto"/>
                <w:sz w:val="22"/>
                <w:szCs w:val="22"/>
              </w:rPr>
              <w:t>be presented as RS</w:t>
            </w:r>
            <w:r w:rsidR="00E04637" w:rsidRPr="005B5418">
              <w:rPr>
                <w:rFonts w:cs="Arial"/>
                <w:i w:val="0"/>
                <w:color w:val="auto"/>
                <w:sz w:val="22"/>
                <w:szCs w:val="22"/>
              </w:rPr>
              <w:t>I for FYs 2022 through 2025 and</w:t>
            </w:r>
            <w:r w:rsidRPr="005B5418">
              <w:rPr>
                <w:rFonts w:cs="Arial"/>
                <w:i w:val="0"/>
                <w:color w:val="auto"/>
                <w:sz w:val="22"/>
                <w:szCs w:val="22"/>
              </w:rPr>
              <w:t xml:space="preserve"> transition to note disclosures in FY 2026. </w:t>
            </w:r>
            <w:r w:rsidRPr="005B5418">
              <w:rPr>
                <w:rFonts w:cs="Arial"/>
                <w:i w:val="0"/>
                <w:sz w:val="22"/>
                <w:szCs w:val="22"/>
              </w:rPr>
              <w:t>Asset dollar amounts for PP&amp;E land and permanent land rights should remain on the balance sheet along with existing disclosures through fiscal year 2025.</w:t>
            </w:r>
            <w:r w:rsidR="00FC3CE9" w:rsidRPr="005B5418">
              <w:rPr>
                <w:rFonts w:cs="Arial"/>
                <w:i w:val="0"/>
                <w:sz w:val="22"/>
                <w:szCs w:val="22"/>
              </w:rPr>
              <w:t xml:space="preserve"> (SFFAS 59, para. 15)</w:t>
            </w:r>
          </w:p>
          <w:p w14:paraId="312D284B" w14:textId="77777777" w:rsidR="00A7548C" w:rsidRPr="005B5418" w:rsidRDefault="00A7548C" w:rsidP="00D7798C">
            <w:pPr>
              <w:pStyle w:val="Table-Note"/>
              <w:spacing w:before="60" w:after="60" w:line="240" w:lineRule="auto"/>
              <w:ind w:left="0"/>
              <w:jc w:val="left"/>
              <w:rPr>
                <w:rFonts w:cs="Arial"/>
                <w:i w:val="0"/>
                <w:sz w:val="22"/>
                <w:szCs w:val="22"/>
              </w:rPr>
            </w:pPr>
          </w:p>
          <w:p w14:paraId="15ED909D" w14:textId="694E4DDF" w:rsidR="00A7548C" w:rsidRPr="005B5418" w:rsidRDefault="00A7548C" w:rsidP="00D7798C">
            <w:pPr>
              <w:pStyle w:val="Table-Note"/>
              <w:spacing w:before="60" w:after="60" w:line="240" w:lineRule="auto"/>
              <w:ind w:left="0"/>
              <w:jc w:val="left"/>
              <w:rPr>
                <w:rFonts w:cs="Arial"/>
                <w:i w:val="0"/>
                <w:sz w:val="22"/>
                <w:szCs w:val="22"/>
              </w:rPr>
            </w:pPr>
            <w:r w:rsidRPr="005B5418">
              <w:rPr>
                <w:rFonts w:cs="Arial"/>
                <w:i w:val="0"/>
                <w:sz w:val="22"/>
                <w:szCs w:val="22"/>
              </w:rPr>
              <w:t xml:space="preserve">For intragovernmental </w:t>
            </w:r>
            <w:r w:rsidR="008E6F84" w:rsidRPr="005B5418">
              <w:rPr>
                <w:rFonts w:cs="Arial"/>
                <w:i w:val="0"/>
                <w:sz w:val="22"/>
                <w:szCs w:val="22"/>
              </w:rPr>
              <w:t>r</w:t>
            </w:r>
            <w:r w:rsidRPr="005B5418">
              <w:rPr>
                <w:rFonts w:cs="Arial"/>
                <w:i w:val="0"/>
                <w:sz w:val="22"/>
                <w:szCs w:val="22"/>
              </w:rPr>
              <w:t xml:space="preserve">eimbursable </w:t>
            </w:r>
            <w:r w:rsidR="008E6F84" w:rsidRPr="005B5418">
              <w:rPr>
                <w:rFonts w:cs="Arial"/>
                <w:i w:val="0"/>
                <w:sz w:val="22"/>
                <w:szCs w:val="22"/>
              </w:rPr>
              <w:t>w</w:t>
            </w:r>
            <w:r w:rsidRPr="005B5418">
              <w:rPr>
                <w:rFonts w:cs="Arial"/>
                <w:i w:val="0"/>
                <w:sz w:val="22"/>
                <w:szCs w:val="22"/>
              </w:rPr>
              <w:t xml:space="preserve">ork </w:t>
            </w:r>
            <w:r w:rsidR="008E6F84" w:rsidRPr="005B5418">
              <w:rPr>
                <w:rFonts w:cs="Arial"/>
                <w:i w:val="0"/>
                <w:sz w:val="22"/>
                <w:szCs w:val="22"/>
              </w:rPr>
              <w:t>a</w:t>
            </w:r>
            <w:r w:rsidRPr="005B5418">
              <w:rPr>
                <w:rFonts w:cs="Arial"/>
                <w:i w:val="0"/>
                <w:sz w:val="22"/>
                <w:szCs w:val="22"/>
              </w:rPr>
              <w:t>greements, see section II.3.8.19 – Leases.</w:t>
            </w:r>
          </w:p>
        </w:tc>
      </w:tr>
      <w:tr w:rsidR="00984623" w:rsidRPr="005B5418" w14:paraId="79D8771B" w14:textId="77777777" w:rsidTr="008E261A">
        <w:trPr>
          <w:gridAfter w:val="1"/>
          <w:wAfter w:w="19" w:type="dxa"/>
          <w:trHeight w:val="1223"/>
        </w:trPr>
        <w:tc>
          <w:tcPr>
            <w:tcW w:w="5398" w:type="dxa"/>
          </w:tcPr>
          <w:p w14:paraId="7C16718E" w14:textId="77777777" w:rsidR="00984623" w:rsidRPr="005B5418" w:rsidRDefault="00984623" w:rsidP="00343610">
            <w:pPr>
              <w:pStyle w:val="FAM-Table-outline"/>
              <w:widowControl/>
              <w:numPr>
                <w:ilvl w:val="0"/>
                <w:numId w:val="13"/>
              </w:numPr>
              <w:adjustRightInd/>
              <w:spacing w:line="240" w:lineRule="auto"/>
              <w:textAlignment w:val="auto"/>
              <w:rPr>
                <w:rFonts w:eastAsia="Arial Unicode MS"/>
                <w:szCs w:val="22"/>
              </w:rPr>
            </w:pPr>
            <w:r w:rsidRPr="005B5418">
              <w:rPr>
                <w:rFonts w:eastAsia="Arial Unicode MS" w:cs="Arial"/>
                <w:szCs w:val="22"/>
              </w:rPr>
              <w:lastRenderedPageBreak/>
              <w:t>Is this topic applicable to the entity’s financial statements? (Answer Y if applicable, N/A if not applicable, or N/S if not significant. If N/A or N/S, skip to the next topic.)</w:t>
            </w:r>
          </w:p>
          <w:p w14:paraId="659B7427" w14:textId="097F84CD" w:rsidR="00582E59" w:rsidRPr="005B5418" w:rsidRDefault="00582E59" w:rsidP="00582E59">
            <w:pPr>
              <w:pStyle w:val="FAM-Table-outline"/>
              <w:widowControl/>
              <w:numPr>
                <w:ilvl w:val="0"/>
                <w:numId w:val="0"/>
              </w:numPr>
              <w:adjustRightInd/>
              <w:spacing w:line="240" w:lineRule="auto"/>
              <w:ind w:left="576"/>
              <w:textAlignment w:val="auto"/>
              <w:rPr>
                <w:rFonts w:eastAsia="Arial Unicode MS"/>
                <w:szCs w:val="22"/>
              </w:rPr>
            </w:pPr>
          </w:p>
        </w:tc>
        <w:tc>
          <w:tcPr>
            <w:tcW w:w="963" w:type="dxa"/>
          </w:tcPr>
          <w:p w14:paraId="17C3E8BE" w14:textId="77777777" w:rsidR="00984623" w:rsidRPr="005B5418" w:rsidRDefault="00984623" w:rsidP="008848DA">
            <w:pPr>
              <w:pStyle w:val="Table-Cell-CenterBoldBefore6ptAfter6pt"/>
              <w:spacing w:before="60" w:after="60"/>
              <w:rPr>
                <w:rFonts w:cs="Arial"/>
                <w:lang w:val="pt-BR"/>
              </w:rPr>
            </w:pPr>
          </w:p>
        </w:tc>
        <w:tc>
          <w:tcPr>
            <w:tcW w:w="3220" w:type="dxa"/>
          </w:tcPr>
          <w:p w14:paraId="51C47C11" w14:textId="77777777" w:rsidR="00984623" w:rsidRPr="005B5418" w:rsidRDefault="00984623" w:rsidP="008848DA">
            <w:pPr>
              <w:spacing w:before="60" w:after="60" w:line="240" w:lineRule="auto"/>
              <w:rPr>
                <w:rFonts w:cs="Arial"/>
                <w:lang w:val="pt-BR"/>
              </w:rPr>
            </w:pPr>
          </w:p>
        </w:tc>
      </w:tr>
      <w:tr w:rsidR="00984623" w:rsidRPr="005B5418" w14:paraId="5A11A335" w14:textId="77777777" w:rsidTr="008E261A">
        <w:trPr>
          <w:gridAfter w:val="1"/>
          <w:wAfter w:w="19" w:type="dxa"/>
          <w:trHeight w:val="683"/>
        </w:trPr>
        <w:tc>
          <w:tcPr>
            <w:tcW w:w="9581" w:type="dxa"/>
            <w:gridSpan w:val="3"/>
          </w:tcPr>
          <w:p w14:paraId="3CA326BB" w14:textId="7C0E6350" w:rsidR="00984623" w:rsidRPr="005B5418" w:rsidRDefault="000A0C1F">
            <w:pPr>
              <w:spacing w:before="60" w:after="60" w:line="240" w:lineRule="auto"/>
              <w:rPr>
                <w:rFonts w:ascii="Arial" w:hAnsi="Arial" w:cs="Arial"/>
                <w:b/>
              </w:rPr>
            </w:pPr>
            <w:r w:rsidRPr="005B5418">
              <w:rPr>
                <w:rFonts w:ascii="Arial" w:hAnsi="Arial" w:cs="Arial"/>
                <w:b/>
              </w:rPr>
              <w:t>PP&amp;E</w:t>
            </w:r>
            <w:r w:rsidR="00A3220A" w:rsidRPr="005B5418">
              <w:rPr>
                <w:rFonts w:ascii="Arial" w:hAnsi="Arial" w:cs="Arial"/>
                <w:b/>
              </w:rPr>
              <w:t>,</w:t>
            </w:r>
            <w:r w:rsidR="00984623" w:rsidRPr="005B5418">
              <w:rPr>
                <w:rFonts w:ascii="Arial" w:hAnsi="Arial" w:cs="Arial"/>
                <w:b/>
              </w:rPr>
              <w:t xml:space="preserve"> </w:t>
            </w:r>
            <w:r w:rsidR="00684C0B" w:rsidRPr="005B5418">
              <w:rPr>
                <w:rFonts w:ascii="Arial" w:hAnsi="Arial" w:cs="Arial"/>
                <w:b/>
              </w:rPr>
              <w:t xml:space="preserve">Excluding Right-to-Use </w:t>
            </w:r>
            <w:r w:rsidR="00F73339" w:rsidRPr="005B5418">
              <w:rPr>
                <w:rFonts w:ascii="Arial" w:hAnsi="Arial" w:cs="Arial"/>
                <w:b/>
              </w:rPr>
              <w:t xml:space="preserve">Lease </w:t>
            </w:r>
            <w:r w:rsidR="00684C0B" w:rsidRPr="005B5418">
              <w:rPr>
                <w:rFonts w:ascii="Arial" w:hAnsi="Arial" w:cs="Arial"/>
                <w:b/>
              </w:rPr>
              <w:t>Assets,</w:t>
            </w:r>
            <w:r w:rsidR="00AB357F" w:rsidRPr="005B5418">
              <w:rPr>
                <w:rFonts w:ascii="Arial" w:hAnsi="Arial" w:cs="Arial"/>
                <w:b/>
              </w:rPr>
              <w:t xml:space="preserve"> </w:t>
            </w:r>
            <w:r w:rsidR="00F666BB" w:rsidRPr="005B5418">
              <w:rPr>
                <w:rFonts w:ascii="Arial" w:hAnsi="Arial" w:cs="Arial"/>
                <w:b/>
              </w:rPr>
              <w:t xml:space="preserve">and </w:t>
            </w:r>
            <w:r w:rsidR="00AB357F" w:rsidRPr="005B5418">
              <w:rPr>
                <w:rFonts w:ascii="Arial" w:hAnsi="Arial" w:cs="Arial"/>
                <w:b/>
              </w:rPr>
              <w:t>Internal Use Software</w:t>
            </w:r>
          </w:p>
        </w:tc>
      </w:tr>
      <w:tr w:rsidR="007B17E5" w:rsidRPr="005B5418" w14:paraId="29018956" w14:textId="77777777" w:rsidTr="000355E7">
        <w:trPr>
          <w:gridAfter w:val="1"/>
          <w:wAfter w:w="19" w:type="dxa"/>
          <w:trHeight w:val="179"/>
        </w:trPr>
        <w:tc>
          <w:tcPr>
            <w:tcW w:w="9581" w:type="dxa"/>
            <w:gridSpan w:val="3"/>
          </w:tcPr>
          <w:p w14:paraId="50F02D2A" w14:textId="03ECCB08" w:rsidR="007B17E5" w:rsidRPr="005B5418" w:rsidRDefault="007B17E5" w:rsidP="008848DA">
            <w:pPr>
              <w:spacing w:before="60" w:after="60" w:line="240" w:lineRule="auto"/>
              <w:rPr>
                <w:rFonts w:ascii="Arial" w:hAnsi="Arial" w:cs="Arial"/>
                <w:b/>
              </w:rPr>
            </w:pPr>
            <w:r w:rsidRPr="005B5418">
              <w:rPr>
                <w:rFonts w:ascii="Arial" w:eastAsia="Arial Unicode MS" w:hAnsi="Arial" w:cs="Arial"/>
                <w:b/>
              </w:rPr>
              <w:t>Accounting</w:t>
            </w:r>
          </w:p>
        </w:tc>
      </w:tr>
      <w:tr w:rsidR="00984623" w:rsidRPr="005B5418" w14:paraId="44135F40" w14:textId="77777777" w:rsidTr="008E261A">
        <w:trPr>
          <w:gridAfter w:val="1"/>
          <w:wAfter w:w="19" w:type="dxa"/>
          <w:trHeight w:val="1340"/>
        </w:trPr>
        <w:tc>
          <w:tcPr>
            <w:tcW w:w="5398" w:type="dxa"/>
          </w:tcPr>
          <w:p w14:paraId="71AF1738"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cs="Arial"/>
                <w:szCs w:val="22"/>
              </w:rPr>
              <w:t>Has the entity established and consistently followed PP&amp;E capitalization thresholds suitable to its financial and operational conditions? (SFFAS 6, para. 13)</w:t>
            </w:r>
            <w:r w:rsidRPr="005B5418">
              <w:rPr>
                <w:rFonts w:eastAsia="Arial Unicode MS"/>
                <w:szCs w:val="22"/>
                <w:u w:val="single"/>
              </w:rPr>
              <w:t xml:space="preserve"> </w:t>
            </w:r>
          </w:p>
        </w:tc>
        <w:tc>
          <w:tcPr>
            <w:tcW w:w="963" w:type="dxa"/>
          </w:tcPr>
          <w:p w14:paraId="651ABFEB" w14:textId="77777777" w:rsidR="00984623" w:rsidRPr="005B5418" w:rsidRDefault="00984623" w:rsidP="008848DA">
            <w:pPr>
              <w:pStyle w:val="Table-Cell-CenterBoldBefore6ptAfter6pt"/>
              <w:spacing w:before="60" w:after="60"/>
              <w:rPr>
                <w:rFonts w:cs="Arial"/>
                <w:lang w:val="pt-BR"/>
              </w:rPr>
            </w:pPr>
          </w:p>
        </w:tc>
        <w:tc>
          <w:tcPr>
            <w:tcW w:w="3220" w:type="dxa"/>
          </w:tcPr>
          <w:p w14:paraId="4E418EE2" w14:textId="77777777" w:rsidR="00984623" w:rsidRPr="005B5418" w:rsidRDefault="00984623" w:rsidP="008848DA">
            <w:pPr>
              <w:spacing w:before="60" w:after="60" w:line="240" w:lineRule="auto"/>
              <w:rPr>
                <w:rFonts w:cs="Arial"/>
                <w:lang w:val="pt-BR"/>
              </w:rPr>
            </w:pPr>
          </w:p>
        </w:tc>
      </w:tr>
      <w:tr w:rsidR="00984623" w:rsidRPr="005B5418" w14:paraId="3137FA6A" w14:textId="77777777" w:rsidTr="008E261A">
        <w:trPr>
          <w:gridAfter w:val="1"/>
          <w:wAfter w:w="19" w:type="dxa"/>
          <w:trHeight w:val="2861"/>
        </w:trPr>
        <w:tc>
          <w:tcPr>
            <w:tcW w:w="5398" w:type="dxa"/>
          </w:tcPr>
          <w:p w14:paraId="3639EA59" w14:textId="77777777" w:rsidR="00984623" w:rsidRPr="005B5418" w:rsidRDefault="00984623" w:rsidP="00884E2F">
            <w:pPr>
              <w:pStyle w:val="FAM-Table-outline"/>
              <w:spacing w:line="240" w:lineRule="auto"/>
              <w:rPr>
                <w:rFonts w:eastAsia="Arial Unicode MS" w:cs="Arial"/>
                <w:szCs w:val="22"/>
              </w:rPr>
            </w:pPr>
            <w:r w:rsidRPr="005B5418">
              <w:rPr>
                <w:rFonts w:eastAsia="Arial Unicode MS" w:cs="Arial"/>
                <w:szCs w:val="22"/>
              </w:rPr>
              <w:lastRenderedPageBreak/>
              <w:t>Does PP&amp;E consist of tangible assets, including land, that</w:t>
            </w:r>
          </w:p>
          <w:p w14:paraId="66E038D6"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have estimated useful lives of 2 years or more, </w:t>
            </w:r>
          </w:p>
          <w:p w14:paraId="42F1682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are not intended for sale in the ordinary course of operations, and</w:t>
            </w:r>
          </w:p>
          <w:p w14:paraId="42353DB1"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are acquired or constructed with the intention of being used or being available for use by the entity? (SFFAS 6, para. 17)</w:t>
            </w:r>
          </w:p>
        </w:tc>
        <w:tc>
          <w:tcPr>
            <w:tcW w:w="963" w:type="dxa"/>
          </w:tcPr>
          <w:p w14:paraId="0F8C7882" w14:textId="77777777" w:rsidR="00984623" w:rsidRPr="005B5418" w:rsidRDefault="00984623" w:rsidP="008848DA">
            <w:pPr>
              <w:pStyle w:val="Table-Cell-CenterBoldBefore6ptAfter6pt"/>
              <w:spacing w:before="60" w:after="60"/>
              <w:rPr>
                <w:rFonts w:cs="Arial"/>
                <w:lang w:val="pt-BR"/>
              </w:rPr>
            </w:pPr>
          </w:p>
        </w:tc>
        <w:tc>
          <w:tcPr>
            <w:tcW w:w="3220" w:type="dxa"/>
          </w:tcPr>
          <w:p w14:paraId="1AF7D877" w14:textId="77777777" w:rsidR="00984623" w:rsidRPr="005B5418" w:rsidRDefault="00984623" w:rsidP="008848DA">
            <w:pPr>
              <w:spacing w:before="60" w:after="60" w:line="240" w:lineRule="auto"/>
              <w:rPr>
                <w:rFonts w:cs="Arial"/>
                <w:lang w:val="pt-BR"/>
              </w:rPr>
            </w:pPr>
          </w:p>
        </w:tc>
      </w:tr>
      <w:tr w:rsidR="00984623" w:rsidRPr="005B5418" w14:paraId="621B59B6" w14:textId="77777777" w:rsidTr="008E261A">
        <w:trPr>
          <w:gridAfter w:val="1"/>
          <w:wAfter w:w="19" w:type="dxa"/>
          <w:trHeight w:val="2339"/>
        </w:trPr>
        <w:tc>
          <w:tcPr>
            <w:tcW w:w="5398" w:type="dxa"/>
          </w:tcPr>
          <w:p w14:paraId="4B8E7C4A" w14:textId="77777777" w:rsidR="00984623" w:rsidRPr="005B5418" w:rsidRDefault="00984623" w:rsidP="00884E2F">
            <w:pPr>
              <w:pStyle w:val="FAM-Table-outline"/>
              <w:spacing w:line="240" w:lineRule="auto"/>
              <w:rPr>
                <w:rFonts w:eastAsia="Arial Unicode MS" w:cs="Arial"/>
                <w:szCs w:val="22"/>
              </w:rPr>
            </w:pPr>
            <w:r w:rsidRPr="005B5418">
              <w:rPr>
                <w:rFonts w:eastAsia="Arial Unicode MS" w:cs="Arial"/>
                <w:szCs w:val="22"/>
              </w:rPr>
              <w:t>Does PP&amp;E include</w:t>
            </w:r>
          </w:p>
          <w:p w14:paraId="3442FD2C" w14:textId="09D9E086" w:rsidR="00984623" w:rsidRPr="005B5418" w:rsidRDefault="00144057"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leasehold improvements</w:t>
            </w:r>
            <w:r w:rsidR="00A3220A" w:rsidRPr="005B5418">
              <w:rPr>
                <w:rFonts w:eastAsia="Arial Unicode MS" w:cs="Arial"/>
                <w:szCs w:val="22"/>
              </w:rPr>
              <w:t>;</w:t>
            </w:r>
            <w:r w:rsidR="0091269F" w:rsidRPr="00580CC4">
              <w:rPr>
                <w:rStyle w:val="FootnoteReference"/>
                <w:rFonts w:eastAsia="Arial Unicode MS"/>
              </w:rPr>
              <w:footnoteReference w:id="132"/>
            </w:r>
          </w:p>
          <w:p w14:paraId="08F7561B" w14:textId="09C8FBF5"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property owned by the reporting entity in the hands of others</w:t>
            </w:r>
            <w:r w:rsidR="00144057" w:rsidRPr="005B5418">
              <w:rPr>
                <w:rFonts w:eastAsia="Arial Unicode MS" w:cs="Arial"/>
                <w:szCs w:val="22"/>
              </w:rPr>
              <w:t xml:space="preserve"> or leased to others</w:t>
            </w:r>
            <w:r w:rsidRPr="005B5418">
              <w:rPr>
                <w:rFonts w:eastAsia="Arial Unicode MS" w:cs="Arial"/>
                <w:szCs w:val="22"/>
              </w:rPr>
              <w:t xml:space="preserve"> (e.g., state and local governments, colleges and universities, and federal contractors)</w:t>
            </w:r>
            <w:r w:rsidR="00A3220A" w:rsidRPr="005B5418">
              <w:rPr>
                <w:rFonts w:eastAsia="Arial Unicode MS" w:cs="Arial"/>
                <w:szCs w:val="22"/>
              </w:rPr>
              <w:t>;</w:t>
            </w:r>
          </w:p>
          <w:p w14:paraId="46B3BE12" w14:textId="7E769D73" w:rsidR="00144057"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land rights</w:t>
            </w:r>
            <w:r w:rsidR="00144057" w:rsidRPr="005B5418">
              <w:rPr>
                <w:rFonts w:eastAsia="Arial Unicode MS" w:cs="Arial"/>
                <w:szCs w:val="22"/>
              </w:rPr>
              <w:t xml:space="preserve"> that do not meet the definition of a lease</w:t>
            </w:r>
            <w:r w:rsidR="004F4339" w:rsidRPr="005B5418">
              <w:rPr>
                <w:rFonts w:eastAsia="Arial Unicode MS" w:cs="Arial"/>
                <w:szCs w:val="22"/>
              </w:rPr>
              <w:t>; and</w:t>
            </w:r>
          </w:p>
          <w:p w14:paraId="03CA6EB2" w14:textId="27832E81" w:rsidR="00984623" w:rsidRPr="005B5418" w:rsidRDefault="00A3220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w:t>
            </w:r>
            <w:r w:rsidR="00144057" w:rsidRPr="005B5418">
              <w:rPr>
                <w:rFonts w:eastAsia="Arial Unicode MS" w:cs="Arial"/>
                <w:szCs w:val="22"/>
              </w:rPr>
              <w:t>ontracts or agreements that transfer ownership?</w:t>
            </w:r>
            <w:r w:rsidR="00984623" w:rsidRPr="005B5418">
              <w:rPr>
                <w:rFonts w:eastAsia="Arial Unicode MS" w:cs="Arial"/>
                <w:szCs w:val="22"/>
              </w:rPr>
              <w:t xml:space="preserve"> (SFFAS 6, para. 18)</w:t>
            </w:r>
          </w:p>
          <w:p w14:paraId="13AF0A7A" w14:textId="5EEB31C3" w:rsidR="003E7DD3" w:rsidRPr="005B5418" w:rsidRDefault="003E7DD3" w:rsidP="008E261A">
            <w:pPr>
              <w:pStyle w:val="FAM-Table-outline2"/>
              <w:numPr>
                <w:ilvl w:val="0"/>
                <w:numId w:val="0"/>
              </w:numPr>
              <w:tabs>
                <w:tab w:val="num" w:pos="2196"/>
              </w:tabs>
              <w:spacing w:line="240" w:lineRule="auto"/>
              <w:ind w:left="1057"/>
              <w:rPr>
                <w:rFonts w:eastAsia="Arial Unicode MS"/>
                <w:szCs w:val="22"/>
              </w:rPr>
            </w:pPr>
          </w:p>
        </w:tc>
        <w:tc>
          <w:tcPr>
            <w:tcW w:w="963" w:type="dxa"/>
          </w:tcPr>
          <w:p w14:paraId="3D31946E" w14:textId="77777777" w:rsidR="00984623" w:rsidRPr="005B5418" w:rsidRDefault="00984623" w:rsidP="008848DA">
            <w:pPr>
              <w:pStyle w:val="Table-Cell-CenterBoldBefore6ptAfter6pt"/>
              <w:spacing w:before="60" w:after="60"/>
              <w:rPr>
                <w:rFonts w:cs="Arial"/>
                <w:lang w:val="pt-BR"/>
              </w:rPr>
            </w:pPr>
          </w:p>
        </w:tc>
        <w:tc>
          <w:tcPr>
            <w:tcW w:w="3220" w:type="dxa"/>
          </w:tcPr>
          <w:p w14:paraId="32181CF3" w14:textId="77777777" w:rsidR="00984623" w:rsidRPr="005B5418" w:rsidRDefault="00984623" w:rsidP="008848DA">
            <w:pPr>
              <w:spacing w:before="60" w:after="60" w:line="240" w:lineRule="auto"/>
              <w:rPr>
                <w:rFonts w:cs="Arial"/>
                <w:lang w:val="pt-BR"/>
              </w:rPr>
            </w:pPr>
          </w:p>
        </w:tc>
      </w:tr>
      <w:tr w:rsidR="00984623" w:rsidRPr="005B5418" w14:paraId="71F2ECFD" w14:textId="77777777" w:rsidTr="008E261A">
        <w:trPr>
          <w:gridAfter w:val="1"/>
          <w:wAfter w:w="19" w:type="dxa"/>
          <w:trHeight w:val="60"/>
        </w:trPr>
        <w:tc>
          <w:tcPr>
            <w:tcW w:w="5398" w:type="dxa"/>
          </w:tcPr>
          <w:p w14:paraId="4E4D873D" w14:textId="176D280E" w:rsidR="00984623" w:rsidRPr="005B5418" w:rsidRDefault="00984623" w:rsidP="00884E2F">
            <w:pPr>
              <w:pStyle w:val="FAM-Table-outline"/>
              <w:spacing w:line="240" w:lineRule="auto"/>
              <w:rPr>
                <w:rFonts w:eastAsia="Arial Unicode MS" w:cs="Arial"/>
                <w:szCs w:val="22"/>
              </w:rPr>
            </w:pPr>
            <w:r w:rsidRPr="005B5418">
              <w:rPr>
                <w:rFonts w:eastAsia="Arial Unicode MS" w:cs="Arial"/>
                <w:szCs w:val="22"/>
              </w:rPr>
              <w:t xml:space="preserve">Does </w:t>
            </w:r>
            <w:r w:rsidR="000A0C1F" w:rsidRPr="005B5418">
              <w:rPr>
                <w:rFonts w:eastAsia="Arial Unicode MS" w:cs="Arial"/>
                <w:szCs w:val="22"/>
              </w:rPr>
              <w:t>PP&amp;E</w:t>
            </w:r>
            <w:r w:rsidRPr="005B5418">
              <w:rPr>
                <w:rFonts w:eastAsia="Arial Unicode MS" w:cs="Arial"/>
                <w:szCs w:val="22"/>
              </w:rPr>
              <w:t xml:space="preserve"> </w:t>
            </w:r>
            <w:r w:rsidRPr="005B5418">
              <w:rPr>
                <w:rFonts w:eastAsia="Arial Unicode MS" w:cs="Arial"/>
                <w:szCs w:val="22"/>
                <w:u w:val="single"/>
              </w:rPr>
              <w:t>exclude</w:t>
            </w:r>
            <w:r w:rsidRPr="005B5418">
              <w:rPr>
                <w:rFonts w:eastAsia="Arial Unicode MS" w:cs="Arial"/>
                <w:szCs w:val="22"/>
              </w:rPr>
              <w:t xml:space="preserve"> </w:t>
            </w:r>
          </w:p>
          <w:p w14:paraId="0F4A0D20"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items held in anticipation of physical consumption, such as operating materials and supplies, and </w:t>
            </w:r>
          </w:p>
          <w:p w14:paraId="6E6ABE03" w14:textId="448ECFE3"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items in which the federal entity has a reversionary interest? (SFFAS 6, para.19)</w:t>
            </w:r>
          </w:p>
          <w:p w14:paraId="26E62F90" w14:textId="4801BCCF" w:rsidR="00555D6B" w:rsidRPr="005B5418" w:rsidRDefault="00555D6B" w:rsidP="00582E59">
            <w:pPr>
              <w:pStyle w:val="FAM-Table-outline"/>
              <w:numPr>
                <w:ilvl w:val="0"/>
                <w:numId w:val="0"/>
              </w:numPr>
              <w:ind w:left="576" w:hanging="576"/>
              <w:rPr>
                <w:rFonts w:eastAsia="Arial Unicode MS"/>
              </w:rPr>
            </w:pPr>
          </w:p>
        </w:tc>
        <w:tc>
          <w:tcPr>
            <w:tcW w:w="963" w:type="dxa"/>
          </w:tcPr>
          <w:p w14:paraId="67BB5DDC" w14:textId="77777777" w:rsidR="00984623" w:rsidRPr="005B5418" w:rsidRDefault="00984623" w:rsidP="008848DA">
            <w:pPr>
              <w:pStyle w:val="Table-Cell-CenterBoldBefore6ptAfter6pt"/>
              <w:spacing w:before="60" w:after="60"/>
              <w:rPr>
                <w:rFonts w:cs="Arial"/>
                <w:lang w:val="pt-BR"/>
              </w:rPr>
            </w:pPr>
          </w:p>
        </w:tc>
        <w:tc>
          <w:tcPr>
            <w:tcW w:w="3220" w:type="dxa"/>
          </w:tcPr>
          <w:p w14:paraId="1A0CA3C1" w14:textId="77777777" w:rsidR="00984623" w:rsidRPr="005B5418" w:rsidRDefault="00984623" w:rsidP="008848DA">
            <w:pPr>
              <w:spacing w:before="60" w:after="60" w:line="240" w:lineRule="auto"/>
              <w:rPr>
                <w:rFonts w:cs="Arial"/>
                <w:lang w:val="pt-BR"/>
              </w:rPr>
            </w:pPr>
          </w:p>
        </w:tc>
      </w:tr>
      <w:tr w:rsidR="00984623" w:rsidRPr="005B5418" w14:paraId="7521F806" w14:textId="77777777" w:rsidTr="008E261A">
        <w:trPr>
          <w:gridAfter w:val="1"/>
          <w:wAfter w:w="19" w:type="dxa"/>
          <w:trHeight w:hRule="exact" w:val="461"/>
        </w:trPr>
        <w:tc>
          <w:tcPr>
            <w:tcW w:w="5398" w:type="dxa"/>
          </w:tcPr>
          <w:p w14:paraId="0F7AA9DD" w14:textId="77777777" w:rsidR="00984623" w:rsidRPr="005B5418" w:rsidRDefault="00984623" w:rsidP="00884E2F">
            <w:pPr>
              <w:pStyle w:val="FAM-Table-outline"/>
              <w:numPr>
                <w:ilvl w:val="0"/>
                <w:numId w:val="0"/>
              </w:numPr>
              <w:spacing w:line="240" w:lineRule="auto"/>
              <w:rPr>
                <w:rFonts w:eastAsia="Arial Unicode MS" w:cs="Arial"/>
                <w:i/>
                <w:szCs w:val="22"/>
              </w:rPr>
            </w:pPr>
            <w:r w:rsidRPr="005B5418">
              <w:rPr>
                <w:rFonts w:eastAsia="Arial Unicode MS" w:cs="Arial"/>
                <w:i/>
                <w:szCs w:val="22"/>
              </w:rPr>
              <w:t>Categories</w:t>
            </w:r>
          </w:p>
          <w:p w14:paraId="6FD331D0" w14:textId="77777777" w:rsidR="00984623" w:rsidRPr="005B5418" w:rsidRDefault="00984623" w:rsidP="00884E2F">
            <w:pPr>
              <w:pStyle w:val="FAM-Table-outline"/>
              <w:numPr>
                <w:ilvl w:val="0"/>
                <w:numId w:val="0"/>
              </w:numPr>
              <w:spacing w:line="240" w:lineRule="auto"/>
              <w:ind w:left="576"/>
              <w:rPr>
                <w:rFonts w:eastAsia="Arial Unicode MS" w:cs="Arial"/>
                <w:szCs w:val="22"/>
                <w:u w:val="single"/>
              </w:rPr>
            </w:pPr>
          </w:p>
        </w:tc>
        <w:tc>
          <w:tcPr>
            <w:tcW w:w="963" w:type="dxa"/>
          </w:tcPr>
          <w:p w14:paraId="142AF10D" w14:textId="77777777" w:rsidR="00984623" w:rsidRPr="005B5418" w:rsidRDefault="00984623" w:rsidP="008848DA">
            <w:pPr>
              <w:pStyle w:val="Table-Cell-CenterBoldBefore6ptAfter6pt"/>
              <w:spacing w:before="60" w:after="60"/>
              <w:rPr>
                <w:rFonts w:cs="Arial"/>
                <w:lang w:val="pt-BR"/>
              </w:rPr>
            </w:pPr>
          </w:p>
        </w:tc>
        <w:tc>
          <w:tcPr>
            <w:tcW w:w="3220" w:type="dxa"/>
          </w:tcPr>
          <w:p w14:paraId="4E6E3632" w14:textId="77777777" w:rsidR="00984623" w:rsidRPr="005B5418" w:rsidRDefault="00984623" w:rsidP="008848DA">
            <w:pPr>
              <w:spacing w:before="60" w:after="60" w:line="240" w:lineRule="auto"/>
              <w:rPr>
                <w:rFonts w:cs="Arial"/>
                <w:lang w:val="pt-BR"/>
              </w:rPr>
            </w:pPr>
          </w:p>
        </w:tc>
      </w:tr>
      <w:tr w:rsidR="00984623" w:rsidRPr="005B5418" w14:paraId="72314FBF" w14:textId="77777777" w:rsidTr="008E261A">
        <w:trPr>
          <w:gridAfter w:val="1"/>
          <w:wAfter w:w="19" w:type="dxa"/>
          <w:trHeight w:val="3437"/>
        </w:trPr>
        <w:tc>
          <w:tcPr>
            <w:tcW w:w="5398" w:type="dxa"/>
          </w:tcPr>
          <w:p w14:paraId="3334F28B" w14:textId="77777777" w:rsidR="00984623" w:rsidRPr="005B5418" w:rsidRDefault="00984623" w:rsidP="00884E2F">
            <w:pPr>
              <w:pStyle w:val="FAM-Table-outline"/>
              <w:spacing w:line="240" w:lineRule="auto"/>
              <w:rPr>
                <w:rFonts w:eastAsia="Arial Unicode MS"/>
                <w:szCs w:val="22"/>
              </w:rPr>
            </w:pPr>
            <w:r w:rsidRPr="005B5418">
              <w:rPr>
                <w:rFonts w:eastAsia="Arial Unicode MS"/>
                <w:szCs w:val="22"/>
              </w:rPr>
              <w:lastRenderedPageBreak/>
              <w:t>In determining the categories in which to place PP&amp;E, has the entity considered</w:t>
            </w:r>
          </w:p>
          <w:p w14:paraId="11499BC9"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the cost of maintaining different accounting methods for property and the usefulness (benefit) of the information, </w:t>
            </w:r>
          </w:p>
          <w:p w14:paraId="4FEA26F7"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the diversity of the PP&amp;E (e.g., useful lives, value, and alternative uses), </w:t>
            </w:r>
          </w:p>
          <w:p w14:paraId="64E5AD5E"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programs being served by the PP&amp;E, and</w:t>
            </w:r>
          </w:p>
          <w:p w14:paraId="5A38CE9B"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szCs w:val="22"/>
              </w:rPr>
            </w:pPr>
            <w:r w:rsidRPr="005B5418">
              <w:rPr>
                <w:rFonts w:eastAsia="Arial Unicode MS" w:cs="Arial"/>
                <w:szCs w:val="22"/>
              </w:rPr>
              <w:t>future disposition of the PP&amp;E? (SFFAS 6, para. 22)</w:t>
            </w:r>
          </w:p>
        </w:tc>
        <w:tc>
          <w:tcPr>
            <w:tcW w:w="963" w:type="dxa"/>
          </w:tcPr>
          <w:p w14:paraId="505AF9E2" w14:textId="77777777" w:rsidR="00984623" w:rsidRPr="005B5418" w:rsidRDefault="00984623" w:rsidP="008848DA">
            <w:pPr>
              <w:pStyle w:val="Table-Cell-CenterBoldBefore6ptAfter6pt"/>
              <w:spacing w:before="60" w:after="60"/>
              <w:rPr>
                <w:rFonts w:cs="Arial"/>
                <w:lang w:val="pt-BR"/>
              </w:rPr>
            </w:pPr>
          </w:p>
        </w:tc>
        <w:tc>
          <w:tcPr>
            <w:tcW w:w="3220" w:type="dxa"/>
          </w:tcPr>
          <w:p w14:paraId="4D312A51" w14:textId="77777777" w:rsidR="00984623" w:rsidRPr="005B5418" w:rsidRDefault="00984623" w:rsidP="008848DA">
            <w:pPr>
              <w:spacing w:before="60" w:after="60" w:line="240" w:lineRule="auto"/>
              <w:rPr>
                <w:rFonts w:cs="Arial"/>
                <w:lang w:val="pt-BR"/>
              </w:rPr>
            </w:pPr>
          </w:p>
        </w:tc>
      </w:tr>
      <w:tr w:rsidR="00984623" w:rsidRPr="005B5418" w14:paraId="02C57AE2" w14:textId="77777777" w:rsidTr="008E261A">
        <w:trPr>
          <w:gridAfter w:val="1"/>
          <w:wAfter w:w="19" w:type="dxa"/>
          <w:trHeight w:val="4292"/>
        </w:trPr>
        <w:tc>
          <w:tcPr>
            <w:tcW w:w="5398" w:type="dxa"/>
          </w:tcPr>
          <w:p w14:paraId="68CD48EC" w14:textId="73DBF76E" w:rsidR="00984623" w:rsidRPr="005B5418" w:rsidRDefault="00984623" w:rsidP="00884E2F">
            <w:pPr>
              <w:pStyle w:val="FAM-Table-outline"/>
              <w:spacing w:line="240" w:lineRule="auto"/>
              <w:rPr>
                <w:rFonts w:eastAsia="Arial Unicode MS" w:cs="Arial"/>
                <w:szCs w:val="22"/>
              </w:rPr>
            </w:pPr>
            <w:r w:rsidRPr="005B5418">
              <w:rPr>
                <w:rFonts w:eastAsia="Arial Unicode MS" w:cs="Arial"/>
                <w:szCs w:val="22"/>
              </w:rPr>
              <w:t xml:space="preserve">Does the entity categorize an asset under </w:t>
            </w:r>
            <w:r w:rsidR="000A0C1F" w:rsidRPr="005B5418">
              <w:rPr>
                <w:rFonts w:eastAsia="Arial Unicode MS" w:cs="Arial"/>
                <w:szCs w:val="22"/>
              </w:rPr>
              <w:t>PP&amp;E</w:t>
            </w:r>
            <w:r w:rsidRPr="005B5418">
              <w:rPr>
                <w:rFonts w:eastAsia="Arial Unicode MS" w:cs="Arial"/>
                <w:szCs w:val="22"/>
              </w:rPr>
              <w:t xml:space="preserve"> if it has one or more of the following characteristics:</w:t>
            </w:r>
          </w:p>
          <w:p w14:paraId="26736D5D"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it could be used for alternative purposes (e.g., by other federal programs, state or local governments, or nongovernmental entities) but is used to produce goods or services or to support the mission of the entity,</w:t>
            </w:r>
          </w:p>
          <w:p w14:paraId="35374447"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it is used for business-type activities,</w:t>
            </w:r>
            <w:r w:rsidRPr="00580CC4">
              <w:rPr>
                <w:rStyle w:val="FootnoteReference"/>
                <w:rFonts w:eastAsia="Arial Unicode MS"/>
              </w:rPr>
              <w:footnoteReference w:id="133"/>
            </w:r>
            <w:r w:rsidRPr="005B5418">
              <w:rPr>
                <w:rFonts w:eastAsia="Arial Unicode MS" w:cs="Arial"/>
                <w:szCs w:val="22"/>
              </w:rPr>
              <w:t xml:space="preserve"> and</w:t>
            </w:r>
          </w:p>
          <w:p w14:paraId="79C9954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it is used by entities in activities whose costs can be compared to those of other entities performing similar activities (e.g., federal hospital services in comparison to other hospitals)? (SFFAS 6, para. 23)</w:t>
            </w:r>
          </w:p>
          <w:p w14:paraId="24433A2D" w14:textId="77777777" w:rsidR="003E7DD3" w:rsidRPr="005B5418" w:rsidRDefault="003E7DD3" w:rsidP="00F47733">
            <w:pPr>
              <w:pStyle w:val="FAM-Table-outline2"/>
              <w:numPr>
                <w:ilvl w:val="0"/>
                <w:numId w:val="0"/>
              </w:numPr>
              <w:tabs>
                <w:tab w:val="num" w:pos="2196"/>
              </w:tabs>
              <w:spacing w:line="240" w:lineRule="auto"/>
              <w:ind w:left="1057"/>
              <w:rPr>
                <w:rFonts w:eastAsia="Arial Unicode MS"/>
              </w:rPr>
            </w:pPr>
          </w:p>
        </w:tc>
        <w:tc>
          <w:tcPr>
            <w:tcW w:w="963" w:type="dxa"/>
          </w:tcPr>
          <w:p w14:paraId="421B96C8" w14:textId="77777777" w:rsidR="00984623" w:rsidRPr="005B5418" w:rsidRDefault="00984623" w:rsidP="008848DA">
            <w:pPr>
              <w:pStyle w:val="Table-Cell-CenterBoldBefore6ptAfter6pt"/>
              <w:spacing w:before="60" w:after="60"/>
              <w:rPr>
                <w:rFonts w:cs="Arial"/>
                <w:lang w:val="pt-BR"/>
              </w:rPr>
            </w:pPr>
          </w:p>
        </w:tc>
        <w:tc>
          <w:tcPr>
            <w:tcW w:w="3220" w:type="dxa"/>
          </w:tcPr>
          <w:p w14:paraId="3774469B" w14:textId="77777777" w:rsidR="00984623" w:rsidRPr="005B5418" w:rsidRDefault="00984623" w:rsidP="008848DA">
            <w:pPr>
              <w:spacing w:before="60" w:after="60" w:line="240" w:lineRule="auto"/>
              <w:rPr>
                <w:rFonts w:cs="Arial"/>
                <w:lang w:val="pt-BR"/>
              </w:rPr>
            </w:pPr>
          </w:p>
        </w:tc>
      </w:tr>
      <w:tr w:rsidR="00984623" w:rsidRPr="005B5418" w14:paraId="43349719" w14:textId="77777777" w:rsidTr="008E261A">
        <w:trPr>
          <w:gridAfter w:val="1"/>
          <w:wAfter w:w="19" w:type="dxa"/>
          <w:trHeight w:val="1376"/>
        </w:trPr>
        <w:tc>
          <w:tcPr>
            <w:tcW w:w="5398" w:type="dxa"/>
          </w:tcPr>
          <w:p w14:paraId="6D07EA05" w14:textId="65954444" w:rsidR="00984623" w:rsidRPr="005B5418" w:rsidRDefault="00BE4C71">
            <w:pPr>
              <w:pStyle w:val="FAM-Table-outline"/>
              <w:widowControl/>
              <w:numPr>
                <w:ilvl w:val="0"/>
                <w:numId w:val="13"/>
              </w:numPr>
              <w:adjustRightInd/>
              <w:spacing w:line="240" w:lineRule="auto"/>
              <w:textAlignment w:val="auto"/>
              <w:rPr>
                <w:rFonts w:cs="Arial"/>
              </w:rPr>
            </w:pPr>
            <w:r w:rsidRPr="005B5418">
              <w:rPr>
                <w:rFonts w:eastAsia="Arial Unicode MS"/>
              </w:rPr>
              <w:t xml:space="preserve">For entities </w:t>
            </w:r>
            <w:r w:rsidR="00984623" w:rsidRPr="005B5418">
              <w:rPr>
                <w:rFonts w:eastAsia="Arial Unicode MS"/>
              </w:rPr>
              <w:t>operating as business-type activities</w:t>
            </w:r>
            <w:r w:rsidRPr="005B5418">
              <w:rPr>
                <w:rFonts w:eastAsia="Arial Unicode MS"/>
              </w:rPr>
              <w:t>, is Stewardship PP&amp;E</w:t>
            </w:r>
            <w:r w:rsidR="00984623" w:rsidRPr="005B5418">
              <w:rPr>
                <w:rFonts w:eastAsia="Arial Unicode MS"/>
              </w:rPr>
              <w:t xml:space="preserve"> categorized as </w:t>
            </w:r>
            <w:r w:rsidR="000A0C1F" w:rsidRPr="005B5418">
              <w:rPr>
                <w:rFonts w:eastAsia="Arial Unicode MS"/>
              </w:rPr>
              <w:t>PP&amp;E</w:t>
            </w:r>
            <w:r w:rsidR="00984623" w:rsidRPr="005B5418">
              <w:rPr>
                <w:rFonts w:eastAsia="Arial Unicode MS"/>
              </w:rPr>
              <w:t>? (SFFAS 6, para. 24)</w:t>
            </w:r>
          </w:p>
        </w:tc>
        <w:tc>
          <w:tcPr>
            <w:tcW w:w="963" w:type="dxa"/>
          </w:tcPr>
          <w:p w14:paraId="63A9AB51" w14:textId="77777777" w:rsidR="00984623" w:rsidRPr="005B5418" w:rsidRDefault="00984623" w:rsidP="008848DA">
            <w:pPr>
              <w:pStyle w:val="Table-Cell-CenterBoldBefore6ptAfter6pt"/>
              <w:spacing w:before="60" w:after="60"/>
              <w:rPr>
                <w:rFonts w:cs="Arial"/>
                <w:lang w:val="pt-BR"/>
              </w:rPr>
            </w:pPr>
          </w:p>
        </w:tc>
        <w:tc>
          <w:tcPr>
            <w:tcW w:w="3220" w:type="dxa"/>
          </w:tcPr>
          <w:p w14:paraId="7F1E29C0" w14:textId="77777777" w:rsidR="00984623" w:rsidRPr="005B5418" w:rsidRDefault="00984623" w:rsidP="008848DA">
            <w:pPr>
              <w:spacing w:before="60" w:after="60" w:line="240" w:lineRule="auto"/>
              <w:rPr>
                <w:rFonts w:cs="Arial"/>
                <w:lang w:val="pt-BR"/>
              </w:rPr>
            </w:pPr>
          </w:p>
        </w:tc>
      </w:tr>
      <w:tr w:rsidR="00984623" w:rsidRPr="005B5418" w14:paraId="11B5BB87" w14:textId="77777777" w:rsidTr="008E261A">
        <w:trPr>
          <w:gridAfter w:val="1"/>
          <w:wAfter w:w="19" w:type="dxa"/>
          <w:trHeight w:val="1817"/>
        </w:trPr>
        <w:tc>
          <w:tcPr>
            <w:tcW w:w="5398" w:type="dxa"/>
          </w:tcPr>
          <w:p w14:paraId="539566BC" w14:textId="16F649DD" w:rsidR="00984623" w:rsidRPr="005B5418" w:rsidRDefault="00984623" w:rsidP="00343610">
            <w:pPr>
              <w:pStyle w:val="FAM-Table-outline"/>
              <w:numPr>
                <w:ilvl w:val="0"/>
                <w:numId w:val="2"/>
              </w:numPr>
              <w:spacing w:line="240" w:lineRule="auto"/>
              <w:rPr>
                <w:rFonts w:eastAsia="Arial Unicode MS"/>
              </w:rPr>
            </w:pPr>
            <w:r w:rsidRPr="005B5418">
              <w:rPr>
                <w:rFonts w:eastAsia="Arial Unicode MS"/>
              </w:rPr>
              <w:lastRenderedPageBreak/>
              <w:t xml:space="preserve">Unless the reporting entity elected to exclude land and land rights from the opening balance of </w:t>
            </w:r>
            <w:r w:rsidR="000A0C1F" w:rsidRPr="005B5418">
              <w:rPr>
                <w:rFonts w:eastAsia="Arial Unicode MS"/>
              </w:rPr>
              <w:t>PP&amp;E</w:t>
            </w:r>
            <w:r w:rsidRPr="005B5418">
              <w:rPr>
                <w:rFonts w:eastAsia="Arial Unicode MS"/>
              </w:rPr>
              <w:t xml:space="preserve">, are land and land rights specifically acquired for or in connection with other </w:t>
            </w:r>
            <w:r w:rsidR="000A0C1F" w:rsidRPr="005B5418">
              <w:rPr>
                <w:rFonts w:eastAsia="Arial Unicode MS"/>
              </w:rPr>
              <w:t>PP&amp;E</w:t>
            </w:r>
            <w:r w:rsidRPr="005B5418">
              <w:rPr>
                <w:rFonts w:eastAsia="Arial Unicode MS"/>
              </w:rPr>
              <w:t xml:space="preserve"> included in </w:t>
            </w:r>
            <w:r w:rsidR="000A0C1F" w:rsidRPr="005B5418">
              <w:rPr>
                <w:rFonts w:eastAsia="Arial Unicode MS"/>
              </w:rPr>
              <w:t>PP&amp;E</w:t>
            </w:r>
            <w:r w:rsidRPr="005B5418">
              <w:rPr>
                <w:rFonts w:eastAsia="Arial Unicode MS"/>
              </w:rPr>
              <w:t xml:space="preserve">? (SFFAS 6, para. 25) </w:t>
            </w:r>
          </w:p>
        </w:tc>
        <w:tc>
          <w:tcPr>
            <w:tcW w:w="963" w:type="dxa"/>
          </w:tcPr>
          <w:p w14:paraId="25930D2B" w14:textId="77777777" w:rsidR="00984623" w:rsidRPr="005B5418" w:rsidRDefault="00984623" w:rsidP="008848DA">
            <w:pPr>
              <w:pStyle w:val="Table-Cell-CenterBoldBefore6ptAfter6pt"/>
              <w:spacing w:before="60" w:after="60"/>
              <w:rPr>
                <w:rFonts w:cs="Arial"/>
                <w:lang w:val="pt-BR"/>
              </w:rPr>
            </w:pPr>
          </w:p>
        </w:tc>
        <w:tc>
          <w:tcPr>
            <w:tcW w:w="3220" w:type="dxa"/>
          </w:tcPr>
          <w:p w14:paraId="156D006B" w14:textId="77777777" w:rsidR="00984623" w:rsidRPr="005B5418" w:rsidRDefault="00984623" w:rsidP="008848DA">
            <w:pPr>
              <w:spacing w:before="60" w:after="60" w:line="240" w:lineRule="auto"/>
              <w:rPr>
                <w:rFonts w:cs="Arial"/>
                <w:lang w:val="pt-BR"/>
              </w:rPr>
            </w:pPr>
          </w:p>
        </w:tc>
      </w:tr>
      <w:tr w:rsidR="00984623" w:rsidRPr="005B5418" w14:paraId="3A08AF60" w14:textId="77777777" w:rsidTr="008E261A">
        <w:trPr>
          <w:gridAfter w:val="1"/>
          <w:wAfter w:w="19" w:type="dxa"/>
          <w:trHeight w:hRule="exact" w:val="461"/>
        </w:trPr>
        <w:tc>
          <w:tcPr>
            <w:tcW w:w="5398" w:type="dxa"/>
          </w:tcPr>
          <w:p w14:paraId="03E7D56E" w14:textId="77777777" w:rsidR="00984623" w:rsidRPr="005B5418" w:rsidRDefault="00984623" w:rsidP="00884E2F">
            <w:pPr>
              <w:pStyle w:val="FAM-Table-outline"/>
              <w:numPr>
                <w:ilvl w:val="0"/>
                <w:numId w:val="0"/>
              </w:numPr>
              <w:spacing w:line="240" w:lineRule="auto"/>
              <w:ind w:left="576" w:hanging="576"/>
              <w:rPr>
                <w:rFonts w:eastAsia="Arial Unicode MS" w:cs="Arial"/>
                <w:i/>
                <w:szCs w:val="22"/>
              </w:rPr>
            </w:pPr>
            <w:r w:rsidRPr="005B5418">
              <w:rPr>
                <w:rFonts w:eastAsia="Arial Unicode MS" w:cs="Arial"/>
                <w:i/>
                <w:szCs w:val="22"/>
              </w:rPr>
              <w:t>Asset Recognition</w:t>
            </w:r>
          </w:p>
          <w:p w14:paraId="6FF396F4" w14:textId="77777777" w:rsidR="00984623" w:rsidRPr="005B5418" w:rsidRDefault="00984623" w:rsidP="00884E2F">
            <w:pPr>
              <w:pStyle w:val="FAM-Table-outline"/>
              <w:numPr>
                <w:ilvl w:val="0"/>
                <w:numId w:val="0"/>
              </w:numPr>
              <w:spacing w:line="240" w:lineRule="auto"/>
              <w:ind w:left="1152" w:hanging="576"/>
              <w:rPr>
                <w:rFonts w:eastAsia="Arial Unicode MS" w:cs="Arial"/>
                <w:szCs w:val="22"/>
                <w:u w:val="single"/>
              </w:rPr>
            </w:pPr>
          </w:p>
        </w:tc>
        <w:tc>
          <w:tcPr>
            <w:tcW w:w="963" w:type="dxa"/>
          </w:tcPr>
          <w:p w14:paraId="6EF2FF1B" w14:textId="77777777" w:rsidR="00984623" w:rsidRPr="005B5418" w:rsidRDefault="00984623" w:rsidP="008848DA">
            <w:pPr>
              <w:pStyle w:val="Table-Cell-CenterBoldBefore6ptAfter6pt"/>
              <w:spacing w:before="60" w:after="60"/>
              <w:rPr>
                <w:rFonts w:cs="Arial"/>
                <w:lang w:val="pt-BR"/>
              </w:rPr>
            </w:pPr>
          </w:p>
        </w:tc>
        <w:tc>
          <w:tcPr>
            <w:tcW w:w="3220" w:type="dxa"/>
          </w:tcPr>
          <w:p w14:paraId="7B31A15F" w14:textId="77777777" w:rsidR="00984623" w:rsidRPr="005B5418" w:rsidRDefault="00984623" w:rsidP="008848DA">
            <w:pPr>
              <w:spacing w:before="60" w:after="60" w:line="240" w:lineRule="auto"/>
              <w:rPr>
                <w:rFonts w:cs="Arial"/>
                <w:lang w:val="pt-BR"/>
              </w:rPr>
            </w:pPr>
          </w:p>
        </w:tc>
      </w:tr>
      <w:tr w:rsidR="00984623" w:rsidRPr="005B5418" w14:paraId="7D186B2E" w14:textId="77777777" w:rsidTr="008E261A">
        <w:trPr>
          <w:gridAfter w:val="1"/>
          <w:wAfter w:w="19" w:type="dxa"/>
          <w:trHeight w:val="2303"/>
        </w:trPr>
        <w:tc>
          <w:tcPr>
            <w:tcW w:w="5398" w:type="dxa"/>
          </w:tcPr>
          <w:p w14:paraId="7A3CC512" w14:textId="1CC569BC" w:rsidR="00984623" w:rsidRPr="005B5418" w:rsidRDefault="00F05C8C" w:rsidP="00884E2F">
            <w:pPr>
              <w:pStyle w:val="FAM-Table-outline"/>
              <w:spacing w:line="240" w:lineRule="auto"/>
              <w:rPr>
                <w:rFonts w:eastAsia="Arial Unicode MS"/>
              </w:rPr>
            </w:pPr>
            <w:r w:rsidRPr="005B5418">
              <w:rPr>
                <w:rFonts w:eastAsia="Arial Unicode MS"/>
              </w:rPr>
              <w:t xml:space="preserve">Is </w:t>
            </w:r>
            <w:r w:rsidR="00984623" w:rsidRPr="005B5418">
              <w:rPr>
                <w:rFonts w:eastAsia="Arial Unicode MS"/>
              </w:rPr>
              <w:t>all</w:t>
            </w:r>
            <w:r w:rsidR="00DA232A" w:rsidRPr="005B5418">
              <w:rPr>
                <w:rFonts w:eastAsia="Arial Unicode MS"/>
              </w:rPr>
              <w:t xml:space="preserve"> </w:t>
            </w:r>
            <w:r w:rsidR="000A0C1F" w:rsidRPr="005B5418">
              <w:rPr>
                <w:rFonts w:eastAsia="Arial Unicode MS"/>
              </w:rPr>
              <w:t>PP&amp;E</w:t>
            </w:r>
            <w:r w:rsidR="00984623" w:rsidRPr="005B5418">
              <w:rPr>
                <w:rFonts w:eastAsia="Arial Unicode MS"/>
              </w:rPr>
              <w:t xml:space="preserve"> recorded </w:t>
            </w:r>
          </w:p>
          <w:p w14:paraId="0861438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at cost, or </w:t>
            </w:r>
          </w:p>
          <w:p w14:paraId="16680216" w14:textId="0B319668"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at a reasonable estimate for establishing historical cost, and/or</w:t>
            </w:r>
          </w:p>
          <w:p w14:paraId="34DC2AD1" w14:textId="057CED44" w:rsidR="006763AD" w:rsidRPr="005B5418" w:rsidRDefault="006763AD"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at an allowed alternative method for establishing opening balances? (SFFAS 6, para</w:t>
            </w:r>
            <w:r w:rsidR="00A3220A" w:rsidRPr="005B5418">
              <w:rPr>
                <w:rFonts w:eastAsia="Arial Unicode MS" w:cs="Arial"/>
                <w:szCs w:val="22"/>
              </w:rPr>
              <w:t>s</w:t>
            </w:r>
            <w:r w:rsidRPr="005B5418">
              <w:rPr>
                <w:rFonts w:eastAsia="Arial Unicode MS" w:cs="Arial"/>
                <w:szCs w:val="22"/>
              </w:rPr>
              <w:t>. 26 and 40)</w:t>
            </w:r>
          </w:p>
          <w:p w14:paraId="2F24C562" w14:textId="4E9C7D3A" w:rsidR="00984623" w:rsidRPr="005B5418" w:rsidRDefault="00984623" w:rsidP="00F47733">
            <w:pPr>
              <w:pStyle w:val="FAM-Table-outline2"/>
              <w:numPr>
                <w:ilvl w:val="0"/>
                <w:numId w:val="0"/>
              </w:numPr>
              <w:spacing w:line="240" w:lineRule="auto"/>
              <w:ind w:left="1057"/>
              <w:rPr>
                <w:rFonts w:eastAsia="Arial Unicode MS"/>
              </w:rPr>
            </w:pPr>
          </w:p>
        </w:tc>
        <w:tc>
          <w:tcPr>
            <w:tcW w:w="963" w:type="dxa"/>
          </w:tcPr>
          <w:p w14:paraId="30B50DB4" w14:textId="77777777" w:rsidR="00984623" w:rsidRPr="005B5418" w:rsidRDefault="00984623" w:rsidP="008848DA">
            <w:pPr>
              <w:pStyle w:val="Table-Cell-CenterBoldBefore6ptAfter6pt"/>
              <w:spacing w:before="60" w:after="60"/>
              <w:rPr>
                <w:rFonts w:cs="Arial"/>
                <w:lang w:val="pt-BR"/>
              </w:rPr>
            </w:pPr>
          </w:p>
        </w:tc>
        <w:tc>
          <w:tcPr>
            <w:tcW w:w="3220" w:type="dxa"/>
          </w:tcPr>
          <w:p w14:paraId="2CDB88B6" w14:textId="77777777" w:rsidR="00984623" w:rsidRPr="005B5418" w:rsidRDefault="00984623" w:rsidP="008848DA">
            <w:pPr>
              <w:spacing w:before="60" w:after="60" w:line="240" w:lineRule="auto"/>
              <w:rPr>
                <w:rFonts w:cs="Arial"/>
                <w:lang w:val="pt-BR"/>
              </w:rPr>
            </w:pPr>
          </w:p>
        </w:tc>
      </w:tr>
      <w:tr w:rsidR="00984623" w:rsidRPr="005B5418" w14:paraId="4F2052D6" w14:textId="77777777" w:rsidTr="008E261A">
        <w:trPr>
          <w:gridAfter w:val="1"/>
          <w:wAfter w:w="19" w:type="dxa"/>
          <w:trHeight w:val="2492"/>
        </w:trPr>
        <w:tc>
          <w:tcPr>
            <w:tcW w:w="5398" w:type="dxa"/>
          </w:tcPr>
          <w:p w14:paraId="2CD4C557" w14:textId="687D2767" w:rsidR="00984623" w:rsidRPr="005B5418" w:rsidRDefault="00984623" w:rsidP="00884E2F">
            <w:pPr>
              <w:pStyle w:val="FAM-Table-outline"/>
              <w:spacing w:line="240" w:lineRule="auto"/>
              <w:rPr>
                <w:rFonts w:eastAsia="Arial Unicode MS"/>
              </w:rPr>
            </w:pPr>
            <w:r w:rsidRPr="005B5418">
              <w:rPr>
                <w:rFonts w:eastAsia="Arial Unicode MS"/>
              </w:rPr>
              <w:t xml:space="preserve">Does the cost of </w:t>
            </w:r>
            <w:r w:rsidR="000A0C1F" w:rsidRPr="005B5418">
              <w:rPr>
                <w:rFonts w:eastAsia="Arial Unicode MS"/>
              </w:rPr>
              <w:t>PP&amp;E</w:t>
            </w:r>
            <w:r w:rsidRPr="005B5418">
              <w:rPr>
                <w:rFonts w:eastAsia="Arial Unicode MS"/>
              </w:rPr>
              <w:t xml:space="preserve"> include all costs to bring it to a form and location suitable for its intended use, including </w:t>
            </w:r>
          </w:p>
          <w:p w14:paraId="79A3575E"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amounts paid to vendors;</w:t>
            </w:r>
          </w:p>
          <w:p w14:paraId="0A5BBD4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transportation charges to the point of initial use;</w:t>
            </w:r>
          </w:p>
          <w:p w14:paraId="7C78A6F3"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handling and storage costs;</w:t>
            </w:r>
          </w:p>
          <w:p w14:paraId="3BA9C2E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labor and other direct or indirect production costs (for assets produced or constructed);</w:t>
            </w:r>
          </w:p>
          <w:p w14:paraId="7AA6A687"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costs of engineering, architectural, and other outside services for designs, plans, specifications, and surveys;</w:t>
            </w:r>
          </w:p>
          <w:p w14:paraId="664F72FD"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acquisition and preparation costs of buildings and other facilities;</w:t>
            </w:r>
          </w:p>
          <w:p w14:paraId="10FB4E1F"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an appropriate share of the cost of the equipment and facilities used in construction work;</w:t>
            </w:r>
          </w:p>
          <w:p w14:paraId="13F0B88E"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fixed equipment and related installation costs required for activities in a building or facility;</w:t>
            </w:r>
          </w:p>
          <w:p w14:paraId="14E4E96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direct costs of inspection, supervision, and administration of construction contracts and construction work;</w:t>
            </w:r>
          </w:p>
          <w:p w14:paraId="2CDA77F2"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legal and recording fees and damage </w:t>
            </w:r>
            <w:r w:rsidRPr="005B5418">
              <w:rPr>
                <w:rFonts w:eastAsia="Arial Unicode MS" w:cs="Arial"/>
                <w:szCs w:val="22"/>
              </w:rPr>
              <w:lastRenderedPageBreak/>
              <w:t>claims;</w:t>
            </w:r>
          </w:p>
          <w:p w14:paraId="543857DA"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fair value of facilities and equipment donated to the government; and</w:t>
            </w:r>
          </w:p>
          <w:p w14:paraId="108F3757" w14:textId="647CE90B"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interest costs paid? (SFFAS 6, para. 26)</w:t>
            </w:r>
          </w:p>
        </w:tc>
        <w:tc>
          <w:tcPr>
            <w:tcW w:w="963" w:type="dxa"/>
          </w:tcPr>
          <w:p w14:paraId="614AC2B8" w14:textId="77777777" w:rsidR="00984623" w:rsidRPr="005B5418" w:rsidRDefault="00984623" w:rsidP="008848DA">
            <w:pPr>
              <w:pStyle w:val="Table-Cell-CenterBoldBefore6ptAfter6pt"/>
              <w:spacing w:before="60" w:after="60"/>
              <w:rPr>
                <w:rFonts w:cs="Arial"/>
                <w:lang w:val="pt-BR"/>
              </w:rPr>
            </w:pPr>
          </w:p>
        </w:tc>
        <w:tc>
          <w:tcPr>
            <w:tcW w:w="3220" w:type="dxa"/>
          </w:tcPr>
          <w:p w14:paraId="0C1CFCF1" w14:textId="77777777" w:rsidR="00984623" w:rsidRPr="005B5418" w:rsidRDefault="00984623" w:rsidP="008848DA">
            <w:pPr>
              <w:spacing w:before="60" w:after="60" w:line="240" w:lineRule="auto"/>
              <w:rPr>
                <w:rFonts w:cs="Arial"/>
                <w:lang w:val="pt-BR"/>
              </w:rPr>
            </w:pPr>
          </w:p>
        </w:tc>
      </w:tr>
      <w:tr w:rsidR="00EA22BD" w:rsidRPr="005B5418" w14:paraId="36541A9A" w14:textId="77777777" w:rsidTr="008E261A">
        <w:trPr>
          <w:trHeight w:val="2492"/>
        </w:trPr>
        <w:tc>
          <w:tcPr>
            <w:tcW w:w="5398" w:type="dxa"/>
          </w:tcPr>
          <w:p w14:paraId="3D4C8379" w14:textId="247622B0" w:rsidR="00395B15" w:rsidRPr="005B5418" w:rsidRDefault="00395B15" w:rsidP="00395B15">
            <w:pPr>
              <w:pStyle w:val="FAM-Table-outline"/>
              <w:rPr>
                <w:rFonts w:eastAsia="Arial Unicode MS"/>
              </w:rPr>
            </w:pPr>
            <w:r w:rsidRPr="005B5418">
              <w:rPr>
                <w:rFonts w:eastAsia="Arial Unicode MS"/>
              </w:rPr>
              <w:t xml:space="preserve">Is the cost of PP&amp;E acquired through a </w:t>
            </w:r>
            <w:r w:rsidR="007B6397" w:rsidRPr="005B5418">
              <w:rPr>
                <w:rFonts w:eastAsia="Arial Unicode MS"/>
              </w:rPr>
              <w:t xml:space="preserve">lease </w:t>
            </w:r>
            <w:r w:rsidRPr="005B5418">
              <w:rPr>
                <w:rFonts w:eastAsia="Arial Unicode MS"/>
              </w:rPr>
              <w:t xml:space="preserve">contract or agreement that transfers ownership equal to the amount that would otherwise be recognized as a lease asset at the commencement of the lease term? (SFFAS 6, para. 26A; also see SFFAS 54, para. </w:t>
            </w:r>
            <w:r w:rsidR="007B6397" w:rsidRPr="005B5418">
              <w:rPr>
                <w:rFonts w:eastAsia="Arial Unicode MS"/>
              </w:rPr>
              <w:t>25</w:t>
            </w:r>
            <w:r w:rsidR="00287904" w:rsidRPr="005B5418">
              <w:rPr>
                <w:rFonts w:eastAsia="Arial Unicode MS"/>
              </w:rPr>
              <w:t xml:space="preserve"> and 49</w:t>
            </w:r>
            <w:r w:rsidRPr="005B5418">
              <w:rPr>
                <w:rFonts w:eastAsia="Arial Unicode MS"/>
              </w:rPr>
              <w:t>)</w:t>
            </w:r>
          </w:p>
        </w:tc>
        <w:tc>
          <w:tcPr>
            <w:tcW w:w="963" w:type="dxa"/>
          </w:tcPr>
          <w:p w14:paraId="3B5C8F93" w14:textId="77777777" w:rsidR="00395B15" w:rsidRPr="005B5418" w:rsidRDefault="00395B15" w:rsidP="008848DA">
            <w:pPr>
              <w:pStyle w:val="Table-Cell-CenterBoldBefore6ptAfter6pt"/>
              <w:spacing w:before="60" w:after="60"/>
              <w:rPr>
                <w:rFonts w:cs="Arial"/>
                <w:lang w:val="pt-BR"/>
              </w:rPr>
            </w:pPr>
          </w:p>
        </w:tc>
        <w:tc>
          <w:tcPr>
            <w:tcW w:w="3239" w:type="dxa"/>
            <w:gridSpan w:val="2"/>
          </w:tcPr>
          <w:p w14:paraId="68FCD357" w14:textId="77777777" w:rsidR="00395B15" w:rsidRPr="005B5418" w:rsidRDefault="00395B15" w:rsidP="008848DA">
            <w:pPr>
              <w:spacing w:before="60" w:after="60" w:line="240" w:lineRule="auto"/>
              <w:rPr>
                <w:rFonts w:cs="Arial"/>
                <w:lang w:val="pt-BR"/>
              </w:rPr>
            </w:pPr>
          </w:p>
        </w:tc>
      </w:tr>
      <w:tr w:rsidR="00984623" w:rsidRPr="005B5418" w14:paraId="061BA83C" w14:textId="77777777" w:rsidTr="008E261A">
        <w:trPr>
          <w:gridAfter w:val="1"/>
          <w:wAfter w:w="19" w:type="dxa"/>
          <w:trHeight w:val="1484"/>
        </w:trPr>
        <w:tc>
          <w:tcPr>
            <w:tcW w:w="5398" w:type="dxa"/>
          </w:tcPr>
          <w:p w14:paraId="2616B8CE" w14:textId="331BF8CD"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Is the cost of </w:t>
            </w:r>
            <w:r w:rsidR="000A0C1F" w:rsidRPr="005B5418">
              <w:rPr>
                <w:rFonts w:eastAsia="Arial Unicode MS"/>
              </w:rPr>
              <w:t>PP&amp;E</w:t>
            </w:r>
            <w:r w:rsidRPr="005B5418">
              <w:rPr>
                <w:rFonts w:eastAsia="Arial Unicode MS"/>
              </w:rPr>
              <w:t xml:space="preserve"> acquired through donation, devise, or judicial process, excluding forfeiture, capitalized at estimated fair value at the time acquired by the entity? (SFFAS 6, para. 30)</w:t>
            </w:r>
          </w:p>
        </w:tc>
        <w:tc>
          <w:tcPr>
            <w:tcW w:w="963" w:type="dxa"/>
          </w:tcPr>
          <w:p w14:paraId="50BC813D" w14:textId="77777777" w:rsidR="00984623" w:rsidRPr="005B5418" w:rsidRDefault="00984623" w:rsidP="008848DA">
            <w:pPr>
              <w:pStyle w:val="Table-Cell-CenterBoldBefore6ptAfter6pt"/>
              <w:spacing w:before="60" w:after="60"/>
              <w:rPr>
                <w:rFonts w:cs="Arial"/>
                <w:lang w:val="pt-BR"/>
              </w:rPr>
            </w:pPr>
          </w:p>
        </w:tc>
        <w:tc>
          <w:tcPr>
            <w:tcW w:w="3220" w:type="dxa"/>
          </w:tcPr>
          <w:p w14:paraId="6AB6E929" w14:textId="77777777" w:rsidR="00984623" w:rsidRPr="005B5418" w:rsidRDefault="00984623" w:rsidP="008848DA">
            <w:pPr>
              <w:spacing w:before="60" w:after="60" w:line="240" w:lineRule="auto"/>
              <w:rPr>
                <w:rFonts w:cs="Arial"/>
                <w:lang w:val="pt-BR"/>
              </w:rPr>
            </w:pPr>
          </w:p>
        </w:tc>
      </w:tr>
      <w:tr w:rsidR="00984623" w:rsidRPr="005B5418" w14:paraId="3EFAF931" w14:textId="77777777" w:rsidTr="008E261A">
        <w:trPr>
          <w:gridAfter w:val="1"/>
          <w:wAfter w:w="19" w:type="dxa"/>
          <w:trHeight w:val="1133"/>
        </w:trPr>
        <w:tc>
          <w:tcPr>
            <w:tcW w:w="5398" w:type="dxa"/>
          </w:tcPr>
          <w:p w14:paraId="6E11AD35" w14:textId="3EF1A464"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Is </w:t>
            </w:r>
            <w:r w:rsidR="000A0C1F" w:rsidRPr="005B5418">
              <w:rPr>
                <w:rFonts w:eastAsia="Arial Unicode MS"/>
              </w:rPr>
              <w:t>PP&amp;E</w:t>
            </w:r>
            <w:r w:rsidRPr="005B5418">
              <w:rPr>
                <w:rFonts w:eastAsia="Arial Unicode MS"/>
              </w:rPr>
              <w:t xml:space="preserve"> transferred from other federal entities capitalized at the book amount recorded by the transferring entity? (SFFAS 6, para. 31)</w:t>
            </w:r>
          </w:p>
        </w:tc>
        <w:tc>
          <w:tcPr>
            <w:tcW w:w="963" w:type="dxa"/>
          </w:tcPr>
          <w:p w14:paraId="372EB8ED" w14:textId="77777777" w:rsidR="00984623" w:rsidRPr="005B5418" w:rsidRDefault="00984623" w:rsidP="008848DA">
            <w:pPr>
              <w:pStyle w:val="Table-Cell-CenterBoldBefore6ptAfter6pt"/>
              <w:spacing w:before="60" w:after="60"/>
              <w:rPr>
                <w:rFonts w:cs="Arial"/>
                <w:lang w:val="pt-BR"/>
              </w:rPr>
            </w:pPr>
          </w:p>
        </w:tc>
        <w:tc>
          <w:tcPr>
            <w:tcW w:w="3220" w:type="dxa"/>
          </w:tcPr>
          <w:p w14:paraId="16791A84" w14:textId="77777777" w:rsidR="00984623" w:rsidRPr="005B5418" w:rsidRDefault="00984623" w:rsidP="008848DA">
            <w:pPr>
              <w:spacing w:before="60" w:after="60" w:line="240" w:lineRule="auto"/>
              <w:rPr>
                <w:rFonts w:cs="Arial"/>
                <w:lang w:val="pt-BR"/>
              </w:rPr>
            </w:pPr>
          </w:p>
        </w:tc>
      </w:tr>
      <w:tr w:rsidR="00984623" w:rsidRPr="005B5418" w14:paraId="461B7C82" w14:textId="77777777" w:rsidTr="008E261A">
        <w:trPr>
          <w:gridAfter w:val="1"/>
          <w:wAfter w:w="19" w:type="dxa"/>
          <w:trHeight w:val="1457"/>
        </w:trPr>
        <w:tc>
          <w:tcPr>
            <w:tcW w:w="5398" w:type="dxa"/>
          </w:tcPr>
          <w:p w14:paraId="3D36B254" w14:textId="45937058"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Is </w:t>
            </w:r>
            <w:r w:rsidR="000A0C1F" w:rsidRPr="005B5418">
              <w:rPr>
                <w:rFonts w:eastAsia="Arial Unicode MS"/>
              </w:rPr>
              <w:t>PP&amp;E</w:t>
            </w:r>
            <w:r w:rsidRPr="005B5418">
              <w:rPr>
                <w:rFonts w:eastAsia="Arial Unicode MS"/>
              </w:rPr>
              <w:t xml:space="preserve"> transferred from other federal entities capitalized at the fair value at the time of the transfer, if the receiving entity cannot reasonably ascertain the book amount of the PP&amp;E being transferred? (SFFAS 6, para. 31)</w:t>
            </w:r>
          </w:p>
        </w:tc>
        <w:tc>
          <w:tcPr>
            <w:tcW w:w="963" w:type="dxa"/>
          </w:tcPr>
          <w:p w14:paraId="76641F12" w14:textId="77777777" w:rsidR="00984623" w:rsidRPr="005B5418" w:rsidRDefault="00984623" w:rsidP="008848DA">
            <w:pPr>
              <w:pStyle w:val="Table-Cell-CenterBoldBefore6ptAfter6pt"/>
              <w:spacing w:before="60" w:after="60"/>
              <w:rPr>
                <w:rFonts w:cs="Arial"/>
                <w:lang w:val="pt-BR"/>
              </w:rPr>
            </w:pPr>
          </w:p>
        </w:tc>
        <w:tc>
          <w:tcPr>
            <w:tcW w:w="3220" w:type="dxa"/>
          </w:tcPr>
          <w:p w14:paraId="7A08FE94" w14:textId="77777777" w:rsidR="00984623" w:rsidRPr="005B5418" w:rsidRDefault="00984623" w:rsidP="008848DA">
            <w:pPr>
              <w:spacing w:before="60" w:after="60" w:line="240" w:lineRule="auto"/>
              <w:rPr>
                <w:rFonts w:cs="Arial"/>
                <w:lang w:val="pt-BR"/>
              </w:rPr>
            </w:pPr>
          </w:p>
        </w:tc>
      </w:tr>
      <w:tr w:rsidR="00984623" w:rsidRPr="005B5418" w14:paraId="1A52FC70" w14:textId="77777777" w:rsidTr="008E261A">
        <w:trPr>
          <w:gridAfter w:val="1"/>
          <w:wAfter w:w="19" w:type="dxa"/>
          <w:trHeight w:val="1394"/>
        </w:trPr>
        <w:tc>
          <w:tcPr>
            <w:tcW w:w="5398" w:type="dxa"/>
          </w:tcPr>
          <w:p w14:paraId="27847419" w14:textId="566FE5C1"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If </w:t>
            </w:r>
            <w:r w:rsidR="000A0C1F" w:rsidRPr="005B5418">
              <w:rPr>
                <w:rFonts w:eastAsia="Arial Unicode MS"/>
              </w:rPr>
              <w:t>PP&amp;E</w:t>
            </w:r>
            <w:r w:rsidRPr="005B5418">
              <w:rPr>
                <w:rFonts w:eastAsia="Arial Unicode MS"/>
              </w:rPr>
              <w:t xml:space="preserve"> is acquired through exchange between a federal entity and a non-federal entity, is it capitalized at the fair value of the PP&amp;E surrendered at the time of the exchange? (SFFAS 6, para. 32)</w:t>
            </w:r>
          </w:p>
        </w:tc>
        <w:tc>
          <w:tcPr>
            <w:tcW w:w="963" w:type="dxa"/>
          </w:tcPr>
          <w:p w14:paraId="1F66BA00" w14:textId="77777777" w:rsidR="00984623" w:rsidRPr="005B5418" w:rsidRDefault="00984623" w:rsidP="008848DA">
            <w:pPr>
              <w:pStyle w:val="Table-Cell-CenterBoldBefore6ptAfter6pt"/>
              <w:spacing w:before="60" w:after="60"/>
              <w:rPr>
                <w:rFonts w:cs="Arial"/>
                <w:lang w:val="pt-BR"/>
              </w:rPr>
            </w:pPr>
          </w:p>
        </w:tc>
        <w:tc>
          <w:tcPr>
            <w:tcW w:w="3220" w:type="dxa"/>
          </w:tcPr>
          <w:p w14:paraId="42FA6073" w14:textId="77777777" w:rsidR="00984623" w:rsidRPr="005B5418" w:rsidRDefault="00984623" w:rsidP="008848DA">
            <w:pPr>
              <w:spacing w:before="60" w:after="60" w:line="240" w:lineRule="auto"/>
              <w:rPr>
                <w:rFonts w:cs="Arial"/>
                <w:lang w:val="pt-BR"/>
              </w:rPr>
            </w:pPr>
          </w:p>
        </w:tc>
      </w:tr>
      <w:tr w:rsidR="00984623" w:rsidRPr="005B5418" w14:paraId="2CCDF545" w14:textId="77777777" w:rsidTr="008E261A">
        <w:trPr>
          <w:gridAfter w:val="1"/>
          <w:wAfter w:w="19" w:type="dxa"/>
          <w:trHeight w:val="1925"/>
        </w:trPr>
        <w:tc>
          <w:tcPr>
            <w:tcW w:w="5398" w:type="dxa"/>
          </w:tcPr>
          <w:p w14:paraId="7CAB144C" w14:textId="627154D4"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lastRenderedPageBreak/>
              <w:t xml:space="preserve">If </w:t>
            </w:r>
            <w:r w:rsidR="000A0C1F" w:rsidRPr="005B5418">
              <w:rPr>
                <w:rFonts w:eastAsia="Arial Unicode MS"/>
              </w:rPr>
              <w:t>PP&amp;E</w:t>
            </w:r>
            <w:r w:rsidRPr="005B5418">
              <w:rPr>
                <w:rFonts w:eastAsia="Arial Unicode MS"/>
              </w:rPr>
              <w:t xml:space="preserve"> is acquired through exchange between a federal entity and a non-federal entity and the fair value of the PP&amp;E is more readily determinable than that of the PP&amp;E surrendered, is the acquired </w:t>
            </w:r>
            <w:r w:rsidR="000A0C1F" w:rsidRPr="005B5418">
              <w:rPr>
                <w:rFonts w:eastAsia="Arial Unicode MS"/>
              </w:rPr>
              <w:t>PP&amp;E</w:t>
            </w:r>
            <w:r w:rsidRPr="005B5418">
              <w:rPr>
                <w:rFonts w:eastAsia="Arial Unicode MS"/>
              </w:rPr>
              <w:t xml:space="preserve"> capitalized at its fair value and a gain or loss recognized? (SFFAS 6, para. 32)</w:t>
            </w:r>
          </w:p>
        </w:tc>
        <w:tc>
          <w:tcPr>
            <w:tcW w:w="963" w:type="dxa"/>
          </w:tcPr>
          <w:p w14:paraId="4A36AFFB" w14:textId="77777777" w:rsidR="00984623" w:rsidRPr="005B5418" w:rsidRDefault="00984623" w:rsidP="008848DA">
            <w:pPr>
              <w:pStyle w:val="Table-Cell-CenterBoldBefore6ptAfter6pt"/>
              <w:spacing w:before="60" w:after="60"/>
              <w:rPr>
                <w:rFonts w:cs="Arial"/>
                <w:lang w:val="pt-BR"/>
              </w:rPr>
            </w:pPr>
          </w:p>
        </w:tc>
        <w:tc>
          <w:tcPr>
            <w:tcW w:w="3220" w:type="dxa"/>
          </w:tcPr>
          <w:p w14:paraId="2F09FA24" w14:textId="77777777" w:rsidR="00984623" w:rsidRPr="005B5418" w:rsidRDefault="00984623" w:rsidP="008848DA">
            <w:pPr>
              <w:spacing w:before="60" w:after="60" w:line="240" w:lineRule="auto"/>
              <w:rPr>
                <w:rFonts w:cs="Arial"/>
                <w:lang w:val="pt-BR"/>
              </w:rPr>
            </w:pPr>
          </w:p>
        </w:tc>
      </w:tr>
      <w:tr w:rsidR="00984623" w:rsidRPr="005B5418" w14:paraId="2A683C65" w14:textId="77777777" w:rsidTr="008E261A">
        <w:trPr>
          <w:gridAfter w:val="1"/>
          <w:wAfter w:w="19" w:type="dxa"/>
          <w:trHeight w:val="1898"/>
        </w:trPr>
        <w:tc>
          <w:tcPr>
            <w:tcW w:w="5398" w:type="dxa"/>
          </w:tcPr>
          <w:p w14:paraId="744728C3" w14:textId="7C9606AC"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If </w:t>
            </w:r>
            <w:r w:rsidR="000A0C1F" w:rsidRPr="005B5418">
              <w:rPr>
                <w:rFonts w:eastAsia="Arial Unicode MS"/>
              </w:rPr>
              <w:t>PP&amp;E</w:t>
            </w:r>
            <w:r w:rsidRPr="005B5418">
              <w:rPr>
                <w:rFonts w:eastAsia="Arial Unicode MS"/>
              </w:rPr>
              <w:t xml:space="preserve"> is acquired through exchange between a federal entity and a non-federal entity and neither the fair value of the PP&amp;E acquired or surrendered is determinable, is the acquired </w:t>
            </w:r>
            <w:r w:rsidR="000A0C1F" w:rsidRPr="005B5418">
              <w:rPr>
                <w:rFonts w:eastAsia="Arial Unicode MS"/>
              </w:rPr>
              <w:t>PP&amp;E</w:t>
            </w:r>
            <w:r w:rsidRPr="005B5418">
              <w:rPr>
                <w:rFonts w:eastAsia="Arial Unicode MS"/>
              </w:rPr>
              <w:t xml:space="preserve"> capitalized at the book amount of the PP&amp;E surrendered and a gain or loss recognized? (SFFAS 6, para. 32)</w:t>
            </w:r>
          </w:p>
        </w:tc>
        <w:tc>
          <w:tcPr>
            <w:tcW w:w="963" w:type="dxa"/>
          </w:tcPr>
          <w:p w14:paraId="68F3B2BB" w14:textId="77777777" w:rsidR="00984623" w:rsidRPr="005B5418" w:rsidRDefault="00984623" w:rsidP="008848DA">
            <w:pPr>
              <w:pStyle w:val="Table-Cell-CenterBoldBefore6ptAfter6pt"/>
              <w:spacing w:before="60" w:after="60"/>
              <w:rPr>
                <w:rFonts w:cs="Arial"/>
                <w:lang w:val="pt-BR"/>
              </w:rPr>
            </w:pPr>
          </w:p>
        </w:tc>
        <w:tc>
          <w:tcPr>
            <w:tcW w:w="3220" w:type="dxa"/>
          </w:tcPr>
          <w:p w14:paraId="681C8D5E" w14:textId="77777777" w:rsidR="00984623" w:rsidRPr="005B5418" w:rsidRDefault="00984623" w:rsidP="008848DA">
            <w:pPr>
              <w:spacing w:before="60" w:after="60" w:line="240" w:lineRule="auto"/>
              <w:rPr>
                <w:rFonts w:cs="Arial"/>
                <w:lang w:val="pt-BR"/>
              </w:rPr>
            </w:pPr>
          </w:p>
        </w:tc>
      </w:tr>
      <w:tr w:rsidR="00984623" w:rsidRPr="005B5418" w14:paraId="32B574D2" w14:textId="77777777" w:rsidTr="008E261A">
        <w:trPr>
          <w:gridAfter w:val="1"/>
          <w:wAfter w:w="19" w:type="dxa"/>
          <w:trHeight w:val="1592"/>
        </w:trPr>
        <w:tc>
          <w:tcPr>
            <w:tcW w:w="5398" w:type="dxa"/>
          </w:tcPr>
          <w:p w14:paraId="7BE1C215" w14:textId="433A0324"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If cash is included in an exchange of </w:t>
            </w:r>
            <w:r w:rsidR="000A0C1F" w:rsidRPr="005B5418">
              <w:rPr>
                <w:rFonts w:eastAsia="Arial Unicode MS"/>
              </w:rPr>
              <w:t>PP&amp;E</w:t>
            </w:r>
            <w:r w:rsidRPr="005B5418">
              <w:rPr>
                <w:rFonts w:eastAsia="Arial Unicode MS"/>
              </w:rPr>
              <w:t xml:space="preserve"> between a federal entity and a non-federal entity, is the cost of PP&amp;E acquired increased by the amount of cash surrendered or decreased by the amount of cash received? (SFFAS 6, para. 32)</w:t>
            </w:r>
          </w:p>
        </w:tc>
        <w:tc>
          <w:tcPr>
            <w:tcW w:w="963" w:type="dxa"/>
          </w:tcPr>
          <w:p w14:paraId="1EDFA634" w14:textId="77777777" w:rsidR="00984623" w:rsidRPr="005B5418" w:rsidRDefault="00984623" w:rsidP="008848DA">
            <w:pPr>
              <w:pStyle w:val="Table-Cell-CenterBoldBefore6ptAfter6pt"/>
              <w:spacing w:before="60" w:after="60"/>
              <w:rPr>
                <w:rFonts w:cs="Arial"/>
                <w:lang w:val="pt-BR"/>
              </w:rPr>
            </w:pPr>
          </w:p>
        </w:tc>
        <w:tc>
          <w:tcPr>
            <w:tcW w:w="3220" w:type="dxa"/>
          </w:tcPr>
          <w:p w14:paraId="04F7D510" w14:textId="77777777" w:rsidR="00984623" w:rsidRPr="005B5418" w:rsidRDefault="00984623" w:rsidP="008848DA">
            <w:pPr>
              <w:spacing w:before="60" w:after="60" w:line="240" w:lineRule="auto"/>
              <w:rPr>
                <w:rFonts w:cs="Arial"/>
                <w:lang w:val="pt-BR"/>
              </w:rPr>
            </w:pPr>
          </w:p>
        </w:tc>
      </w:tr>
      <w:tr w:rsidR="00984623" w:rsidRPr="005B5418" w14:paraId="0513812E" w14:textId="77777777" w:rsidTr="008E261A">
        <w:trPr>
          <w:gridAfter w:val="1"/>
          <w:wAfter w:w="19" w:type="dxa"/>
          <w:trHeight w:val="1637"/>
        </w:trPr>
        <w:tc>
          <w:tcPr>
            <w:tcW w:w="5398" w:type="dxa"/>
          </w:tcPr>
          <w:p w14:paraId="764F63FE" w14:textId="7B4D3F74"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For </w:t>
            </w:r>
            <w:r w:rsidR="000A0C1F" w:rsidRPr="005B5418">
              <w:rPr>
                <w:rFonts w:eastAsia="Arial Unicode MS"/>
              </w:rPr>
              <w:t>PP&amp;E</w:t>
            </w:r>
            <w:r w:rsidRPr="005B5418">
              <w:rPr>
                <w:rFonts w:eastAsia="Arial Unicode MS"/>
              </w:rPr>
              <w:t xml:space="preserve"> acquired through exchange between a federal entity and a non-federal entity, is the recorded cost the fair value of the PP&amp;E at the time of exchange? (SFFAS 6, para. 32)</w:t>
            </w:r>
          </w:p>
        </w:tc>
        <w:tc>
          <w:tcPr>
            <w:tcW w:w="963" w:type="dxa"/>
          </w:tcPr>
          <w:p w14:paraId="5EBC00F5" w14:textId="77777777" w:rsidR="00984623" w:rsidRPr="005B5418" w:rsidRDefault="00984623" w:rsidP="008848DA">
            <w:pPr>
              <w:pStyle w:val="Table-Cell-CenterBoldBefore6ptAfter6pt"/>
              <w:spacing w:before="60" w:after="60"/>
              <w:rPr>
                <w:rFonts w:cs="Arial"/>
                <w:lang w:val="pt-BR"/>
              </w:rPr>
            </w:pPr>
          </w:p>
        </w:tc>
        <w:tc>
          <w:tcPr>
            <w:tcW w:w="3220" w:type="dxa"/>
          </w:tcPr>
          <w:p w14:paraId="6D7D903E" w14:textId="77777777" w:rsidR="00984623" w:rsidRPr="005B5418" w:rsidRDefault="00984623" w:rsidP="008848DA">
            <w:pPr>
              <w:spacing w:before="60" w:after="60" w:line="240" w:lineRule="auto"/>
              <w:rPr>
                <w:rFonts w:cs="Arial"/>
                <w:lang w:val="pt-BR"/>
              </w:rPr>
            </w:pPr>
          </w:p>
        </w:tc>
      </w:tr>
      <w:tr w:rsidR="00984623" w:rsidRPr="005B5418" w14:paraId="7F303633" w14:textId="77777777" w:rsidTr="008E261A">
        <w:trPr>
          <w:gridAfter w:val="1"/>
          <w:wAfter w:w="19" w:type="dxa"/>
          <w:trHeight w:val="1385"/>
        </w:trPr>
        <w:tc>
          <w:tcPr>
            <w:tcW w:w="5398" w:type="dxa"/>
          </w:tcPr>
          <w:p w14:paraId="584F6F7E" w14:textId="500430DA"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Is </w:t>
            </w:r>
            <w:r w:rsidR="000A0C1F" w:rsidRPr="005B5418">
              <w:rPr>
                <w:rFonts w:eastAsia="Arial Unicode MS"/>
              </w:rPr>
              <w:t>PP&amp;E</w:t>
            </w:r>
            <w:r w:rsidRPr="005B5418">
              <w:rPr>
                <w:rFonts w:eastAsia="Arial Unicode MS"/>
              </w:rPr>
              <w:t xml:space="preserve"> recognized when title passes to the acquiring entity or when PP&amp;E is delivered to the entity or to an agent of the entity? (SFFAS 6, para. 34)</w:t>
            </w:r>
          </w:p>
        </w:tc>
        <w:tc>
          <w:tcPr>
            <w:tcW w:w="963" w:type="dxa"/>
          </w:tcPr>
          <w:p w14:paraId="7A750DEF" w14:textId="77777777" w:rsidR="00984623" w:rsidRPr="005B5418" w:rsidRDefault="00984623" w:rsidP="008848DA">
            <w:pPr>
              <w:pStyle w:val="Table-Cell-CenterBoldBefore6ptAfter6pt"/>
              <w:spacing w:before="60" w:after="60"/>
              <w:rPr>
                <w:rFonts w:cs="Arial"/>
                <w:lang w:val="pt-BR"/>
              </w:rPr>
            </w:pPr>
          </w:p>
        </w:tc>
        <w:tc>
          <w:tcPr>
            <w:tcW w:w="3220" w:type="dxa"/>
          </w:tcPr>
          <w:p w14:paraId="77A48FDE" w14:textId="77777777" w:rsidR="00984623" w:rsidRPr="005B5418" w:rsidRDefault="00984623" w:rsidP="008848DA">
            <w:pPr>
              <w:spacing w:before="60" w:after="60" w:line="240" w:lineRule="auto"/>
              <w:rPr>
                <w:rFonts w:cs="Arial"/>
                <w:lang w:val="pt-BR"/>
              </w:rPr>
            </w:pPr>
          </w:p>
        </w:tc>
      </w:tr>
      <w:tr w:rsidR="00984623" w:rsidRPr="005B5418" w14:paraId="152DB586" w14:textId="77777777" w:rsidTr="008E261A">
        <w:trPr>
          <w:gridAfter w:val="1"/>
          <w:wAfter w:w="19" w:type="dxa"/>
          <w:trHeight w:val="1385"/>
        </w:trPr>
        <w:tc>
          <w:tcPr>
            <w:tcW w:w="5398" w:type="dxa"/>
          </w:tcPr>
          <w:p w14:paraId="779C3AC9" w14:textId="4C8061CF"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If </w:t>
            </w:r>
            <w:r w:rsidR="000A0C1F" w:rsidRPr="005B5418">
              <w:rPr>
                <w:rFonts w:eastAsia="Arial Unicode MS"/>
              </w:rPr>
              <w:t>PP&amp;E</w:t>
            </w:r>
            <w:r w:rsidRPr="005B5418">
              <w:rPr>
                <w:rFonts w:eastAsia="Arial Unicode MS"/>
              </w:rPr>
              <w:t xml:space="preserve"> is under construction, is it recorded as construction work-in-process until it is placed into service and transferred to </w:t>
            </w:r>
            <w:r w:rsidR="000A0C1F" w:rsidRPr="005B5418">
              <w:rPr>
                <w:rFonts w:eastAsia="Arial Unicode MS"/>
              </w:rPr>
              <w:t>PP&amp;E</w:t>
            </w:r>
            <w:r w:rsidRPr="005B5418">
              <w:rPr>
                <w:rFonts w:eastAsia="Arial Unicode MS"/>
              </w:rPr>
              <w:t>? (SFFAS 6, para. 34)</w:t>
            </w:r>
          </w:p>
        </w:tc>
        <w:tc>
          <w:tcPr>
            <w:tcW w:w="963" w:type="dxa"/>
          </w:tcPr>
          <w:p w14:paraId="3F881F64" w14:textId="77777777" w:rsidR="00984623" w:rsidRPr="005B5418" w:rsidRDefault="00984623" w:rsidP="008848DA">
            <w:pPr>
              <w:pStyle w:val="Table-Cell-CenterBoldBefore6ptAfter6pt"/>
              <w:spacing w:before="60" w:after="60"/>
              <w:rPr>
                <w:rFonts w:cs="Arial"/>
                <w:lang w:val="pt-BR"/>
              </w:rPr>
            </w:pPr>
          </w:p>
        </w:tc>
        <w:tc>
          <w:tcPr>
            <w:tcW w:w="3220" w:type="dxa"/>
          </w:tcPr>
          <w:p w14:paraId="6429083B" w14:textId="77777777" w:rsidR="00984623" w:rsidRPr="005B5418" w:rsidRDefault="00984623" w:rsidP="008848DA">
            <w:pPr>
              <w:spacing w:before="60" w:after="60" w:line="240" w:lineRule="auto"/>
              <w:rPr>
                <w:rFonts w:cs="Arial"/>
                <w:lang w:val="pt-BR"/>
              </w:rPr>
            </w:pPr>
          </w:p>
        </w:tc>
      </w:tr>
      <w:tr w:rsidR="00984623" w:rsidRPr="005B5418" w14:paraId="57E40669" w14:textId="77777777" w:rsidTr="000355E7">
        <w:trPr>
          <w:gridAfter w:val="1"/>
          <w:wAfter w:w="19" w:type="dxa"/>
          <w:trHeight w:val="1034"/>
        </w:trPr>
        <w:tc>
          <w:tcPr>
            <w:tcW w:w="9581" w:type="dxa"/>
            <w:gridSpan w:val="3"/>
          </w:tcPr>
          <w:p w14:paraId="3FB6839D" w14:textId="01FD99C1" w:rsidR="00984623" w:rsidRPr="005B5418" w:rsidRDefault="00984623" w:rsidP="008848DA">
            <w:pPr>
              <w:spacing w:before="60" w:after="60" w:line="240" w:lineRule="auto"/>
              <w:rPr>
                <w:rFonts w:ascii="Arial" w:hAnsi="Arial" w:cs="Arial"/>
                <w:lang w:val="pt-BR"/>
              </w:rPr>
            </w:pPr>
            <w:r w:rsidRPr="005B5418">
              <w:rPr>
                <w:rFonts w:ascii="Arial" w:eastAsia="Arial Unicode MS" w:hAnsi="Arial" w:cs="Arial"/>
              </w:rPr>
              <w:t xml:space="preserve">Depreciation expense </w:t>
            </w:r>
            <w:r w:rsidR="00BE4C71" w:rsidRPr="005B5418">
              <w:rPr>
                <w:rFonts w:ascii="Arial" w:eastAsia="Arial Unicode MS" w:hAnsi="Arial" w:cs="Arial"/>
              </w:rPr>
              <w:t xml:space="preserve">(including amortization) </w:t>
            </w:r>
            <w:r w:rsidRPr="005B5418">
              <w:rPr>
                <w:rFonts w:ascii="Arial" w:eastAsia="Arial Unicode MS" w:hAnsi="Arial" w:cs="Arial"/>
              </w:rPr>
              <w:t xml:space="preserve">is calculated through the systematic and rational allocation of the cost of </w:t>
            </w:r>
            <w:r w:rsidR="000A0C1F" w:rsidRPr="005B5418">
              <w:rPr>
                <w:rFonts w:ascii="Arial" w:eastAsia="Arial Unicode MS" w:hAnsi="Arial" w:cs="Arial"/>
              </w:rPr>
              <w:t>PP&amp;E</w:t>
            </w:r>
            <w:r w:rsidRPr="005B5418">
              <w:rPr>
                <w:rFonts w:ascii="Arial" w:eastAsia="Arial Unicode MS" w:hAnsi="Arial" w:cs="Arial"/>
              </w:rPr>
              <w:t>, less its estimated salvage or residual value over its estimated useful life. A composite or group methodology, whereby the costs of PP&amp;E are allocated using the same allocation rate, is permissible. (SFFAS 6, para. 35)</w:t>
            </w:r>
          </w:p>
        </w:tc>
      </w:tr>
      <w:tr w:rsidR="00984623" w:rsidRPr="005B5418" w14:paraId="5D2FA34D" w14:textId="77777777" w:rsidTr="00F47733">
        <w:trPr>
          <w:gridAfter w:val="1"/>
          <w:wAfter w:w="19" w:type="dxa"/>
          <w:trHeight w:hRule="exact" w:val="461"/>
        </w:trPr>
        <w:tc>
          <w:tcPr>
            <w:tcW w:w="5398" w:type="dxa"/>
          </w:tcPr>
          <w:p w14:paraId="61D6C4F5" w14:textId="77777777" w:rsidR="00984623" w:rsidRPr="005B5418" w:rsidRDefault="00984623" w:rsidP="00884E2F">
            <w:pPr>
              <w:pStyle w:val="FAM-Table-outline"/>
              <w:numPr>
                <w:ilvl w:val="0"/>
                <w:numId w:val="0"/>
              </w:numPr>
              <w:spacing w:line="240" w:lineRule="auto"/>
              <w:rPr>
                <w:rFonts w:eastAsia="Arial Unicode MS" w:cs="Arial"/>
                <w:i/>
                <w:szCs w:val="22"/>
              </w:rPr>
            </w:pPr>
            <w:r w:rsidRPr="005B5418">
              <w:rPr>
                <w:rFonts w:eastAsia="Arial Unicode MS" w:cs="Arial"/>
                <w:i/>
                <w:szCs w:val="22"/>
              </w:rPr>
              <w:t>Expense Recognition</w:t>
            </w:r>
          </w:p>
          <w:p w14:paraId="074ECA8B" w14:textId="77777777" w:rsidR="00984623" w:rsidRPr="005B5418" w:rsidRDefault="00984623" w:rsidP="00884E2F">
            <w:pPr>
              <w:pStyle w:val="FAM-Table-outline"/>
              <w:numPr>
                <w:ilvl w:val="0"/>
                <w:numId w:val="0"/>
              </w:numPr>
              <w:spacing w:line="240" w:lineRule="auto"/>
              <w:ind w:left="576"/>
              <w:rPr>
                <w:rFonts w:eastAsia="Arial Unicode MS" w:cs="Arial"/>
                <w:szCs w:val="22"/>
                <w:u w:val="single"/>
              </w:rPr>
            </w:pPr>
          </w:p>
        </w:tc>
        <w:tc>
          <w:tcPr>
            <w:tcW w:w="963" w:type="dxa"/>
          </w:tcPr>
          <w:p w14:paraId="74BCDA4F" w14:textId="77777777" w:rsidR="00984623" w:rsidRPr="005B5418" w:rsidRDefault="00984623" w:rsidP="008848DA">
            <w:pPr>
              <w:pStyle w:val="Table-Cell-CenterBoldBefore6ptAfter6pt"/>
              <w:spacing w:before="60" w:after="60"/>
              <w:rPr>
                <w:rFonts w:cs="Arial"/>
                <w:lang w:val="pt-BR"/>
              </w:rPr>
            </w:pPr>
          </w:p>
        </w:tc>
        <w:tc>
          <w:tcPr>
            <w:tcW w:w="3220" w:type="dxa"/>
          </w:tcPr>
          <w:p w14:paraId="0C100229" w14:textId="77777777" w:rsidR="00984623" w:rsidRPr="005B5418" w:rsidRDefault="00984623" w:rsidP="008848DA">
            <w:pPr>
              <w:spacing w:before="60" w:after="60" w:line="240" w:lineRule="auto"/>
              <w:rPr>
                <w:rFonts w:cs="Arial"/>
                <w:lang w:val="pt-BR"/>
              </w:rPr>
            </w:pPr>
          </w:p>
        </w:tc>
      </w:tr>
      <w:tr w:rsidR="00375DCA" w:rsidRPr="005B5418" w14:paraId="0656A928" w14:textId="77777777" w:rsidTr="00F47733">
        <w:trPr>
          <w:gridAfter w:val="1"/>
          <w:wAfter w:w="19" w:type="dxa"/>
          <w:trHeight w:val="1037"/>
        </w:trPr>
        <w:tc>
          <w:tcPr>
            <w:tcW w:w="5398" w:type="dxa"/>
          </w:tcPr>
          <w:p w14:paraId="577E6A71" w14:textId="59C412C3" w:rsidR="00375DCA" w:rsidRPr="005B5418" w:rsidRDefault="00375DCA" w:rsidP="00343610">
            <w:pPr>
              <w:pStyle w:val="FAM-Table-outline"/>
              <w:widowControl/>
              <w:numPr>
                <w:ilvl w:val="0"/>
                <w:numId w:val="13"/>
              </w:numPr>
              <w:adjustRightInd/>
              <w:spacing w:line="240" w:lineRule="auto"/>
              <w:textAlignment w:val="auto"/>
              <w:rPr>
                <w:rFonts w:eastAsia="Arial Unicode MS"/>
              </w:rPr>
            </w:pPr>
            <w:r w:rsidRPr="005B5418">
              <w:rPr>
                <w:rFonts w:eastAsia="Arial Unicode MS"/>
              </w:rPr>
              <w:lastRenderedPageBreak/>
              <w:t>Is depreciation expense calculated through a systematic and rational allocation of the PP&amp;E cost less salvage value over the estimated useful life? (SFFAS 6, para. 35)</w:t>
            </w:r>
          </w:p>
        </w:tc>
        <w:tc>
          <w:tcPr>
            <w:tcW w:w="963" w:type="dxa"/>
          </w:tcPr>
          <w:p w14:paraId="27C66411" w14:textId="77777777" w:rsidR="00375DCA" w:rsidRPr="005B5418" w:rsidRDefault="00375DCA" w:rsidP="008848DA">
            <w:pPr>
              <w:pStyle w:val="Table-Cell-CenterBoldBefore6ptAfter6pt"/>
              <w:spacing w:before="60" w:after="60"/>
              <w:rPr>
                <w:rFonts w:cs="Arial"/>
                <w:lang w:val="pt-BR"/>
              </w:rPr>
            </w:pPr>
          </w:p>
        </w:tc>
        <w:tc>
          <w:tcPr>
            <w:tcW w:w="3220" w:type="dxa"/>
          </w:tcPr>
          <w:p w14:paraId="00F9B30D" w14:textId="77777777" w:rsidR="00375DCA" w:rsidRPr="005B5418" w:rsidRDefault="00375DCA" w:rsidP="008848DA">
            <w:pPr>
              <w:spacing w:before="60" w:after="60" w:line="240" w:lineRule="auto"/>
              <w:rPr>
                <w:rFonts w:cs="Arial"/>
                <w:lang w:val="pt-BR"/>
              </w:rPr>
            </w:pPr>
          </w:p>
        </w:tc>
      </w:tr>
      <w:tr w:rsidR="00984623" w:rsidRPr="005B5418" w14:paraId="156D28A7" w14:textId="77777777" w:rsidTr="00F47733">
        <w:trPr>
          <w:gridAfter w:val="1"/>
          <w:wAfter w:w="19" w:type="dxa"/>
          <w:trHeight w:val="1037"/>
        </w:trPr>
        <w:tc>
          <w:tcPr>
            <w:tcW w:w="5398" w:type="dxa"/>
          </w:tcPr>
          <w:p w14:paraId="0798BAF6" w14:textId="4FC272A9"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Is depreciation recorded on all General PP&amp;E</w:t>
            </w:r>
            <w:r w:rsidR="000A0C1F" w:rsidRPr="005B5418">
              <w:rPr>
                <w:rFonts w:eastAsia="Arial Unicode MS"/>
              </w:rPr>
              <w:t>PP&amp;E</w:t>
            </w:r>
            <w:r w:rsidRPr="005B5418">
              <w:rPr>
                <w:rFonts w:eastAsia="Arial Unicode MS"/>
              </w:rPr>
              <w:t>, except land and land rights of unlimited duration? (SFFAS 6, para. 35)</w:t>
            </w:r>
          </w:p>
        </w:tc>
        <w:tc>
          <w:tcPr>
            <w:tcW w:w="963" w:type="dxa"/>
          </w:tcPr>
          <w:p w14:paraId="094917C2" w14:textId="77777777" w:rsidR="00984623" w:rsidRPr="005B5418" w:rsidRDefault="00984623" w:rsidP="008848DA">
            <w:pPr>
              <w:pStyle w:val="Table-Cell-CenterBoldBefore6ptAfter6pt"/>
              <w:spacing w:before="60" w:after="60"/>
              <w:rPr>
                <w:rFonts w:cs="Arial"/>
                <w:lang w:val="pt-BR"/>
              </w:rPr>
            </w:pPr>
          </w:p>
        </w:tc>
        <w:tc>
          <w:tcPr>
            <w:tcW w:w="3220" w:type="dxa"/>
          </w:tcPr>
          <w:p w14:paraId="54211D48" w14:textId="77777777" w:rsidR="00984623" w:rsidRPr="005B5418" w:rsidRDefault="00984623" w:rsidP="008848DA">
            <w:pPr>
              <w:spacing w:before="60" w:after="60" w:line="240" w:lineRule="auto"/>
              <w:rPr>
                <w:rFonts w:cs="Arial"/>
                <w:lang w:val="pt-BR"/>
              </w:rPr>
            </w:pPr>
          </w:p>
        </w:tc>
      </w:tr>
      <w:tr w:rsidR="00984623" w:rsidRPr="005B5418" w14:paraId="127FD87C" w14:textId="77777777" w:rsidTr="00F47733">
        <w:trPr>
          <w:gridAfter w:val="1"/>
          <w:wAfter w:w="19" w:type="dxa"/>
          <w:trHeight w:val="1088"/>
        </w:trPr>
        <w:tc>
          <w:tcPr>
            <w:tcW w:w="5398" w:type="dxa"/>
          </w:tcPr>
          <w:p w14:paraId="17BD4BD0" w14:textId="026971A9"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Do estimates of useful life of </w:t>
            </w:r>
            <w:r w:rsidR="000A0C1F" w:rsidRPr="005B5418">
              <w:rPr>
                <w:rFonts w:eastAsia="Arial Unicode MS"/>
              </w:rPr>
              <w:t>PP&amp;E</w:t>
            </w:r>
            <w:r w:rsidRPr="005B5418">
              <w:rPr>
                <w:rFonts w:eastAsia="Arial Unicode MS"/>
              </w:rPr>
              <w:t xml:space="preserve"> consider such factors as physical wear and tear and technological change? (SFFAS 6, para. 35)</w:t>
            </w:r>
          </w:p>
        </w:tc>
        <w:tc>
          <w:tcPr>
            <w:tcW w:w="963" w:type="dxa"/>
          </w:tcPr>
          <w:p w14:paraId="5412266E" w14:textId="77777777" w:rsidR="00984623" w:rsidRPr="005B5418" w:rsidRDefault="00984623" w:rsidP="008848DA">
            <w:pPr>
              <w:pStyle w:val="Table-Cell-CenterBoldBefore6ptAfter6pt"/>
              <w:spacing w:before="60" w:after="60"/>
              <w:rPr>
                <w:rFonts w:cs="Arial"/>
                <w:lang w:val="pt-BR"/>
              </w:rPr>
            </w:pPr>
          </w:p>
        </w:tc>
        <w:tc>
          <w:tcPr>
            <w:tcW w:w="3220" w:type="dxa"/>
          </w:tcPr>
          <w:p w14:paraId="575928D2" w14:textId="77777777" w:rsidR="00984623" w:rsidRPr="005B5418" w:rsidRDefault="00984623" w:rsidP="008848DA">
            <w:pPr>
              <w:spacing w:before="60" w:after="60" w:line="240" w:lineRule="auto"/>
              <w:rPr>
                <w:rFonts w:cs="Arial"/>
                <w:lang w:val="pt-BR"/>
              </w:rPr>
            </w:pPr>
          </w:p>
        </w:tc>
      </w:tr>
      <w:tr w:rsidR="00984623" w:rsidRPr="005B5418" w14:paraId="06462886" w14:textId="77777777" w:rsidTr="00F47733">
        <w:trPr>
          <w:gridAfter w:val="1"/>
          <w:wAfter w:w="19" w:type="dxa"/>
          <w:trHeight w:val="1295"/>
        </w:trPr>
        <w:tc>
          <w:tcPr>
            <w:tcW w:w="5398" w:type="dxa"/>
          </w:tcPr>
          <w:p w14:paraId="4DA0B881" w14:textId="299A7DDE"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Are changes in estimated useful life or salvage and residual value of </w:t>
            </w:r>
            <w:r w:rsidR="000A0C1F" w:rsidRPr="005B5418">
              <w:rPr>
                <w:rFonts w:eastAsia="Arial Unicode MS"/>
              </w:rPr>
              <w:t>PP&amp;E</w:t>
            </w:r>
            <w:r w:rsidRPr="005B5418">
              <w:rPr>
                <w:rFonts w:eastAsia="Arial Unicode MS"/>
              </w:rPr>
              <w:t xml:space="preserve"> accounted for in the period of change and future periods? (SFFAS 6, para. 35)</w:t>
            </w:r>
          </w:p>
        </w:tc>
        <w:tc>
          <w:tcPr>
            <w:tcW w:w="963" w:type="dxa"/>
          </w:tcPr>
          <w:p w14:paraId="29D31431" w14:textId="77777777" w:rsidR="00984623" w:rsidRPr="005B5418" w:rsidRDefault="00984623" w:rsidP="008848DA">
            <w:pPr>
              <w:pStyle w:val="Table-Cell-CenterBoldBefore6ptAfter6pt"/>
              <w:spacing w:before="60" w:after="60"/>
              <w:rPr>
                <w:rFonts w:cs="Arial"/>
                <w:lang w:val="pt-BR"/>
              </w:rPr>
            </w:pPr>
          </w:p>
        </w:tc>
        <w:tc>
          <w:tcPr>
            <w:tcW w:w="3220" w:type="dxa"/>
          </w:tcPr>
          <w:p w14:paraId="21BA61C9" w14:textId="77777777" w:rsidR="00984623" w:rsidRPr="005B5418" w:rsidRDefault="00984623" w:rsidP="008848DA">
            <w:pPr>
              <w:spacing w:before="60" w:after="60" w:line="240" w:lineRule="auto"/>
              <w:rPr>
                <w:rFonts w:cs="Arial"/>
                <w:lang w:val="pt-BR"/>
              </w:rPr>
            </w:pPr>
          </w:p>
        </w:tc>
      </w:tr>
      <w:tr w:rsidR="00984623" w:rsidRPr="005B5418" w14:paraId="2CFC0BA1" w14:textId="77777777" w:rsidTr="00F47733">
        <w:trPr>
          <w:gridAfter w:val="1"/>
          <w:wAfter w:w="19" w:type="dxa"/>
          <w:trHeight w:val="1817"/>
        </w:trPr>
        <w:tc>
          <w:tcPr>
            <w:tcW w:w="5398" w:type="dxa"/>
          </w:tcPr>
          <w:p w14:paraId="4C8D619D" w14:textId="2F806A9C"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Is the depreciation method systematic, rational, and best reflective of the use of the PP&amp;E, including the use of a composite or a group methodology</w:t>
            </w:r>
            <w:r w:rsidRPr="005B5418">
              <w:t xml:space="preserve"> </w:t>
            </w:r>
            <w:r w:rsidRPr="005B5418">
              <w:rPr>
                <w:rFonts w:eastAsia="Arial Unicode MS"/>
              </w:rPr>
              <w:t>where the costs of PP&amp;E are allocated using the same allocation rate?</w:t>
            </w:r>
            <w:r w:rsidRPr="005B5418">
              <w:rPr>
                <w:rStyle w:val="FootnoteReference"/>
                <w:rFonts w:eastAsia="Arial Unicode MS"/>
              </w:rPr>
              <w:footnoteReference w:id="134"/>
            </w:r>
            <w:r w:rsidRPr="005B5418">
              <w:rPr>
                <w:rFonts w:eastAsia="Arial Unicode MS"/>
              </w:rPr>
              <w:t xml:space="preserve"> (SFFAS 6, para. 35)</w:t>
            </w:r>
          </w:p>
        </w:tc>
        <w:tc>
          <w:tcPr>
            <w:tcW w:w="963" w:type="dxa"/>
          </w:tcPr>
          <w:p w14:paraId="66E6A211" w14:textId="77777777" w:rsidR="00984623" w:rsidRPr="005B5418" w:rsidRDefault="00984623" w:rsidP="008848DA">
            <w:pPr>
              <w:pStyle w:val="Table-Cell-CenterBoldBefore6ptAfter6pt"/>
              <w:spacing w:before="60" w:after="60"/>
              <w:rPr>
                <w:rFonts w:cs="Arial"/>
                <w:lang w:val="pt-BR"/>
              </w:rPr>
            </w:pPr>
          </w:p>
        </w:tc>
        <w:tc>
          <w:tcPr>
            <w:tcW w:w="3220" w:type="dxa"/>
          </w:tcPr>
          <w:p w14:paraId="38E464CE" w14:textId="77777777" w:rsidR="00984623" w:rsidRPr="005B5418" w:rsidRDefault="00984623" w:rsidP="008848DA">
            <w:pPr>
              <w:spacing w:before="60" w:after="60" w:line="240" w:lineRule="auto"/>
              <w:rPr>
                <w:rFonts w:cs="Arial"/>
                <w:lang w:val="pt-BR"/>
              </w:rPr>
            </w:pPr>
          </w:p>
        </w:tc>
      </w:tr>
      <w:tr w:rsidR="00984623" w:rsidRPr="005B5418" w14:paraId="0A887BC6" w14:textId="77777777" w:rsidTr="00F47733">
        <w:trPr>
          <w:gridAfter w:val="1"/>
          <w:wAfter w:w="19" w:type="dxa"/>
          <w:trHeight w:val="1115"/>
        </w:trPr>
        <w:tc>
          <w:tcPr>
            <w:tcW w:w="5398" w:type="dxa"/>
          </w:tcPr>
          <w:p w14:paraId="5C56DC54"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Are depreciation and amortization expenses accumulated in contra-asset accounts? (SFFAS 6, para. 36)</w:t>
            </w:r>
          </w:p>
        </w:tc>
        <w:tc>
          <w:tcPr>
            <w:tcW w:w="963" w:type="dxa"/>
          </w:tcPr>
          <w:p w14:paraId="0B4F6F3D" w14:textId="77777777" w:rsidR="00984623" w:rsidRPr="005B5418" w:rsidRDefault="00984623" w:rsidP="008848DA">
            <w:pPr>
              <w:pStyle w:val="Table-Cell-CenterBoldBefore6ptAfter6pt"/>
              <w:spacing w:before="60" w:after="60"/>
              <w:rPr>
                <w:rFonts w:cs="Arial"/>
                <w:lang w:val="pt-BR"/>
              </w:rPr>
            </w:pPr>
          </w:p>
        </w:tc>
        <w:tc>
          <w:tcPr>
            <w:tcW w:w="3220" w:type="dxa"/>
          </w:tcPr>
          <w:p w14:paraId="016B4025" w14:textId="77777777" w:rsidR="00984623" w:rsidRPr="005B5418" w:rsidRDefault="00984623" w:rsidP="008848DA">
            <w:pPr>
              <w:spacing w:before="60" w:after="60" w:line="240" w:lineRule="auto"/>
              <w:rPr>
                <w:rFonts w:cs="Arial"/>
                <w:lang w:val="pt-BR"/>
              </w:rPr>
            </w:pPr>
          </w:p>
        </w:tc>
      </w:tr>
      <w:tr w:rsidR="00984623" w:rsidRPr="005B5418" w14:paraId="0889A247" w14:textId="77777777" w:rsidTr="00F47733">
        <w:trPr>
          <w:gridAfter w:val="1"/>
          <w:wAfter w:w="19" w:type="dxa"/>
          <w:trHeight w:val="1547"/>
        </w:trPr>
        <w:tc>
          <w:tcPr>
            <w:tcW w:w="5398" w:type="dxa"/>
          </w:tcPr>
          <w:p w14:paraId="3101147A" w14:textId="4D7F6860"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Are costs that either extend the useful life of existing </w:t>
            </w:r>
            <w:r w:rsidR="000A0C1F" w:rsidRPr="005B5418">
              <w:rPr>
                <w:rFonts w:eastAsia="Arial Unicode MS"/>
              </w:rPr>
              <w:t>PP&amp;E</w:t>
            </w:r>
            <w:r w:rsidRPr="005B5418">
              <w:rPr>
                <w:rFonts w:eastAsia="Arial Unicode MS"/>
              </w:rPr>
              <w:t xml:space="preserve"> or enlarge or improve its capacity capitalized and depreciated/ amortized over the remaining useful life of the asset? (SFFAS 6, para. 37)</w:t>
            </w:r>
          </w:p>
        </w:tc>
        <w:tc>
          <w:tcPr>
            <w:tcW w:w="963" w:type="dxa"/>
          </w:tcPr>
          <w:p w14:paraId="117B5E7B" w14:textId="77777777" w:rsidR="00984623" w:rsidRPr="005B5418" w:rsidRDefault="00984623" w:rsidP="008848DA">
            <w:pPr>
              <w:pStyle w:val="Table-Cell-CenterBoldBefore6ptAfter6pt"/>
              <w:spacing w:before="60" w:after="60"/>
              <w:rPr>
                <w:rFonts w:cs="Arial"/>
                <w:lang w:val="pt-BR"/>
              </w:rPr>
            </w:pPr>
          </w:p>
        </w:tc>
        <w:tc>
          <w:tcPr>
            <w:tcW w:w="3220" w:type="dxa"/>
          </w:tcPr>
          <w:p w14:paraId="44E461D3" w14:textId="77777777" w:rsidR="00984623" w:rsidRPr="005B5418" w:rsidRDefault="00984623" w:rsidP="008848DA">
            <w:pPr>
              <w:spacing w:before="60" w:after="60" w:line="240" w:lineRule="auto"/>
              <w:rPr>
                <w:rFonts w:cs="Arial"/>
                <w:lang w:val="pt-BR"/>
              </w:rPr>
            </w:pPr>
          </w:p>
        </w:tc>
      </w:tr>
      <w:tr w:rsidR="00984623" w:rsidRPr="005B5418" w14:paraId="5D058A84" w14:textId="77777777" w:rsidTr="00F47733">
        <w:trPr>
          <w:gridAfter w:val="1"/>
          <w:wAfter w:w="19" w:type="dxa"/>
          <w:trHeight w:val="1565"/>
        </w:trPr>
        <w:tc>
          <w:tcPr>
            <w:tcW w:w="5398" w:type="dxa"/>
          </w:tcPr>
          <w:p w14:paraId="232325A8" w14:textId="02C80F7F"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lastRenderedPageBreak/>
              <w:t xml:space="preserve">When </w:t>
            </w:r>
            <w:r w:rsidR="000A0C1F" w:rsidRPr="005B5418">
              <w:rPr>
                <w:rFonts w:eastAsia="Arial Unicode MS"/>
              </w:rPr>
              <w:t>PP&amp;E</w:t>
            </w:r>
            <w:r w:rsidRPr="005B5418">
              <w:rPr>
                <w:rFonts w:eastAsia="Arial Unicode MS"/>
              </w:rPr>
              <w:t xml:space="preserve"> is disposed of, retired, or removed from service, is the asset removed from the asset accounts along with the associated accumulated depreciation/ amortization? (SFFAS 6, para. 38)</w:t>
            </w:r>
          </w:p>
        </w:tc>
        <w:tc>
          <w:tcPr>
            <w:tcW w:w="963" w:type="dxa"/>
          </w:tcPr>
          <w:p w14:paraId="166869C9" w14:textId="77777777" w:rsidR="00984623" w:rsidRPr="005B5418" w:rsidRDefault="00984623" w:rsidP="008848DA">
            <w:pPr>
              <w:pStyle w:val="Table-Cell-CenterBoldBefore6ptAfter6pt"/>
              <w:spacing w:before="60" w:after="60"/>
              <w:rPr>
                <w:rFonts w:cs="Arial"/>
                <w:lang w:val="pt-BR"/>
              </w:rPr>
            </w:pPr>
          </w:p>
        </w:tc>
        <w:tc>
          <w:tcPr>
            <w:tcW w:w="3220" w:type="dxa"/>
          </w:tcPr>
          <w:p w14:paraId="3EAF0FFF" w14:textId="77777777" w:rsidR="00984623" w:rsidRPr="005B5418" w:rsidRDefault="00984623" w:rsidP="008848DA">
            <w:pPr>
              <w:spacing w:before="60" w:after="60" w:line="240" w:lineRule="auto"/>
              <w:rPr>
                <w:rFonts w:cs="Arial"/>
                <w:lang w:val="pt-BR"/>
              </w:rPr>
            </w:pPr>
          </w:p>
        </w:tc>
      </w:tr>
      <w:tr w:rsidR="00984623" w:rsidRPr="005B5418" w14:paraId="5509CFFC" w14:textId="77777777" w:rsidTr="00F47733">
        <w:trPr>
          <w:gridAfter w:val="1"/>
          <w:wAfter w:w="19" w:type="dxa"/>
          <w:trHeight w:val="1817"/>
        </w:trPr>
        <w:tc>
          <w:tcPr>
            <w:tcW w:w="5398" w:type="dxa"/>
          </w:tcPr>
          <w:p w14:paraId="389FE4D6" w14:textId="3FB94185"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When </w:t>
            </w:r>
            <w:r w:rsidR="000A0C1F" w:rsidRPr="005B5418">
              <w:rPr>
                <w:rFonts w:eastAsia="Arial Unicode MS"/>
              </w:rPr>
              <w:t>PP&amp;E</w:t>
            </w:r>
            <w:r w:rsidRPr="005B5418">
              <w:rPr>
                <w:rFonts w:eastAsia="Arial Unicode MS"/>
              </w:rPr>
              <w:t xml:space="preserve"> is disposed of, retired, or removed from service, is any difference between the book amount of the PP&amp;E and any amount realized from its sale, scrap, or exchange recognized as a gain or loss in the period of disposal? (SFFAS 6, para. 38)</w:t>
            </w:r>
          </w:p>
        </w:tc>
        <w:tc>
          <w:tcPr>
            <w:tcW w:w="963" w:type="dxa"/>
          </w:tcPr>
          <w:p w14:paraId="691ABB62" w14:textId="77777777" w:rsidR="00984623" w:rsidRPr="005B5418" w:rsidRDefault="00984623" w:rsidP="008848DA">
            <w:pPr>
              <w:pStyle w:val="Table-Cell-CenterBoldBefore6ptAfter6pt"/>
              <w:spacing w:before="60" w:after="60"/>
              <w:rPr>
                <w:rFonts w:cs="Arial"/>
                <w:lang w:val="pt-BR"/>
              </w:rPr>
            </w:pPr>
          </w:p>
        </w:tc>
        <w:tc>
          <w:tcPr>
            <w:tcW w:w="3220" w:type="dxa"/>
          </w:tcPr>
          <w:p w14:paraId="4193900B" w14:textId="77777777" w:rsidR="00984623" w:rsidRPr="005B5418" w:rsidRDefault="00984623" w:rsidP="008848DA">
            <w:pPr>
              <w:spacing w:before="60" w:after="60" w:line="240" w:lineRule="auto"/>
              <w:rPr>
                <w:rFonts w:cs="Arial"/>
                <w:lang w:val="pt-BR"/>
              </w:rPr>
            </w:pPr>
          </w:p>
        </w:tc>
      </w:tr>
      <w:tr w:rsidR="00984623" w:rsidRPr="005B5418" w14:paraId="02FAA519" w14:textId="77777777" w:rsidTr="00F47733">
        <w:trPr>
          <w:gridAfter w:val="1"/>
          <w:wAfter w:w="19" w:type="dxa"/>
          <w:trHeight w:val="1835"/>
        </w:trPr>
        <w:tc>
          <w:tcPr>
            <w:tcW w:w="5398" w:type="dxa"/>
          </w:tcPr>
          <w:p w14:paraId="747CD627" w14:textId="13363F10"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Is </w:t>
            </w:r>
            <w:r w:rsidR="000A0C1F" w:rsidRPr="005B5418">
              <w:rPr>
                <w:rFonts w:eastAsia="Arial Unicode MS"/>
              </w:rPr>
              <w:t>PP&amp;E</w:t>
            </w:r>
            <w:r w:rsidRPr="005B5418">
              <w:rPr>
                <w:rFonts w:eastAsia="Arial Unicode MS"/>
              </w:rPr>
              <w:t xml:space="preserve"> removed from </w:t>
            </w:r>
            <w:r w:rsidR="000A0C1F" w:rsidRPr="005B5418">
              <w:rPr>
                <w:rFonts w:eastAsia="Arial Unicode MS"/>
              </w:rPr>
              <w:t>PP&amp;E</w:t>
            </w:r>
            <w:r w:rsidRPr="005B5418">
              <w:rPr>
                <w:rFonts w:eastAsia="Arial Unicode MS"/>
              </w:rPr>
              <w:t xml:space="preserve"> accounts along with associated accumulated depreciation/amortization if prior to disposal, retirement, or removal from service, it no longer provides service in the operations of the entity? (SFFAS 6, para. 39)</w:t>
            </w:r>
          </w:p>
        </w:tc>
        <w:tc>
          <w:tcPr>
            <w:tcW w:w="963" w:type="dxa"/>
          </w:tcPr>
          <w:p w14:paraId="74308DAD" w14:textId="77777777" w:rsidR="00984623" w:rsidRPr="005B5418" w:rsidRDefault="00984623" w:rsidP="008848DA">
            <w:pPr>
              <w:pStyle w:val="Table-Cell-CenterBoldBefore6ptAfter6pt"/>
              <w:spacing w:before="60" w:after="60"/>
              <w:rPr>
                <w:rFonts w:cs="Arial"/>
                <w:lang w:val="pt-BR"/>
              </w:rPr>
            </w:pPr>
          </w:p>
        </w:tc>
        <w:tc>
          <w:tcPr>
            <w:tcW w:w="3220" w:type="dxa"/>
          </w:tcPr>
          <w:p w14:paraId="05B81B44" w14:textId="77777777" w:rsidR="00984623" w:rsidRPr="005B5418" w:rsidRDefault="00984623" w:rsidP="008848DA">
            <w:pPr>
              <w:spacing w:before="60" w:after="60" w:line="240" w:lineRule="auto"/>
              <w:rPr>
                <w:rFonts w:cs="Arial"/>
                <w:lang w:val="pt-BR"/>
              </w:rPr>
            </w:pPr>
          </w:p>
        </w:tc>
      </w:tr>
      <w:tr w:rsidR="00984623" w:rsidRPr="005B5418" w14:paraId="5F2C682D" w14:textId="77777777" w:rsidTr="00F47733">
        <w:trPr>
          <w:gridAfter w:val="1"/>
          <w:wAfter w:w="19" w:type="dxa"/>
          <w:trHeight w:val="1277"/>
        </w:trPr>
        <w:tc>
          <w:tcPr>
            <w:tcW w:w="5398" w:type="dxa"/>
          </w:tcPr>
          <w:p w14:paraId="649C55B2"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Is PP&amp;E that has been removed from the asset accounts (see prior question) recorded in an appropriate asset account at its expected net realizable value? (SFFAS 6, para. 39)</w:t>
            </w:r>
          </w:p>
        </w:tc>
        <w:tc>
          <w:tcPr>
            <w:tcW w:w="963" w:type="dxa"/>
          </w:tcPr>
          <w:p w14:paraId="5C906E8C" w14:textId="77777777" w:rsidR="00984623" w:rsidRPr="005B5418" w:rsidRDefault="00984623" w:rsidP="008848DA">
            <w:pPr>
              <w:pStyle w:val="Table-Cell-CenterBoldBefore6ptAfter6pt"/>
              <w:spacing w:before="60" w:after="60"/>
              <w:rPr>
                <w:rFonts w:cs="Arial"/>
                <w:lang w:val="pt-BR"/>
              </w:rPr>
            </w:pPr>
          </w:p>
        </w:tc>
        <w:tc>
          <w:tcPr>
            <w:tcW w:w="3220" w:type="dxa"/>
          </w:tcPr>
          <w:p w14:paraId="2BEDDC62" w14:textId="77777777" w:rsidR="00984623" w:rsidRPr="005B5418" w:rsidRDefault="00984623" w:rsidP="008848DA">
            <w:pPr>
              <w:spacing w:before="60" w:after="60" w:line="240" w:lineRule="auto"/>
              <w:rPr>
                <w:rFonts w:cs="Arial"/>
                <w:lang w:val="pt-BR"/>
              </w:rPr>
            </w:pPr>
          </w:p>
        </w:tc>
      </w:tr>
      <w:tr w:rsidR="00984623" w:rsidRPr="005B5418" w14:paraId="204BBEB7" w14:textId="77777777" w:rsidTr="00F47733">
        <w:trPr>
          <w:gridAfter w:val="1"/>
          <w:wAfter w:w="19" w:type="dxa"/>
          <w:trHeight w:val="1565"/>
        </w:trPr>
        <w:tc>
          <w:tcPr>
            <w:tcW w:w="5398" w:type="dxa"/>
          </w:tcPr>
          <w:p w14:paraId="45A5789D"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Is any difference in the book amount and its expected net realizable value of about-to-be disposed, retired, or removal-from-service PP&amp;E recognized as a gain or loss in the period of adjustment? (SFFAS 6, para. 39)</w:t>
            </w:r>
          </w:p>
        </w:tc>
        <w:tc>
          <w:tcPr>
            <w:tcW w:w="963" w:type="dxa"/>
          </w:tcPr>
          <w:p w14:paraId="7810F8F2" w14:textId="77777777" w:rsidR="00984623" w:rsidRPr="005B5418" w:rsidRDefault="00984623" w:rsidP="008848DA">
            <w:pPr>
              <w:pStyle w:val="Table-Cell-CenterBoldBefore6ptAfter6pt"/>
              <w:spacing w:before="60" w:after="60"/>
              <w:rPr>
                <w:rFonts w:cs="Arial"/>
                <w:lang w:val="pt-BR"/>
              </w:rPr>
            </w:pPr>
          </w:p>
        </w:tc>
        <w:tc>
          <w:tcPr>
            <w:tcW w:w="3220" w:type="dxa"/>
          </w:tcPr>
          <w:p w14:paraId="3E2B5AEB" w14:textId="77777777" w:rsidR="00984623" w:rsidRPr="005B5418" w:rsidRDefault="00984623" w:rsidP="008848DA">
            <w:pPr>
              <w:spacing w:before="60" w:after="60" w:line="240" w:lineRule="auto"/>
              <w:rPr>
                <w:rFonts w:cs="Arial"/>
                <w:lang w:val="pt-BR"/>
              </w:rPr>
            </w:pPr>
          </w:p>
        </w:tc>
      </w:tr>
      <w:tr w:rsidR="00984623" w:rsidRPr="005B5418" w14:paraId="7DC6EDA4" w14:textId="77777777" w:rsidTr="00F47733">
        <w:trPr>
          <w:gridAfter w:val="1"/>
          <w:wAfter w:w="19" w:type="dxa"/>
          <w:trHeight w:val="1295"/>
        </w:trPr>
        <w:tc>
          <w:tcPr>
            <w:tcW w:w="5398" w:type="dxa"/>
          </w:tcPr>
          <w:p w14:paraId="14E0480D"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Is the expected net realizable value of PP&amp;E no longer providing service in entity operations adjusted at the end of each accounting period? (SFFAS 6, para. 39)</w:t>
            </w:r>
          </w:p>
        </w:tc>
        <w:tc>
          <w:tcPr>
            <w:tcW w:w="963" w:type="dxa"/>
          </w:tcPr>
          <w:p w14:paraId="7B38DED4" w14:textId="77777777" w:rsidR="00984623" w:rsidRPr="005B5418" w:rsidRDefault="00984623" w:rsidP="008848DA">
            <w:pPr>
              <w:pStyle w:val="Table-Cell-CenterBoldBefore6ptAfter6pt"/>
              <w:spacing w:before="60" w:after="60"/>
              <w:rPr>
                <w:rFonts w:cs="Arial"/>
                <w:lang w:val="pt-BR"/>
              </w:rPr>
            </w:pPr>
          </w:p>
        </w:tc>
        <w:tc>
          <w:tcPr>
            <w:tcW w:w="3220" w:type="dxa"/>
          </w:tcPr>
          <w:p w14:paraId="4FC96F7D" w14:textId="77777777" w:rsidR="00984623" w:rsidRPr="005B5418" w:rsidRDefault="00984623" w:rsidP="008848DA">
            <w:pPr>
              <w:spacing w:before="60" w:after="60" w:line="240" w:lineRule="auto"/>
              <w:rPr>
                <w:rFonts w:cs="Arial"/>
                <w:lang w:val="pt-BR"/>
              </w:rPr>
            </w:pPr>
          </w:p>
        </w:tc>
      </w:tr>
      <w:tr w:rsidR="00984623" w:rsidRPr="005B5418" w14:paraId="37E4A52A" w14:textId="77777777" w:rsidTr="00F47733">
        <w:trPr>
          <w:gridAfter w:val="1"/>
          <w:wAfter w:w="19" w:type="dxa"/>
          <w:trHeight w:val="1295"/>
        </w:trPr>
        <w:tc>
          <w:tcPr>
            <w:tcW w:w="5398" w:type="dxa"/>
          </w:tcPr>
          <w:p w14:paraId="5FF129AA" w14:textId="77777777" w:rsidR="00984623" w:rsidRPr="005B5418" w:rsidRDefault="00984623" w:rsidP="00343610">
            <w:pPr>
              <w:pStyle w:val="FAM-Table-outline"/>
              <w:widowControl/>
              <w:numPr>
                <w:ilvl w:val="0"/>
                <w:numId w:val="13"/>
              </w:numPr>
              <w:adjustRightInd/>
              <w:spacing w:line="240" w:lineRule="auto"/>
              <w:textAlignment w:val="auto"/>
              <w:rPr>
                <w:rFonts w:eastAsia="Arial Unicode MS"/>
              </w:rPr>
            </w:pPr>
            <w:r w:rsidRPr="005B5418">
              <w:rPr>
                <w:rFonts w:eastAsia="Arial Unicode MS"/>
              </w:rPr>
              <w:t>When assets have been removed from PP&amp;E in anticipation of disposal, retirement, or removal from service, has the entity stopped recording depreciation and amortization expenses for them? (SFFAS 6, paras. 38–39)</w:t>
            </w:r>
          </w:p>
        </w:tc>
        <w:tc>
          <w:tcPr>
            <w:tcW w:w="963" w:type="dxa"/>
          </w:tcPr>
          <w:p w14:paraId="41D84423" w14:textId="77777777" w:rsidR="00984623" w:rsidRPr="005B5418" w:rsidRDefault="00984623" w:rsidP="008848DA">
            <w:pPr>
              <w:pStyle w:val="Table-Cell-CenterBoldBefore6ptAfter6pt"/>
              <w:spacing w:before="60" w:after="60"/>
              <w:rPr>
                <w:rFonts w:cs="Arial"/>
                <w:lang w:val="pt-BR"/>
              </w:rPr>
            </w:pPr>
          </w:p>
        </w:tc>
        <w:tc>
          <w:tcPr>
            <w:tcW w:w="3220" w:type="dxa"/>
          </w:tcPr>
          <w:p w14:paraId="20BAC357" w14:textId="77777777" w:rsidR="00984623" w:rsidRPr="005B5418" w:rsidRDefault="00984623" w:rsidP="008848DA">
            <w:pPr>
              <w:spacing w:before="60" w:after="60" w:line="240" w:lineRule="auto"/>
              <w:rPr>
                <w:rFonts w:cs="Arial"/>
                <w:lang w:val="pt-BR"/>
              </w:rPr>
            </w:pPr>
          </w:p>
        </w:tc>
      </w:tr>
      <w:tr w:rsidR="00984623" w:rsidRPr="005B5418" w14:paraId="25E576FA" w14:textId="77777777" w:rsidTr="00F47733">
        <w:trPr>
          <w:gridAfter w:val="1"/>
          <w:wAfter w:w="19" w:type="dxa"/>
          <w:trHeight w:val="1295"/>
        </w:trPr>
        <w:tc>
          <w:tcPr>
            <w:tcW w:w="5398" w:type="dxa"/>
          </w:tcPr>
          <w:p w14:paraId="59A11DD0" w14:textId="3EE97ACB" w:rsidR="00984623" w:rsidRPr="005B5418" w:rsidRDefault="00984623" w:rsidP="00343610">
            <w:pPr>
              <w:pStyle w:val="FAM-Table-outline"/>
              <w:widowControl/>
              <w:numPr>
                <w:ilvl w:val="0"/>
                <w:numId w:val="13"/>
              </w:numPr>
              <w:adjustRightInd/>
              <w:spacing w:line="240" w:lineRule="auto"/>
              <w:textAlignment w:val="auto"/>
              <w:rPr>
                <w:rFonts w:eastAsia="Arial Unicode MS"/>
              </w:rPr>
            </w:pPr>
            <w:r w:rsidRPr="005B5418">
              <w:rPr>
                <w:rFonts w:eastAsia="Arial Unicode MS"/>
              </w:rPr>
              <w:lastRenderedPageBreak/>
              <w:t xml:space="preserve">For </w:t>
            </w:r>
            <w:r w:rsidR="000A0C1F" w:rsidRPr="005B5418">
              <w:rPr>
                <w:rFonts w:eastAsia="Arial Unicode MS"/>
              </w:rPr>
              <w:t>PP&amp;E</w:t>
            </w:r>
            <w:r w:rsidRPr="005B5418">
              <w:rPr>
                <w:rFonts w:eastAsia="Arial Unicode MS"/>
              </w:rPr>
              <w:t xml:space="preserve"> that is disposed of, retired, or removed from service, is any difference between the book value of the PP&amp;E and amounts realized recognized as a gain or a loss in the period of disposal, retirement, or removal from service? (SFFAS 6, para. 38)</w:t>
            </w:r>
          </w:p>
        </w:tc>
        <w:tc>
          <w:tcPr>
            <w:tcW w:w="963" w:type="dxa"/>
          </w:tcPr>
          <w:p w14:paraId="1501A170" w14:textId="77777777" w:rsidR="00984623" w:rsidRPr="005B5418" w:rsidRDefault="00984623" w:rsidP="008848DA">
            <w:pPr>
              <w:pStyle w:val="Table-Cell-CenterBoldBefore6ptAfter6pt"/>
              <w:spacing w:before="60" w:after="60"/>
              <w:rPr>
                <w:rFonts w:cs="Arial"/>
                <w:lang w:val="pt-BR"/>
              </w:rPr>
            </w:pPr>
          </w:p>
        </w:tc>
        <w:tc>
          <w:tcPr>
            <w:tcW w:w="3220" w:type="dxa"/>
          </w:tcPr>
          <w:p w14:paraId="7A9AF63D" w14:textId="77777777" w:rsidR="00984623" w:rsidRPr="005B5418" w:rsidRDefault="00984623" w:rsidP="008848DA">
            <w:pPr>
              <w:spacing w:before="60" w:after="60" w:line="240" w:lineRule="auto"/>
              <w:rPr>
                <w:rFonts w:cs="Arial"/>
                <w:lang w:val="pt-BR"/>
              </w:rPr>
            </w:pPr>
          </w:p>
        </w:tc>
      </w:tr>
      <w:tr w:rsidR="00984623" w:rsidRPr="005B5418" w14:paraId="2E19577B" w14:textId="77777777" w:rsidTr="00F47733">
        <w:trPr>
          <w:gridAfter w:val="1"/>
          <w:wAfter w:w="19" w:type="dxa"/>
          <w:trHeight w:val="1295"/>
        </w:trPr>
        <w:tc>
          <w:tcPr>
            <w:tcW w:w="5398" w:type="dxa"/>
          </w:tcPr>
          <w:p w14:paraId="6F120F30" w14:textId="77777777" w:rsidR="00984623" w:rsidRPr="005B5418" w:rsidRDefault="00984623" w:rsidP="00343610">
            <w:pPr>
              <w:pStyle w:val="FAM-Table-outline"/>
              <w:widowControl/>
              <w:numPr>
                <w:ilvl w:val="0"/>
                <w:numId w:val="13"/>
              </w:numPr>
              <w:adjustRightInd/>
              <w:spacing w:line="240" w:lineRule="auto"/>
              <w:textAlignment w:val="auto"/>
              <w:rPr>
                <w:rFonts w:eastAsia="Arial Unicode MS"/>
              </w:rPr>
            </w:pPr>
            <w:r w:rsidRPr="005B5418">
              <w:rPr>
                <w:rFonts w:eastAsia="Arial Unicode MS"/>
              </w:rPr>
              <w:t>For PP&amp;E assets recorded at expected net realizable value, is this value adjusted at the end of each accounting period and the adjustment recognized as either a gain or loss? (SFFAS 6, para. 39)</w:t>
            </w:r>
          </w:p>
        </w:tc>
        <w:tc>
          <w:tcPr>
            <w:tcW w:w="963" w:type="dxa"/>
          </w:tcPr>
          <w:p w14:paraId="22DD9163" w14:textId="77777777" w:rsidR="00984623" w:rsidRPr="005B5418" w:rsidRDefault="00984623" w:rsidP="008848DA">
            <w:pPr>
              <w:pStyle w:val="Table-Cell-CenterBoldBefore6ptAfter6pt"/>
              <w:spacing w:before="60" w:after="60"/>
              <w:rPr>
                <w:rFonts w:cs="Arial"/>
                <w:lang w:val="pt-BR"/>
              </w:rPr>
            </w:pPr>
          </w:p>
        </w:tc>
        <w:tc>
          <w:tcPr>
            <w:tcW w:w="3220" w:type="dxa"/>
          </w:tcPr>
          <w:p w14:paraId="291F3AA3" w14:textId="77777777" w:rsidR="00984623" w:rsidRPr="005B5418" w:rsidRDefault="00984623" w:rsidP="008848DA">
            <w:pPr>
              <w:spacing w:before="60" w:after="60" w:line="240" w:lineRule="auto"/>
              <w:rPr>
                <w:rFonts w:cs="Arial"/>
                <w:lang w:val="pt-BR"/>
              </w:rPr>
            </w:pPr>
          </w:p>
        </w:tc>
      </w:tr>
      <w:tr w:rsidR="00984623" w:rsidRPr="005B5418" w14:paraId="11369E2C" w14:textId="77777777" w:rsidTr="000355E7">
        <w:trPr>
          <w:gridAfter w:val="1"/>
          <w:wAfter w:w="19" w:type="dxa"/>
          <w:trHeight w:val="3887"/>
        </w:trPr>
        <w:tc>
          <w:tcPr>
            <w:tcW w:w="9581" w:type="dxa"/>
            <w:gridSpan w:val="3"/>
          </w:tcPr>
          <w:p w14:paraId="1D3DE27A" w14:textId="1E18835B" w:rsidR="00984623" w:rsidRPr="005B5418" w:rsidRDefault="00984623" w:rsidP="008848DA">
            <w:pPr>
              <w:pStyle w:val="Table-Note"/>
              <w:spacing w:before="60" w:after="60" w:line="240" w:lineRule="auto"/>
              <w:ind w:left="0"/>
              <w:jc w:val="left"/>
              <w:rPr>
                <w:rFonts w:eastAsia="Arial Unicode MS" w:cs="Arial"/>
                <w:b/>
                <w:i w:val="0"/>
                <w:sz w:val="22"/>
                <w:szCs w:val="22"/>
              </w:rPr>
            </w:pPr>
            <w:r w:rsidRPr="005B5418">
              <w:rPr>
                <w:rFonts w:eastAsia="Arial Unicode MS" w:cs="Arial"/>
                <w:b/>
                <w:i w:val="0"/>
                <w:sz w:val="22"/>
                <w:szCs w:val="22"/>
              </w:rPr>
              <w:t xml:space="preserve">Alternative Methods for Establishing Opening Balances for </w:t>
            </w:r>
            <w:r w:rsidR="000A0C1F" w:rsidRPr="005B5418">
              <w:rPr>
                <w:rFonts w:eastAsia="Arial Unicode MS" w:cs="Arial"/>
                <w:b/>
                <w:i w:val="0"/>
                <w:sz w:val="22"/>
                <w:szCs w:val="22"/>
              </w:rPr>
              <w:t>PP&amp;E</w:t>
            </w:r>
          </w:p>
          <w:p w14:paraId="6A261F29" w14:textId="77777777" w:rsidR="00984623" w:rsidRPr="005B5418" w:rsidRDefault="00984623" w:rsidP="008848DA">
            <w:pPr>
              <w:autoSpaceDE w:val="0"/>
              <w:autoSpaceDN w:val="0"/>
              <w:spacing w:before="60" w:after="60" w:line="240" w:lineRule="auto"/>
              <w:rPr>
                <w:rFonts w:ascii="Arial" w:eastAsia="Arial Unicode MS" w:hAnsi="Arial" w:cs="Arial"/>
              </w:rPr>
            </w:pPr>
            <w:r w:rsidRPr="005B5418">
              <w:rPr>
                <w:rFonts w:ascii="Arial" w:eastAsia="Arial Unicode MS" w:hAnsi="Arial" w:cs="Arial"/>
              </w:rPr>
              <w:t xml:space="preserve">The following guidance is applicable for the reporting period when the reporting entity is presenting financial statements or one or more line items addressed by SFFAS 50, </w:t>
            </w:r>
            <w:r w:rsidRPr="005B5418">
              <w:rPr>
                <w:rFonts w:ascii="Arial" w:eastAsia="Arial Unicode MS" w:hAnsi="Arial" w:cs="Arial"/>
                <w:i/>
              </w:rPr>
              <w:t>Establishing Opening Balances for General Property, Plant, and Equipment</w:t>
            </w:r>
            <w:r w:rsidRPr="005B5418">
              <w:rPr>
                <w:rFonts w:ascii="Arial" w:eastAsia="Arial Unicode MS" w:hAnsi="Arial" w:cs="Arial"/>
              </w:rPr>
              <w:t xml:space="preserve">, either </w:t>
            </w:r>
          </w:p>
          <w:p w14:paraId="5386549D" w14:textId="77777777" w:rsidR="00984623" w:rsidRPr="005B5418" w:rsidRDefault="00984623" w:rsidP="00825C76">
            <w:pPr>
              <w:numPr>
                <w:ilvl w:val="0"/>
                <w:numId w:val="49"/>
              </w:numPr>
              <w:autoSpaceDE w:val="0"/>
              <w:autoSpaceDN w:val="0"/>
              <w:adjustRightInd w:val="0"/>
              <w:spacing w:before="60" w:after="60" w:line="240" w:lineRule="auto"/>
              <w:rPr>
                <w:rFonts w:ascii="Arial" w:eastAsia="Arial Unicode MS" w:hAnsi="Arial" w:cs="Arial"/>
                <w:u w:val="single"/>
              </w:rPr>
            </w:pPr>
            <w:r w:rsidRPr="005B5418">
              <w:rPr>
                <w:rFonts w:ascii="Arial" w:eastAsia="Arial Unicode MS" w:hAnsi="Arial" w:cs="Arial"/>
              </w:rPr>
              <w:t xml:space="preserve">for the first time or </w:t>
            </w:r>
          </w:p>
          <w:p w14:paraId="6368FA60" w14:textId="4F913CAB" w:rsidR="00984623" w:rsidRPr="005B5418" w:rsidRDefault="00984623" w:rsidP="00825C76">
            <w:pPr>
              <w:numPr>
                <w:ilvl w:val="0"/>
                <w:numId w:val="49"/>
              </w:numPr>
              <w:autoSpaceDE w:val="0"/>
              <w:autoSpaceDN w:val="0"/>
              <w:adjustRightInd w:val="0"/>
              <w:spacing w:before="60" w:after="60" w:line="240" w:lineRule="auto"/>
              <w:rPr>
                <w:rFonts w:ascii="Arial" w:eastAsia="Arial Unicode MS" w:hAnsi="Arial" w:cs="Arial"/>
                <w:u w:val="single"/>
              </w:rPr>
            </w:pPr>
            <w:r w:rsidRPr="005B5418">
              <w:rPr>
                <w:rFonts w:ascii="Arial" w:eastAsia="Arial Unicode MS" w:hAnsi="Arial" w:cs="Arial"/>
              </w:rPr>
              <w:t>after a period during which existing systems could not provide the information necessary for producing such GAAP-based financial statements without use of the alternative methods. (SFFAS 6, para. 40)</w:t>
            </w:r>
          </w:p>
          <w:p w14:paraId="183A575F" w14:textId="77777777" w:rsidR="00984623" w:rsidRPr="005B5418" w:rsidRDefault="00984623" w:rsidP="008848DA">
            <w:pPr>
              <w:spacing w:before="60" w:after="60" w:line="240" w:lineRule="auto"/>
              <w:rPr>
                <w:rFonts w:ascii="Arial" w:hAnsi="Arial" w:cs="Arial"/>
                <w:lang w:val="pt-BR"/>
              </w:rPr>
            </w:pPr>
            <w:r w:rsidRPr="005B5418">
              <w:rPr>
                <w:rFonts w:ascii="Arial" w:eastAsia="Arial Unicode MS" w:hAnsi="Arial" w:cs="Arial"/>
              </w:rPr>
              <w:t xml:space="preserve">Opening balances are account balances that exist at the beginning of the reporting period. Opening balances are based upon the closing balances of the prior period and reflect the effects of transactions and events of prior periods and accounting policies applied in the prior period. Opening balances also include matters requiring disclosure that existed at the beginning of the period, such as contingencies and commitments. (SFFAS 50, para. 9) </w:t>
            </w:r>
          </w:p>
        </w:tc>
      </w:tr>
      <w:tr w:rsidR="00984623" w:rsidRPr="005B5418" w14:paraId="646BBF2A" w14:textId="77777777" w:rsidTr="00F47733">
        <w:trPr>
          <w:gridAfter w:val="1"/>
          <w:wAfter w:w="19" w:type="dxa"/>
          <w:trHeight w:hRule="exact" w:val="461"/>
        </w:trPr>
        <w:tc>
          <w:tcPr>
            <w:tcW w:w="5398" w:type="dxa"/>
          </w:tcPr>
          <w:p w14:paraId="775EBC79" w14:textId="77777777" w:rsidR="00984623" w:rsidRPr="005B5418" w:rsidRDefault="00984623" w:rsidP="008848DA">
            <w:pPr>
              <w:pStyle w:val="FAM-Table-outline"/>
              <w:numPr>
                <w:ilvl w:val="0"/>
                <w:numId w:val="0"/>
              </w:numPr>
              <w:spacing w:line="240" w:lineRule="auto"/>
              <w:rPr>
                <w:rFonts w:eastAsia="Arial Unicode MS" w:cs="Arial"/>
                <w:i/>
                <w:szCs w:val="22"/>
              </w:rPr>
            </w:pPr>
            <w:r w:rsidRPr="005B5418">
              <w:rPr>
                <w:rFonts w:eastAsia="Arial Unicode MS" w:cs="Arial"/>
                <w:i/>
                <w:szCs w:val="22"/>
              </w:rPr>
              <w:t>Valuation for Opening Balances</w:t>
            </w:r>
          </w:p>
          <w:p w14:paraId="08715A88" w14:textId="77777777" w:rsidR="00984623" w:rsidRPr="005B5418" w:rsidRDefault="00984623" w:rsidP="008848DA">
            <w:pPr>
              <w:pStyle w:val="FAM-Table-outline"/>
              <w:numPr>
                <w:ilvl w:val="0"/>
                <w:numId w:val="0"/>
              </w:numPr>
              <w:spacing w:line="240" w:lineRule="auto"/>
              <w:ind w:left="576"/>
              <w:rPr>
                <w:rFonts w:eastAsia="Arial Unicode MS" w:cs="Arial"/>
                <w:szCs w:val="22"/>
                <w:u w:val="single"/>
              </w:rPr>
            </w:pPr>
          </w:p>
        </w:tc>
        <w:tc>
          <w:tcPr>
            <w:tcW w:w="963" w:type="dxa"/>
          </w:tcPr>
          <w:p w14:paraId="7FAACE85" w14:textId="77777777" w:rsidR="00984623" w:rsidRPr="005B5418" w:rsidRDefault="00984623" w:rsidP="008848DA">
            <w:pPr>
              <w:pStyle w:val="Table-Cell-CenterBoldBefore6ptAfter6pt"/>
              <w:spacing w:before="60" w:after="60"/>
              <w:rPr>
                <w:rFonts w:cs="Arial"/>
                <w:lang w:val="pt-BR"/>
              </w:rPr>
            </w:pPr>
          </w:p>
        </w:tc>
        <w:tc>
          <w:tcPr>
            <w:tcW w:w="3220" w:type="dxa"/>
          </w:tcPr>
          <w:p w14:paraId="56C1D095" w14:textId="77777777" w:rsidR="00984623" w:rsidRPr="005B5418" w:rsidRDefault="00984623" w:rsidP="008848DA">
            <w:pPr>
              <w:spacing w:before="60" w:after="60" w:line="240" w:lineRule="auto"/>
              <w:rPr>
                <w:rFonts w:cs="Arial"/>
                <w:lang w:val="pt-BR"/>
              </w:rPr>
            </w:pPr>
          </w:p>
        </w:tc>
      </w:tr>
      <w:tr w:rsidR="00984623" w:rsidRPr="005B5418" w14:paraId="5AC6A412" w14:textId="77777777" w:rsidTr="00F47733">
        <w:trPr>
          <w:gridAfter w:val="1"/>
          <w:wAfter w:w="19" w:type="dxa"/>
          <w:trHeight w:val="2537"/>
        </w:trPr>
        <w:tc>
          <w:tcPr>
            <w:tcW w:w="5398" w:type="dxa"/>
          </w:tcPr>
          <w:p w14:paraId="1491A2B3" w14:textId="5DCD21AE"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If applicable, does the reporting entity apply deemed cost only in establishing opening balances for the reporting period that the entity, taken as a whole, makes an unreserved assertion</w:t>
            </w:r>
            <w:r w:rsidRPr="005B5418">
              <w:rPr>
                <w:rStyle w:val="FootnoteReference"/>
                <w:rFonts w:eastAsia="Arial Unicode MS" w:cs="Arial"/>
                <w:szCs w:val="22"/>
              </w:rPr>
              <w:footnoteReference w:id="135"/>
            </w:r>
            <w:r w:rsidRPr="005B5418">
              <w:rPr>
                <w:rFonts w:eastAsia="Arial Unicode MS"/>
              </w:rPr>
              <w:t xml:space="preserve"> that its financial statements, or the </w:t>
            </w:r>
            <w:r w:rsidR="000A0C1F" w:rsidRPr="005B5418">
              <w:rPr>
                <w:rFonts w:eastAsia="Arial Unicode MS"/>
              </w:rPr>
              <w:t>PP&amp;E</w:t>
            </w:r>
            <w:r w:rsidRPr="005B5418">
              <w:rPr>
                <w:rFonts w:eastAsia="Arial Unicode MS"/>
              </w:rPr>
              <w:t xml:space="preserve"> line item, are presented fairly in accordance with GAAP? (SFFAS 6, para. 40a.)</w:t>
            </w:r>
          </w:p>
        </w:tc>
        <w:tc>
          <w:tcPr>
            <w:tcW w:w="963" w:type="dxa"/>
          </w:tcPr>
          <w:p w14:paraId="321B6AD8" w14:textId="77777777" w:rsidR="00984623" w:rsidRPr="005B5418" w:rsidRDefault="00984623" w:rsidP="008848DA">
            <w:pPr>
              <w:pStyle w:val="Table-Cell-CenterBoldBefore6ptAfter6pt"/>
              <w:spacing w:before="60" w:after="60"/>
              <w:rPr>
                <w:rFonts w:cs="Arial"/>
                <w:lang w:val="pt-BR"/>
              </w:rPr>
            </w:pPr>
          </w:p>
        </w:tc>
        <w:tc>
          <w:tcPr>
            <w:tcW w:w="3220" w:type="dxa"/>
          </w:tcPr>
          <w:p w14:paraId="60DEB4B0" w14:textId="77777777" w:rsidR="00984623" w:rsidRPr="005B5418" w:rsidRDefault="00984623" w:rsidP="008848DA">
            <w:pPr>
              <w:spacing w:before="60" w:after="60" w:line="240" w:lineRule="auto"/>
              <w:rPr>
                <w:rFonts w:cs="Arial"/>
                <w:lang w:val="pt-BR"/>
              </w:rPr>
            </w:pPr>
          </w:p>
        </w:tc>
      </w:tr>
      <w:tr w:rsidR="00984623" w:rsidRPr="005B5418" w14:paraId="171CDA29" w14:textId="77777777" w:rsidTr="00F47733">
        <w:trPr>
          <w:gridAfter w:val="1"/>
          <w:wAfter w:w="19" w:type="dxa"/>
          <w:trHeight w:val="1565"/>
        </w:trPr>
        <w:tc>
          <w:tcPr>
            <w:tcW w:w="5398" w:type="dxa"/>
          </w:tcPr>
          <w:p w14:paraId="1191221B" w14:textId="7AD41CDB"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lastRenderedPageBreak/>
              <w:t xml:space="preserve">Does the reporting entity also apply deemed cost to correct subsequently discovered errors in </w:t>
            </w:r>
            <w:r w:rsidR="000A0C1F" w:rsidRPr="005B5418">
              <w:rPr>
                <w:rFonts w:eastAsia="Arial Unicode MS"/>
              </w:rPr>
              <w:t>PP&amp;E</w:t>
            </w:r>
            <w:r w:rsidRPr="005B5418">
              <w:rPr>
                <w:rFonts w:eastAsia="Arial Unicode MS"/>
              </w:rPr>
              <w:t xml:space="preserve"> that were valued under an alternative method? (SFFAS 6, para. 40a.)</w:t>
            </w:r>
          </w:p>
        </w:tc>
        <w:tc>
          <w:tcPr>
            <w:tcW w:w="963" w:type="dxa"/>
          </w:tcPr>
          <w:p w14:paraId="07D617F0" w14:textId="77777777" w:rsidR="00984623" w:rsidRPr="005B5418" w:rsidRDefault="00984623" w:rsidP="008848DA">
            <w:pPr>
              <w:pStyle w:val="Table-Cell-CenterBoldBefore6ptAfter6pt"/>
              <w:spacing w:before="60" w:after="60"/>
              <w:rPr>
                <w:rFonts w:cs="Arial"/>
                <w:lang w:val="pt-BR"/>
              </w:rPr>
            </w:pPr>
          </w:p>
        </w:tc>
        <w:tc>
          <w:tcPr>
            <w:tcW w:w="3220" w:type="dxa"/>
          </w:tcPr>
          <w:p w14:paraId="3B611985" w14:textId="77777777" w:rsidR="00984623" w:rsidRPr="005B5418" w:rsidRDefault="00984623" w:rsidP="008848DA">
            <w:pPr>
              <w:spacing w:before="60" w:after="60" w:line="240" w:lineRule="auto"/>
              <w:rPr>
                <w:rFonts w:cs="Arial"/>
                <w:lang w:val="pt-BR"/>
              </w:rPr>
            </w:pPr>
          </w:p>
        </w:tc>
      </w:tr>
      <w:tr w:rsidR="00984623" w:rsidRPr="005B5418" w14:paraId="0BBE4D99" w14:textId="77777777" w:rsidTr="00F47733">
        <w:trPr>
          <w:gridAfter w:val="1"/>
          <w:wAfter w:w="19" w:type="dxa"/>
          <w:trHeight w:val="2285"/>
        </w:trPr>
        <w:tc>
          <w:tcPr>
            <w:tcW w:w="5398" w:type="dxa"/>
          </w:tcPr>
          <w:p w14:paraId="48EA1E60" w14:textId="66609F3D"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If applicable, does the reporting entity apply an alternative valuation method only once per line item after a period during which existing systems could not provide the information necessary for producing such GAAP-based financial statements without the use of the alternative valuation method? (SFFAS 6, para. 40b.)</w:t>
            </w:r>
          </w:p>
        </w:tc>
        <w:tc>
          <w:tcPr>
            <w:tcW w:w="963" w:type="dxa"/>
          </w:tcPr>
          <w:p w14:paraId="589C2DA7" w14:textId="77777777" w:rsidR="00984623" w:rsidRPr="005B5418" w:rsidRDefault="00984623" w:rsidP="008848DA">
            <w:pPr>
              <w:pStyle w:val="Table-Cell-CenterBoldBefore6ptAfter6pt"/>
              <w:spacing w:before="60" w:after="60"/>
              <w:rPr>
                <w:rFonts w:cs="Arial"/>
                <w:lang w:val="pt-BR"/>
              </w:rPr>
            </w:pPr>
          </w:p>
        </w:tc>
        <w:tc>
          <w:tcPr>
            <w:tcW w:w="3220" w:type="dxa"/>
          </w:tcPr>
          <w:p w14:paraId="7A904544" w14:textId="77777777" w:rsidR="00984623" w:rsidRPr="005B5418" w:rsidRDefault="00984623" w:rsidP="008848DA">
            <w:pPr>
              <w:spacing w:before="60" w:after="60" w:line="240" w:lineRule="auto"/>
              <w:rPr>
                <w:rFonts w:cs="Arial"/>
                <w:lang w:val="pt-BR"/>
              </w:rPr>
            </w:pPr>
          </w:p>
        </w:tc>
      </w:tr>
      <w:tr w:rsidR="00984623" w:rsidRPr="005B5418" w14:paraId="42365495" w14:textId="77777777" w:rsidTr="00F47733">
        <w:trPr>
          <w:gridAfter w:val="1"/>
          <w:wAfter w:w="19" w:type="dxa"/>
          <w:trHeight w:val="497"/>
        </w:trPr>
        <w:tc>
          <w:tcPr>
            <w:tcW w:w="5398" w:type="dxa"/>
          </w:tcPr>
          <w:p w14:paraId="1EB39EDB" w14:textId="2D466E4D" w:rsidR="00984623" w:rsidRPr="005B5418" w:rsidRDefault="00984623" w:rsidP="008848DA">
            <w:pPr>
              <w:pStyle w:val="FAM-Table-outline"/>
              <w:spacing w:line="240" w:lineRule="auto"/>
              <w:rPr>
                <w:rFonts w:eastAsia="Arial Unicode MS"/>
              </w:rPr>
            </w:pPr>
            <w:r w:rsidRPr="005B5418">
              <w:rPr>
                <w:rFonts w:eastAsia="Arial Unicode MS"/>
              </w:rPr>
              <w:t>Is deemed cost</w:t>
            </w:r>
            <w:r w:rsidRPr="005B5418">
              <w:t xml:space="preserve"> </w:t>
            </w:r>
            <w:r w:rsidRPr="005B5418">
              <w:rPr>
                <w:rFonts w:eastAsia="Arial Unicode MS"/>
              </w:rPr>
              <w:t xml:space="preserve">based on one, or a </w:t>
            </w:r>
            <w:r w:rsidR="006614D8" w:rsidRPr="005B5418">
              <w:rPr>
                <w:rFonts w:eastAsia="Arial Unicode MS"/>
              </w:rPr>
              <w:t>c</w:t>
            </w:r>
            <w:r w:rsidRPr="005B5418">
              <w:rPr>
                <w:rFonts w:eastAsia="Arial Unicode MS"/>
              </w:rPr>
              <w:t>ombination,</w:t>
            </w:r>
            <w:r w:rsidRPr="005B5418">
              <w:rPr>
                <w:rStyle w:val="FootnoteReference"/>
                <w:rFonts w:eastAsia="Arial Unicode MS" w:cs="Arial"/>
                <w:szCs w:val="22"/>
              </w:rPr>
              <w:footnoteReference w:id="136"/>
            </w:r>
            <w:r w:rsidRPr="005B5418">
              <w:rPr>
                <w:rFonts w:eastAsia="Arial Unicode MS"/>
              </w:rPr>
              <w:t xml:space="preserve"> of the following valuation methods when the reporting entity has multiple components or subcomponent entities</w:t>
            </w:r>
            <w:r w:rsidRPr="005B5418">
              <w:t xml:space="preserve"> </w:t>
            </w:r>
            <w:r w:rsidRPr="005B5418">
              <w:rPr>
                <w:rFonts w:eastAsia="Arial Unicode MS"/>
              </w:rPr>
              <w:t>using various valuation methods simultaneously:</w:t>
            </w:r>
            <w:r w:rsidRPr="005B5418">
              <w:rPr>
                <w:rStyle w:val="FootnoteReference"/>
                <w:rFonts w:eastAsia="Arial Unicode MS" w:cs="Arial"/>
                <w:szCs w:val="22"/>
              </w:rPr>
              <w:footnoteReference w:id="137"/>
            </w:r>
            <w:r w:rsidRPr="005B5418">
              <w:rPr>
                <w:rFonts w:eastAsia="Arial Unicode MS"/>
              </w:rPr>
              <w:t xml:space="preserve"> </w:t>
            </w:r>
          </w:p>
          <w:p w14:paraId="6BE1FAD8"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replacement cost;</w:t>
            </w:r>
          </w:p>
          <w:p w14:paraId="57610EA7"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estimated historical cost (initial amount), of which reasonable estimates may be based on</w:t>
            </w:r>
          </w:p>
          <w:p w14:paraId="417C02F2" w14:textId="77777777" w:rsidR="00984623" w:rsidRPr="005B5418" w:rsidRDefault="00984623" w:rsidP="008848DA">
            <w:pPr>
              <w:pStyle w:val="FAM-Table-outline3"/>
              <w:spacing w:before="60" w:after="60" w:line="240" w:lineRule="auto"/>
              <w:ind w:left="1419" w:hanging="396"/>
              <w:rPr>
                <w:rFonts w:eastAsia="Arial Unicode MS"/>
                <w:sz w:val="22"/>
                <w:szCs w:val="22"/>
              </w:rPr>
            </w:pPr>
            <w:r w:rsidRPr="005B5418">
              <w:rPr>
                <w:rFonts w:eastAsia="Arial Unicode MS"/>
                <w:sz w:val="22"/>
                <w:szCs w:val="22"/>
              </w:rPr>
              <w:t>cost of similar assets at the time of acquisition,</w:t>
            </w:r>
          </w:p>
          <w:p w14:paraId="4D89D56E" w14:textId="77777777" w:rsidR="00984623" w:rsidRPr="005B5418" w:rsidRDefault="00984623" w:rsidP="008848DA">
            <w:pPr>
              <w:pStyle w:val="FAM-Table-outline3"/>
              <w:spacing w:before="60" w:after="60" w:line="240" w:lineRule="auto"/>
              <w:ind w:left="1419" w:hanging="396"/>
              <w:rPr>
                <w:rFonts w:eastAsia="Arial Unicode MS"/>
                <w:sz w:val="22"/>
                <w:szCs w:val="22"/>
              </w:rPr>
            </w:pPr>
            <w:r w:rsidRPr="005B5418">
              <w:rPr>
                <w:rFonts w:eastAsia="Arial Unicode MS"/>
                <w:sz w:val="22"/>
                <w:szCs w:val="22"/>
              </w:rPr>
              <w:t>current cost of similar assets discounted for inflation since the time of acquisition (that is, deflating current costs to costs at the time of acquisition by general price index), or</w:t>
            </w:r>
          </w:p>
          <w:p w14:paraId="3BCDBCCB" w14:textId="77777777" w:rsidR="00984623" w:rsidRPr="005B5418" w:rsidRDefault="00984623" w:rsidP="008848DA">
            <w:pPr>
              <w:pStyle w:val="FAM-Table-outline3"/>
              <w:tabs>
                <w:tab w:val="num" w:pos="1152"/>
              </w:tabs>
              <w:spacing w:before="60" w:after="60" w:line="240" w:lineRule="auto"/>
              <w:ind w:left="1419" w:hanging="360"/>
              <w:rPr>
                <w:rFonts w:eastAsia="Arial Unicode MS"/>
                <w:sz w:val="22"/>
                <w:szCs w:val="22"/>
              </w:rPr>
            </w:pPr>
            <w:r w:rsidRPr="005B5418">
              <w:rPr>
                <w:rFonts w:eastAsia="Arial Unicode MS"/>
                <w:sz w:val="22"/>
                <w:szCs w:val="22"/>
              </w:rPr>
              <w:t>other reasonable methods;</w:t>
            </w:r>
            <w:r w:rsidRPr="005B5418">
              <w:rPr>
                <w:rStyle w:val="FootnoteReference"/>
                <w:rFonts w:eastAsia="Arial Unicode MS" w:cs="Arial"/>
                <w:sz w:val="22"/>
                <w:szCs w:val="22"/>
              </w:rPr>
              <w:footnoteReference w:id="138"/>
            </w:r>
            <w:r w:rsidRPr="005B5418">
              <w:rPr>
                <w:rFonts w:eastAsia="Arial Unicode MS"/>
                <w:sz w:val="22"/>
                <w:szCs w:val="22"/>
              </w:rPr>
              <w:t xml:space="preserve"> and </w:t>
            </w:r>
          </w:p>
          <w:p w14:paraId="5ED09DCC" w14:textId="435F48BB" w:rsidR="00984623" w:rsidRPr="005B5418" w:rsidRDefault="00984623"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cs="Arial"/>
                <w:szCs w:val="22"/>
              </w:rPr>
              <w:t>fair value? (SFFAS 6, para. 40d.)</w:t>
            </w:r>
          </w:p>
        </w:tc>
        <w:tc>
          <w:tcPr>
            <w:tcW w:w="963" w:type="dxa"/>
          </w:tcPr>
          <w:p w14:paraId="04428416" w14:textId="77777777" w:rsidR="00984623" w:rsidRPr="005B5418" w:rsidRDefault="00984623" w:rsidP="008848DA">
            <w:pPr>
              <w:pStyle w:val="Table-Cell-CenterBoldBefore6ptAfter6pt"/>
              <w:spacing w:before="60" w:after="60"/>
              <w:rPr>
                <w:rFonts w:cs="Arial"/>
                <w:lang w:val="pt-BR"/>
              </w:rPr>
            </w:pPr>
          </w:p>
        </w:tc>
        <w:tc>
          <w:tcPr>
            <w:tcW w:w="3220" w:type="dxa"/>
          </w:tcPr>
          <w:p w14:paraId="06D205D4" w14:textId="77777777" w:rsidR="00984623" w:rsidRPr="005B5418" w:rsidRDefault="00984623" w:rsidP="008848DA">
            <w:pPr>
              <w:spacing w:before="60" w:after="60" w:line="240" w:lineRule="auto"/>
              <w:rPr>
                <w:rFonts w:cs="Arial"/>
                <w:lang w:val="pt-BR"/>
              </w:rPr>
            </w:pPr>
          </w:p>
        </w:tc>
      </w:tr>
      <w:tr w:rsidR="00984623" w:rsidRPr="005B5418" w14:paraId="19F4832E" w14:textId="77777777" w:rsidTr="00F47733">
        <w:trPr>
          <w:gridAfter w:val="1"/>
          <w:wAfter w:w="19" w:type="dxa"/>
          <w:trHeight w:val="1835"/>
        </w:trPr>
        <w:tc>
          <w:tcPr>
            <w:tcW w:w="5398" w:type="dxa"/>
          </w:tcPr>
          <w:p w14:paraId="3957A54E" w14:textId="70556441"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lastRenderedPageBreak/>
              <w:t xml:space="preserve">In estimating the in-service date, which is the year that the base unit was placed in service, was the midpoint of the range of years identified used as an acceptable estimate of the in-service date? (SFFAS 6, para. 40e.(i)) </w:t>
            </w:r>
          </w:p>
        </w:tc>
        <w:tc>
          <w:tcPr>
            <w:tcW w:w="963" w:type="dxa"/>
          </w:tcPr>
          <w:p w14:paraId="726D7E9E" w14:textId="77777777" w:rsidR="00984623" w:rsidRPr="005B5418" w:rsidRDefault="00984623" w:rsidP="008848DA">
            <w:pPr>
              <w:pStyle w:val="Table-Cell-CenterBoldBefore6ptAfter6pt"/>
              <w:spacing w:before="60" w:after="60"/>
              <w:rPr>
                <w:rFonts w:cs="Arial"/>
                <w:lang w:val="pt-BR"/>
              </w:rPr>
            </w:pPr>
          </w:p>
        </w:tc>
        <w:tc>
          <w:tcPr>
            <w:tcW w:w="3220" w:type="dxa"/>
          </w:tcPr>
          <w:p w14:paraId="6D9F7911" w14:textId="77777777" w:rsidR="00984623" w:rsidRPr="005B5418" w:rsidRDefault="00984623" w:rsidP="008848DA">
            <w:pPr>
              <w:spacing w:before="60" w:after="60" w:line="240" w:lineRule="auto"/>
              <w:rPr>
                <w:rFonts w:cs="Arial"/>
                <w:lang w:val="pt-BR"/>
              </w:rPr>
            </w:pPr>
          </w:p>
        </w:tc>
      </w:tr>
      <w:tr w:rsidR="00984623" w:rsidRPr="005B5418" w14:paraId="48007706" w14:textId="77777777" w:rsidTr="00F47733">
        <w:trPr>
          <w:gridAfter w:val="1"/>
          <w:wAfter w:w="19" w:type="dxa"/>
          <w:trHeight w:val="1790"/>
        </w:trPr>
        <w:tc>
          <w:tcPr>
            <w:tcW w:w="5398" w:type="dxa"/>
          </w:tcPr>
          <w:p w14:paraId="545934E1" w14:textId="5D7A934F"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For all improvements included in the opening balances at deemed cost, are they treated as if they were placed in service at the date </w:t>
            </w:r>
            <w:r w:rsidRPr="005B5418">
              <w:t>of the improvement or at the date</w:t>
            </w:r>
            <w:r w:rsidRPr="005B5418">
              <w:rPr>
                <w:rFonts w:eastAsia="Arial Unicode MS"/>
              </w:rPr>
              <w:t xml:space="preserve"> the base unit was placed in service? (SFFAS 6, para. 40e.(ii))</w:t>
            </w:r>
          </w:p>
        </w:tc>
        <w:tc>
          <w:tcPr>
            <w:tcW w:w="963" w:type="dxa"/>
          </w:tcPr>
          <w:p w14:paraId="7D4E8C47" w14:textId="77777777" w:rsidR="00984623" w:rsidRPr="005B5418" w:rsidRDefault="00984623" w:rsidP="008848DA">
            <w:pPr>
              <w:pStyle w:val="Table-Cell-CenterBoldBefore6ptAfter6pt"/>
              <w:spacing w:before="60" w:after="60"/>
              <w:rPr>
                <w:rFonts w:cs="Arial"/>
                <w:lang w:val="pt-BR"/>
              </w:rPr>
            </w:pPr>
          </w:p>
        </w:tc>
        <w:tc>
          <w:tcPr>
            <w:tcW w:w="3220" w:type="dxa"/>
          </w:tcPr>
          <w:p w14:paraId="49687940" w14:textId="77777777" w:rsidR="00984623" w:rsidRPr="005B5418" w:rsidRDefault="00984623" w:rsidP="008848DA">
            <w:pPr>
              <w:spacing w:before="60" w:after="60" w:line="240" w:lineRule="auto"/>
              <w:rPr>
                <w:rFonts w:cs="Arial"/>
                <w:lang w:val="pt-BR"/>
              </w:rPr>
            </w:pPr>
          </w:p>
        </w:tc>
      </w:tr>
      <w:tr w:rsidR="00984623" w:rsidRPr="005B5418" w14:paraId="621909DE" w14:textId="77777777" w:rsidTr="00F47733">
        <w:trPr>
          <w:gridAfter w:val="1"/>
          <w:wAfter w:w="19" w:type="dxa"/>
          <w:trHeight w:val="2069"/>
        </w:trPr>
        <w:tc>
          <w:tcPr>
            <w:tcW w:w="5398" w:type="dxa"/>
          </w:tcPr>
          <w:p w14:paraId="54E2F4CC" w14:textId="5EE724F2"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Is the reporting entity consistent in applying a particular alternative method for establishing land and land rights opening balances for each individual subcomponent entity prior to consolidation into a larger component entity? (SFFAS 6, para. 40f.)</w:t>
            </w:r>
          </w:p>
        </w:tc>
        <w:tc>
          <w:tcPr>
            <w:tcW w:w="963" w:type="dxa"/>
          </w:tcPr>
          <w:p w14:paraId="21D62B39" w14:textId="77777777" w:rsidR="00984623" w:rsidRPr="005B5418" w:rsidRDefault="00984623" w:rsidP="008848DA">
            <w:pPr>
              <w:pStyle w:val="Table-Cell-CenterBoldBefore6ptAfter6pt"/>
              <w:spacing w:before="60" w:after="60"/>
              <w:rPr>
                <w:rFonts w:cs="Arial"/>
                <w:lang w:val="pt-BR"/>
              </w:rPr>
            </w:pPr>
          </w:p>
        </w:tc>
        <w:tc>
          <w:tcPr>
            <w:tcW w:w="3220" w:type="dxa"/>
          </w:tcPr>
          <w:p w14:paraId="3044FFE0" w14:textId="77777777" w:rsidR="00984623" w:rsidRPr="005B5418" w:rsidRDefault="00984623" w:rsidP="008848DA">
            <w:pPr>
              <w:spacing w:before="60" w:after="60" w:line="240" w:lineRule="auto"/>
              <w:rPr>
                <w:rFonts w:cs="Arial"/>
                <w:lang w:val="pt-BR"/>
              </w:rPr>
            </w:pPr>
          </w:p>
        </w:tc>
      </w:tr>
      <w:tr w:rsidR="00984623" w:rsidRPr="005B5418" w14:paraId="72FDE2DC" w14:textId="77777777" w:rsidTr="00F47733">
        <w:trPr>
          <w:gridAfter w:val="1"/>
          <w:wAfter w:w="19" w:type="dxa"/>
          <w:trHeight w:val="3950"/>
        </w:trPr>
        <w:tc>
          <w:tcPr>
            <w:tcW w:w="5398" w:type="dxa"/>
          </w:tcPr>
          <w:p w14:paraId="759C6D26" w14:textId="77777777" w:rsidR="00984623" w:rsidRPr="005B5418" w:rsidRDefault="00984623" w:rsidP="00884E2F">
            <w:pPr>
              <w:pStyle w:val="FAM-Table-outline"/>
              <w:spacing w:line="240" w:lineRule="auto"/>
              <w:rPr>
                <w:rFonts w:eastAsia="Arial Unicode MS"/>
              </w:rPr>
            </w:pPr>
            <w:r w:rsidRPr="005B5418">
              <w:rPr>
                <w:rFonts w:eastAsia="Arial Unicode MS"/>
              </w:rPr>
              <w:t>If the reporting entity has multiple component or subcomponent entities selecting different alternative methods, does the reporting entity establish an opening balance based on one, or a combination, of the alternative methods that</w:t>
            </w:r>
          </w:p>
          <w:p w14:paraId="0D145367" w14:textId="106F0C32"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exclude land and land rights from the opening balance of </w:t>
            </w:r>
            <w:r w:rsidR="000A0C1F" w:rsidRPr="005B5418">
              <w:rPr>
                <w:rFonts w:eastAsia="Arial Unicode MS" w:cs="Arial"/>
                <w:szCs w:val="22"/>
              </w:rPr>
              <w:t>PP&amp;E</w:t>
            </w:r>
            <w:r w:rsidRPr="005B5418">
              <w:rPr>
                <w:rFonts w:eastAsia="Arial Unicode MS" w:cs="Arial"/>
                <w:szCs w:val="22"/>
              </w:rPr>
              <w:t xml:space="preserve"> and</w:t>
            </w:r>
          </w:p>
          <w:p w14:paraId="5FD04EFD" w14:textId="28A9DA58" w:rsidR="00984623" w:rsidRPr="005B5418" w:rsidRDefault="00984623"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cs="Arial"/>
                <w:szCs w:val="22"/>
              </w:rPr>
              <w:t>recognize land and land rights in opening balances based on the provisions of the alternative valuation method (deemed cost)? (SFFAS 6, paras. 40f (i) and (ii) and 40d)</w:t>
            </w:r>
          </w:p>
        </w:tc>
        <w:tc>
          <w:tcPr>
            <w:tcW w:w="963" w:type="dxa"/>
          </w:tcPr>
          <w:p w14:paraId="55731F11" w14:textId="77777777" w:rsidR="00984623" w:rsidRPr="005B5418" w:rsidRDefault="00984623" w:rsidP="008848DA">
            <w:pPr>
              <w:pStyle w:val="Table-Cell-CenterBoldBefore6ptAfter6pt"/>
              <w:spacing w:before="60" w:after="60"/>
              <w:rPr>
                <w:rFonts w:cs="Arial"/>
                <w:lang w:val="pt-BR"/>
              </w:rPr>
            </w:pPr>
          </w:p>
        </w:tc>
        <w:tc>
          <w:tcPr>
            <w:tcW w:w="3220" w:type="dxa"/>
          </w:tcPr>
          <w:p w14:paraId="3C7BC33E" w14:textId="77777777" w:rsidR="00984623" w:rsidRPr="005B5418" w:rsidRDefault="00984623" w:rsidP="008848DA">
            <w:pPr>
              <w:spacing w:before="60" w:after="60" w:line="240" w:lineRule="auto"/>
              <w:rPr>
                <w:rFonts w:cs="Arial"/>
                <w:lang w:val="pt-BR"/>
              </w:rPr>
            </w:pPr>
          </w:p>
        </w:tc>
      </w:tr>
      <w:tr w:rsidR="00984623" w:rsidRPr="005B5418" w14:paraId="7AC440D9" w14:textId="77777777" w:rsidTr="00F47733">
        <w:trPr>
          <w:gridAfter w:val="1"/>
          <w:wAfter w:w="19" w:type="dxa"/>
          <w:trHeight w:val="1655"/>
        </w:trPr>
        <w:tc>
          <w:tcPr>
            <w:tcW w:w="5398" w:type="dxa"/>
          </w:tcPr>
          <w:p w14:paraId="10F4FAC0" w14:textId="4B53328C"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Does the reporting entity expense future land and land right acquisitions when the entity excludes land and land rights from the opening balance of </w:t>
            </w:r>
            <w:r w:rsidR="000A0C1F" w:rsidRPr="005B5418">
              <w:rPr>
                <w:rFonts w:eastAsia="Arial Unicode MS"/>
              </w:rPr>
              <w:t>PP&amp;E</w:t>
            </w:r>
            <w:r w:rsidRPr="005B5418">
              <w:rPr>
                <w:rFonts w:eastAsia="Arial Unicode MS"/>
              </w:rPr>
              <w:t>? (SFFAS 6, para. 40 f (i))</w:t>
            </w:r>
          </w:p>
        </w:tc>
        <w:tc>
          <w:tcPr>
            <w:tcW w:w="963" w:type="dxa"/>
          </w:tcPr>
          <w:p w14:paraId="21444FB9" w14:textId="77777777" w:rsidR="00984623" w:rsidRPr="005B5418" w:rsidRDefault="00984623" w:rsidP="008848DA">
            <w:pPr>
              <w:pStyle w:val="Table-Cell-CenterBoldBefore6ptAfter6pt"/>
              <w:spacing w:before="60" w:after="60"/>
              <w:rPr>
                <w:rFonts w:cs="Arial"/>
                <w:lang w:val="pt-BR"/>
              </w:rPr>
            </w:pPr>
          </w:p>
        </w:tc>
        <w:tc>
          <w:tcPr>
            <w:tcW w:w="3220" w:type="dxa"/>
          </w:tcPr>
          <w:p w14:paraId="54B339FB" w14:textId="77777777" w:rsidR="00984623" w:rsidRPr="005B5418" w:rsidRDefault="00984623" w:rsidP="008848DA">
            <w:pPr>
              <w:spacing w:before="60" w:after="60" w:line="240" w:lineRule="auto"/>
              <w:rPr>
                <w:rFonts w:cs="Arial"/>
                <w:lang w:val="pt-BR"/>
              </w:rPr>
            </w:pPr>
          </w:p>
        </w:tc>
      </w:tr>
      <w:tr w:rsidR="00984623" w:rsidRPr="005B5418" w14:paraId="0E9C8A2E" w14:textId="77777777" w:rsidTr="00F47733">
        <w:trPr>
          <w:gridAfter w:val="1"/>
          <w:wAfter w:w="19" w:type="dxa"/>
          <w:trHeight w:val="1745"/>
        </w:trPr>
        <w:tc>
          <w:tcPr>
            <w:tcW w:w="5398" w:type="dxa"/>
          </w:tcPr>
          <w:p w14:paraId="55F8CFE6" w14:textId="7D333B28"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lastRenderedPageBreak/>
              <w:t xml:space="preserve">If the reporting entity elects to exclude land and land rights from its </w:t>
            </w:r>
            <w:r w:rsidR="000A0C1F" w:rsidRPr="005B5418">
              <w:rPr>
                <w:rFonts w:eastAsia="Arial Unicode MS"/>
              </w:rPr>
              <w:t>PP&amp;E</w:t>
            </w:r>
            <w:r w:rsidRPr="005B5418">
              <w:rPr>
                <w:rFonts w:eastAsia="Arial Unicode MS"/>
              </w:rPr>
              <w:t xml:space="preserve"> opening balance, does it continue to exclude future land and land rights acquisition amounts? (SFFAS 6, para. 40h (ii))</w:t>
            </w:r>
          </w:p>
        </w:tc>
        <w:tc>
          <w:tcPr>
            <w:tcW w:w="963" w:type="dxa"/>
          </w:tcPr>
          <w:p w14:paraId="454C8930" w14:textId="77777777" w:rsidR="00984623" w:rsidRPr="005B5418" w:rsidRDefault="00984623" w:rsidP="008848DA">
            <w:pPr>
              <w:pStyle w:val="Table-Cell-CenterBoldBefore6ptAfter6pt"/>
              <w:spacing w:before="60" w:after="60"/>
              <w:rPr>
                <w:rFonts w:cs="Arial"/>
                <w:lang w:val="pt-BR"/>
              </w:rPr>
            </w:pPr>
          </w:p>
        </w:tc>
        <w:tc>
          <w:tcPr>
            <w:tcW w:w="3220" w:type="dxa"/>
          </w:tcPr>
          <w:p w14:paraId="2437E017" w14:textId="77777777" w:rsidR="00984623" w:rsidRPr="005B5418" w:rsidRDefault="00984623" w:rsidP="008848DA">
            <w:pPr>
              <w:spacing w:before="60" w:after="60" w:line="240" w:lineRule="auto"/>
              <w:rPr>
                <w:rFonts w:cs="Arial"/>
                <w:lang w:val="pt-BR"/>
              </w:rPr>
            </w:pPr>
          </w:p>
        </w:tc>
      </w:tr>
      <w:tr w:rsidR="00984623" w:rsidRPr="005B5418" w14:paraId="51677A4F" w14:textId="77777777" w:rsidTr="00F47733">
        <w:trPr>
          <w:gridAfter w:val="1"/>
          <w:wAfter w:w="19" w:type="dxa"/>
          <w:trHeight w:val="3743"/>
        </w:trPr>
        <w:tc>
          <w:tcPr>
            <w:tcW w:w="5398" w:type="dxa"/>
          </w:tcPr>
          <w:p w14:paraId="266DC68D" w14:textId="77777777" w:rsidR="00984623" w:rsidRPr="005B5418" w:rsidRDefault="00984623" w:rsidP="00884E2F">
            <w:pPr>
              <w:pStyle w:val="FAM-Table-outline"/>
              <w:spacing w:line="240" w:lineRule="auto"/>
              <w:rPr>
                <w:rFonts w:eastAsia="Arial Unicode MS"/>
              </w:rPr>
            </w:pPr>
            <w:r w:rsidRPr="005B5418">
              <w:rPr>
                <w:rFonts w:eastAsia="Arial Unicode MS"/>
              </w:rPr>
              <w:t xml:space="preserve">Is accumulated depreciation/amortization recorded based on </w:t>
            </w:r>
          </w:p>
          <w:p w14:paraId="5C66DFC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the estimated cost of the PP&amp;E and the number of years the PP&amp;E has been in use relative to its estimated useful life, </w:t>
            </w:r>
          </w:p>
          <w:p w14:paraId="71A36C8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PP&amp;E’s estimated net remaining cost and the depreciation or amortization charged over the remaining life based on that net remaining cost,</w:t>
            </w:r>
            <w:r w:rsidRPr="005B5418">
              <w:rPr>
                <w:rFonts w:eastAsia="Arial Unicode MS" w:cs="Arial"/>
                <w:szCs w:val="22"/>
                <w:vertAlign w:val="superscript"/>
              </w:rPr>
              <w:footnoteReference w:id="139"/>
            </w:r>
            <w:r w:rsidRPr="005425ED">
              <w:rPr>
                <w:rFonts w:eastAsia="Arial Unicode MS"/>
              </w:rPr>
              <w:t xml:space="preserve"> </w:t>
            </w:r>
            <w:r w:rsidRPr="005B5418">
              <w:rPr>
                <w:rFonts w:eastAsia="Arial Unicode MS" w:cs="Arial"/>
                <w:szCs w:val="22"/>
              </w:rPr>
              <w:t>or</w:t>
            </w:r>
          </w:p>
          <w:p w14:paraId="25870FFF" w14:textId="1A9473FB" w:rsidR="00984623" w:rsidRPr="005B5418" w:rsidRDefault="00984623"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cs="Arial"/>
                <w:szCs w:val="22"/>
              </w:rPr>
              <w:t>a composite or a group methodology whereby the costs of PP&amp;E are allocated using the same allocation rate? (SFFAS 6, para. 41)</w:t>
            </w:r>
          </w:p>
        </w:tc>
        <w:tc>
          <w:tcPr>
            <w:tcW w:w="963" w:type="dxa"/>
          </w:tcPr>
          <w:p w14:paraId="497D6FD8" w14:textId="77777777" w:rsidR="00984623" w:rsidRPr="005B5418" w:rsidRDefault="00984623" w:rsidP="008848DA">
            <w:pPr>
              <w:pStyle w:val="Table-Cell-CenterBoldBefore6ptAfter6pt"/>
              <w:spacing w:before="60" w:after="60"/>
              <w:rPr>
                <w:rFonts w:cs="Arial"/>
                <w:lang w:val="pt-BR"/>
              </w:rPr>
            </w:pPr>
          </w:p>
        </w:tc>
        <w:tc>
          <w:tcPr>
            <w:tcW w:w="3220" w:type="dxa"/>
          </w:tcPr>
          <w:p w14:paraId="6C3892E0" w14:textId="77777777" w:rsidR="00984623" w:rsidRPr="005B5418" w:rsidRDefault="00984623" w:rsidP="008848DA">
            <w:pPr>
              <w:spacing w:before="60" w:after="60" w:line="240" w:lineRule="auto"/>
              <w:rPr>
                <w:rFonts w:cs="Arial"/>
                <w:lang w:val="pt-BR"/>
              </w:rPr>
            </w:pPr>
          </w:p>
        </w:tc>
      </w:tr>
      <w:tr w:rsidR="00984623" w:rsidRPr="005B5418" w14:paraId="4FECE1EB" w14:textId="77777777" w:rsidTr="00F47733">
        <w:trPr>
          <w:gridAfter w:val="1"/>
          <w:wAfter w:w="19" w:type="dxa"/>
          <w:trHeight w:val="2870"/>
        </w:trPr>
        <w:tc>
          <w:tcPr>
            <w:tcW w:w="5398" w:type="dxa"/>
          </w:tcPr>
          <w:p w14:paraId="09CC07F0" w14:textId="6208092E" w:rsidR="00984623" w:rsidRPr="005B5418" w:rsidRDefault="00984623" w:rsidP="00884E2F">
            <w:pPr>
              <w:pStyle w:val="FAM-Table-outline"/>
              <w:spacing w:line="240" w:lineRule="auto"/>
              <w:rPr>
                <w:rFonts w:eastAsia="Arial Unicode MS"/>
              </w:rPr>
            </w:pPr>
            <w:r w:rsidRPr="005B5418">
              <w:rPr>
                <w:rFonts w:eastAsia="Arial Unicode MS"/>
              </w:rPr>
              <w:t xml:space="preserve">If </w:t>
            </w:r>
            <w:r w:rsidR="000A0C1F" w:rsidRPr="005B5418">
              <w:rPr>
                <w:rFonts w:eastAsia="Arial Unicode MS"/>
              </w:rPr>
              <w:t>PP&amp;E</w:t>
            </w:r>
            <w:r w:rsidRPr="005B5418">
              <w:rPr>
                <w:rFonts w:eastAsia="Arial Unicode MS"/>
              </w:rPr>
              <w:t xml:space="preserve"> would have been substantially depreciated or amortized had it been recorded upon acquisition, does the entity weigh materiality and cost benefit to</w:t>
            </w:r>
          </w:p>
          <w:p w14:paraId="7359307E" w14:textId="7EC09B05"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record only improvements made during the period beyond the initial expected useful life of </w:t>
            </w:r>
            <w:r w:rsidR="000A0C1F" w:rsidRPr="005B5418">
              <w:rPr>
                <w:rFonts w:eastAsia="Arial Unicode MS" w:cs="Arial"/>
                <w:szCs w:val="22"/>
              </w:rPr>
              <w:t>PP&amp;E</w:t>
            </w:r>
            <w:r w:rsidRPr="005B5418">
              <w:rPr>
                <w:rFonts w:eastAsia="Arial Unicode MS" w:cs="Arial"/>
                <w:szCs w:val="22"/>
              </w:rPr>
              <w:t xml:space="preserve"> or</w:t>
            </w:r>
          </w:p>
          <w:p w14:paraId="3FA6355A"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cs="Arial"/>
                <w:szCs w:val="22"/>
              </w:rPr>
              <w:t>make an aggregate entry for whole classes of PP&amp;E (e.g., entire facilities rather than a building-by-building estimate)? (SFFAS 6, para. 42)</w:t>
            </w:r>
          </w:p>
        </w:tc>
        <w:tc>
          <w:tcPr>
            <w:tcW w:w="963" w:type="dxa"/>
          </w:tcPr>
          <w:p w14:paraId="6659A6F8" w14:textId="77777777" w:rsidR="00984623" w:rsidRPr="005B5418" w:rsidRDefault="00984623" w:rsidP="008848DA">
            <w:pPr>
              <w:pStyle w:val="Table-Cell-CenterBoldBefore6ptAfter6pt"/>
              <w:spacing w:before="60" w:after="60"/>
              <w:rPr>
                <w:rFonts w:cs="Arial"/>
                <w:lang w:val="pt-BR"/>
              </w:rPr>
            </w:pPr>
          </w:p>
        </w:tc>
        <w:tc>
          <w:tcPr>
            <w:tcW w:w="3220" w:type="dxa"/>
          </w:tcPr>
          <w:p w14:paraId="186759CE" w14:textId="77777777" w:rsidR="00984623" w:rsidRPr="005B5418" w:rsidRDefault="00984623" w:rsidP="008848DA">
            <w:pPr>
              <w:spacing w:before="60" w:after="60" w:line="240" w:lineRule="auto"/>
              <w:rPr>
                <w:rFonts w:cs="Arial"/>
                <w:lang w:val="pt-BR"/>
              </w:rPr>
            </w:pPr>
          </w:p>
        </w:tc>
      </w:tr>
      <w:tr w:rsidR="00984623" w:rsidRPr="005B5418" w14:paraId="6691C471" w14:textId="77777777" w:rsidTr="00F47733">
        <w:trPr>
          <w:gridAfter w:val="1"/>
          <w:wAfter w:w="19" w:type="dxa"/>
          <w:trHeight w:val="1097"/>
        </w:trPr>
        <w:tc>
          <w:tcPr>
            <w:tcW w:w="5398" w:type="dxa"/>
          </w:tcPr>
          <w:p w14:paraId="4DA3C30C" w14:textId="3A2FBECE"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For the initial capitalization of all </w:t>
            </w:r>
            <w:r w:rsidR="000A0C1F" w:rsidRPr="005B5418">
              <w:rPr>
                <w:rFonts w:eastAsia="Arial Unicode MS"/>
              </w:rPr>
              <w:t>PP&amp;E</w:t>
            </w:r>
            <w:r w:rsidRPr="005B5418">
              <w:rPr>
                <w:rFonts w:eastAsia="Arial Unicode MS"/>
              </w:rPr>
              <w:t>, is the implementation guidance for SFFAS 6, paragraphs 40–44 followed? (SFFAS 23, para. 10)</w:t>
            </w:r>
          </w:p>
        </w:tc>
        <w:tc>
          <w:tcPr>
            <w:tcW w:w="963" w:type="dxa"/>
          </w:tcPr>
          <w:p w14:paraId="1E7E7290" w14:textId="77777777" w:rsidR="00984623" w:rsidRPr="005B5418" w:rsidRDefault="00984623" w:rsidP="008848DA">
            <w:pPr>
              <w:pStyle w:val="Table-Cell-CenterBoldBefore6ptAfter6pt"/>
              <w:spacing w:before="60" w:after="60"/>
              <w:rPr>
                <w:rFonts w:cs="Arial"/>
                <w:lang w:val="pt-BR"/>
              </w:rPr>
            </w:pPr>
          </w:p>
        </w:tc>
        <w:tc>
          <w:tcPr>
            <w:tcW w:w="3220" w:type="dxa"/>
          </w:tcPr>
          <w:p w14:paraId="73FDB190" w14:textId="77777777" w:rsidR="00984623" w:rsidRPr="005B5418" w:rsidRDefault="00984623" w:rsidP="008848DA">
            <w:pPr>
              <w:spacing w:before="60" w:after="60" w:line="240" w:lineRule="auto"/>
              <w:rPr>
                <w:rFonts w:cs="Arial"/>
                <w:lang w:val="pt-BR"/>
              </w:rPr>
            </w:pPr>
          </w:p>
        </w:tc>
      </w:tr>
      <w:tr w:rsidR="00984623" w:rsidRPr="005B5418" w14:paraId="44A373CF" w14:textId="77777777" w:rsidTr="000355E7">
        <w:trPr>
          <w:gridAfter w:val="1"/>
          <w:wAfter w:w="19" w:type="dxa"/>
          <w:trHeight w:val="1007"/>
        </w:trPr>
        <w:tc>
          <w:tcPr>
            <w:tcW w:w="9581" w:type="dxa"/>
            <w:gridSpan w:val="3"/>
          </w:tcPr>
          <w:p w14:paraId="012A08E2" w14:textId="3D8AAF3F" w:rsidR="00984623" w:rsidRPr="005B5418" w:rsidRDefault="00984623" w:rsidP="008848DA">
            <w:pPr>
              <w:spacing w:before="60" w:after="60" w:line="240" w:lineRule="auto"/>
              <w:ind w:left="-21"/>
              <w:rPr>
                <w:rFonts w:ascii="Arial" w:hAnsi="Arial" w:cs="Arial"/>
                <w:lang w:val="pt-BR"/>
              </w:rPr>
            </w:pPr>
            <w:r w:rsidRPr="005B5418">
              <w:rPr>
                <w:rFonts w:ascii="Arial" w:eastAsia="Arial Unicode MS" w:hAnsi="Arial" w:cs="Arial"/>
              </w:rPr>
              <w:lastRenderedPageBreak/>
              <w:t>Impairment is a significant and permanent decline in the service utility</w:t>
            </w:r>
            <w:r w:rsidRPr="005B5418">
              <w:rPr>
                <w:rStyle w:val="FootnoteReference"/>
                <w:rFonts w:ascii="Arial" w:eastAsia="Arial Unicode MS" w:hAnsi="Arial" w:cs="Arial"/>
              </w:rPr>
              <w:footnoteReference w:id="140"/>
            </w:r>
            <w:r w:rsidRPr="005B5418">
              <w:rPr>
                <w:rFonts w:ascii="Arial" w:eastAsia="Arial Unicode MS" w:hAnsi="Arial" w:cs="Arial"/>
              </w:rPr>
              <w:t xml:space="preserve"> of </w:t>
            </w:r>
            <w:r w:rsidR="000A0C1F" w:rsidRPr="005B5418">
              <w:rPr>
                <w:rFonts w:ascii="Arial" w:eastAsia="Arial Unicode MS" w:hAnsi="Arial" w:cs="Arial"/>
              </w:rPr>
              <w:t>PP&amp;E</w:t>
            </w:r>
            <w:r w:rsidRPr="005B5418">
              <w:rPr>
                <w:rFonts w:ascii="Arial" w:eastAsia="Arial Unicode MS" w:hAnsi="Arial" w:cs="Arial"/>
              </w:rPr>
              <w:t xml:space="preserve"> remaining in use,</w:t>
            </w:r>
            <w:r w:rsidRPr="005B5418">
              <w:rPr>
                <w:rStyle w:val="FootnoteReference"/>
                <w:rFonts w:ascii="Arial" w:eastAsia="Arial Unicode MS" w:hAnsi="Arial" w:cs="Arial"/>
              </w:rPr>
              <w:footnoteReference w:id="141"/>
            </w:r>
            <w:r w:rsidRPr="005B5418">
              <w:rPr>
                <w:rFonts w:ascii="Arial" w:eastAsia="Arial Unicode MS" w:hAnsi="Arial" w:cs="Arial"/>
              </w:rPr>
              <w:t xml:space="preserve"> or expected service utility for construction work in process. The events or changes in circumstances that lead to impairments are not considered normal and ordinary. (SFFAS 44, para. 8)</w:t>
            </w:r>
          </w:p>
        </w:tc>
      </w:tr>
      <w:tr w:rsidR="00984623" w:rsidRPr="005B5418" w14:paraId="3D591343" w14:textId="77777777" w:rsidTr="00F47733">
        <w:trPr>
          <w:gridAfter w:val="1"/>
          <w:wAfter w:w="19" w:type="dxa"/>
          <w:trHeight w:val="1403"/>
        </w:trPr>
        <w:tc>
          <w:tcPr>
            <w:tcW w:w="5398" w:type="dxa"/>
          </w:tcPr>
          <w:p w14:paraId="4D9E9E65" w14:textId="069642C8" w:rsidR="00984623" w:rsidRPr="005B5418" w:rsidRDefault="00984623" w:rsidP="00884E2F">
            <w:pPr>
              <w:pStyle w:val="FAM-Table-outline"/>
              <w:spacing w:line="240" w:lineRule="auto"/>
              <w:rPr>
                <w:rFonts w:eastAsia="Arial Unicode MS"/>
              </w:rPr>
            </w:pPr>
            <w:r w:rsidRPr="005B5418">
              <w:rPr>
                <w:rFonts w:eastAsia="Arial Unicode MS"/>
              </w:rPr>
              <w:t xml:space="preserve">In determining whether </w:t>
            </w:r>
            <w:r w:rsidR="000A0C1F" w:rsidRPr="005B5418">
              <w:rPr>
                <w:rFonts w:eastAsia="Arial Unicode MS"/>
              </w:rPr>
              <w:t>PP&amp;E</w:t>
            </w:r>
            <w:r w:rsidRPr="005B5418">
              <w:rPr>
                <w:rFonts w:eastAsia="Arial Unicode MS"/>
              </w:rPr>
              <w:t xml:space="preserve"> remaining in use is impaired, did the entity</w:t>
            </w:r>
          </w:p>
          <w:p w14:paraId="592F77F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identify potential impairment indicators and </w:t>
            </w:r>
          </w:p>
          <w:p w14:paraId="0D19E818"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cs="Arial"/>
                <w:szCs w:val="22"/>
              </w:rPr>
              <w:t>test for impairment? (SFFAS 44, para.11)</w:t>
            </w:r>
          </w:p>
        </w:tc>
        <w:tc>
          <w:tcPr>
            <w:tcW w:w="963" w:type="dxa"/>
          </w:tcPr>
          <w:p w14:paraId="35E99E63" w14:textId="77777777" w:rsidR="00984623" w:rsidRPr="005B5418" w:rsidRDefault="00984623" w:rsidP="008848DA">
            <w:pPr>
              <w:pStyle w:val="Table-Cell-CenterBoldBefore6ptAfter6pt"/>
              <w:spacing w:before="60" w:after="60"/>
              <w:rPr>
                <w:rFonts w:cs="Arial"/>
                <w:lang w:val="pt-BR"/>
              </w:rPr>
            </w:pPr>
          </w:p>
        </w:tc>
        <w:tc>
          <w:tcPr>
            <w:tcW w:w="3220" w:type="dxa"/>
          </w:tcPr>
          <w:p w14:paraId="5E6E023F" w14:textId="77777777" w:rsidR="00984623" w:rsidRPr="005B5418" w:rsidRDefault="00984623" w:rsidP="008848DA">
            <w:pPr>
              <w:spacing w:before="60" w:after="60" w:line="240" w:lineRule="auto"/>
              <w:rPr>
                <w:rFonts w:cs="Arial"/>
                <w:lang w:val="pt-BR"/>
              </w:rPr>
            </w:pPr>
          </w:p>
        </w:tc>
      </w:tr>
      <w:tr w:rsidR="00984623" w:rsidRPr="005B5418" w14:paraId="548EAF84" w14:textId="77777777" w:rsidTr="00F47733">
        <w:trPr>
          <w:gridAfter w:val="1"/>
          <w:wAfter w:w="19" w:type="dxa"/>
          <w:trHeight w:val="4859"/>
        </w:trPr>
        <w:tc>
          <w:tcPr>
            <w:tcW w:w="5398" w:type="dxa"/>
          </w:tcPr>
          <w:p w14:paraId="1D44CC28" w14:textId="77777777" w:rsidR="00984623" w:rsidRPr="005B5418" w:rsidRDefault="00984623" w:rsidP="00884E2F">
            <w:pPr>
              <w:pStyle w:val="FAM-Table-outline"/>
              <w:spacing w:line="240" w:lineRule="auto"/>
              <w:rPr>
                <w:rFonts w:eastAsia="Arial Unicode MS"/>
              </w:rPr>
            </w:pPr>
            <w:r w:rsidRPr="005B5418">
              <w:rPr>
                <w:rFonts w:eastAsia="Arial Unicode MS"/>
              </w:rPr>
              <w:t>Did the entity carefully consider the surrounding circumstances to determine whether a test of potential impairment was necessary given the circumstances, including common indicators of potential impairments, such as</w:t>
            </w:r>
          </w:p>
          <w:p w14:paraId="7358D3B3"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evidence of physical damage,</w:t>
            </w:r>
          </w:p>
          <w:p w14:paraId="31BE6A92" w14:textId="284132DA"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enactment of laws or</w:t>
            </w:r>
            <w:r w:rsidR="006F5AAD" w:rsidRPr="005B5418">
              <w:rPr>
                <w:rFonts w:eastAsia="Arial Unicode MS" w:cs="Arial"/>
                <w:szCs w:val="22"/>
              </w:rPr>
              <w:t xml:space="preserve"> issuance of</w:t>
            </w:r>
            <w:r w:rsidRPr="005B5418">
              <w:rPr>
                <w:rFonts w:eastAsia="Arial Unicode MS" w:cs="Arial"/>
                <w:szCs w:val="22"/>
              </w:rPr>
              <w:t xml:space="preserve"> regulations which limit or restrict </w:t>
            </w:r>
            <w:r w:rsidR="000A0C1F" w:rsidRPr="005B5418">
              <w:rPr>
                <w:rFonts w:eastAsia="Arial Unicode MS" w:cs="Arial"/>
                <w:szCs w:val="22"/>
              </w:rPr>
              <w:t>PP&amp;E</w:t>
            </w:r>
            <w:r w:rsidRPr="005B5418">
              <w:rPr>
                <w:rFonts w:eastAsia="Arial Unicode MS" w:cs="Arial"/>
                <w:szCs w:val="22"/>
              </w:rPr>
              <w:t xml:space="preserve"> usage,</w:t>
            </w:r>
          </w:p>
          <w:p w14:paraId="710B3648"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changes in environmental or economic factors,</w:t>
            </w:r>
          </w:p>
          <w:p w14:paraId="562E60CA"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technological changes or evidence of obsolescence,</w:t>
            </w:r>
          </w:p>
          <w:p w14:paraId="4C44104E" w14:textId="45A99260"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changes in the manner or duration of use of </w:t>
            </w:r>
            <w:r w:rsidR="000A0C1F" w:rsidRPr="005B5418">
              <w:rPr>
                <w:rFonts w:eastAsia="Arial Unicode MS" w:cs="Arial"/>
                <w:szCs w:val="22"/>
              </w:rPr>
              <w:t>PP&amp;E</w:t>
            </w:r>
            <w:r w:rsidRPr="005B5418">
              <w:rPr>
                <w:rFonts w:eastAsia="Arial Unicode MS" w:cs="Arial"/>
                <w:szCs w:val="22"/>
              </w:rPr>
              <w:t>,</w:t>
            </w:r>
          </w:p>
          <w:p w14:paraId="6A3261E4"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construction stoppage or contract termination, and</w:t>
            </w:r>
          </w:p>
          <w:p w14:paraId="29E254B3" w14:textId="4FA92EBD" w:rsidR="00984623" w:rsidRPr="005B5418" w:rsidRDefault="000A0C1F"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cs="Arial"/>
                <w:szCs w:val="22"/>
              </w:rPr>
              <w:t>PP&amp;E</w:t>
            </w:r>
            <w:r w:rsidR="00984623" w:rsidRPr="005B5418">
              <w:rPr>
                <w:rFonts w:eastAsia="Arial Unicode MS" w:cs="Arial"/>
                <w:szCs w:val="22"/>
              </w:rPr>
              <w:t xml:space="preserve"> idled or unserviceable for excessively long periods? (SFFAS 44, para. 12)</w:t>
            </w:r>
          </w:p>
        </w:tc>
        <w:tc>
          <w:tcPr>
            <w:tcW w:w="963" w:type="dxa"/>
          </w:tcPr>
          <w:p w14:paraId="6AD82DF1" w14:textId="77777777" w:rsidR="00984623" w:rsidRPr="005B5418" w:rsidRDefault="00984623" w:rsidP="008848DA">
            <w:pPr>
              <w:pStyle w:val="Table-Cell-CenterBoldBefore6ptAfter6pt"/>
              <w:spacing w:before="60" w:after="60"/>
              <w:rPr>
                <w:rFonts w:cs="Arial"/>
                <w:lang w:val="pt-BR"/>
              </w:rPr>
            </w:pPr>
          </w:p>
        </w:tc>
        <w:tc>
          <w:tcPr>
            <w:tcW w:w="3220" w:type="dxa"/>
          </w:tcPr>
          <w:p w14:paraId="02676B5E" w14:textId="77777777" w:rsidR="00984623" w:rsidRPr="005B5418" w:rsidRDefault="00984623" w:rsidP="008848DA">
            <w:pPr>
              <w:spacing w:before="60" w:after="60" w:line="240" w:lineRule="auto"/>
              <w:rPr>
                <w:rFonts w:cs="Arial"/>
                <w:lang w:val="pt-BR"/>
              </w:rPr>
            </w:pPr>
          </w:p>
        </w:tc>
      </w:tr>
      <w:tr w:rsidR="00984623" w:rsidRPr="005B5418" w14:paraId="12E2C735" w14:textId="77777777" w:rsidTr="00F47733">
        <w:trPr>
          <w:gridAfter w:val="1"/>
          <w:wAfter w:w="19" w:type="dxa"/>
          <w:trHeight w:val="1799"/>
        </w:trPr>
        <w:tc>
          <w:tcPr>
            <w:tcW w:w="5398" w:type="dxa"/>
          </w:tcPr>
          <w:p w14:paraId="00F047E8" w14:textId="5B31511E"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cs="Arial"/>
                <w:szCs w:val="22"/>
              </w:rPr>
              <w:t xml:space="preserve">If significant events or changes in circumstances affecting </w:t>
            </w:r>
            <w:r w:rsidR="000A0C1F" w:rsidRPr="005B5418">
              <w:rPr>
                <w:rFonts w:eastAsia="Arial Unicode MS" w:cs="Arial"/>
                <w:szCs w:val="22"/>
              </w:rPr>
              <w:t>PP&amp;E</w:t>
            </w:r>
            <w:r w:rsidRPr="005B5418">
              <w:rPr>
                <w:rFonts w:eastAsia="Arial Unicode MS" w:cs="Arial"/>
                <w:szCs w:val="22"/>
              </w:rPr>
              <w:t xml:space="preserve"> that may indicate impairment were conspicuous or known to the entity’s management or oversight entities, did the entity’s management consider potential impairment? (SFFAS 44, para. 13)</w:t>
            </w:r>
          </w:p>
        </w:tc>
        <w:tc>
          <w:tcPr>
            <w:tcW w:w="963" w:type="dxa"/>
          </w:tcPr>
          <w:p w14:paraId="1D033772" w14:textId="77777777" w:rsidR="00984623" w:rsidRPr="005B5418" w:rsidRDefault="00984623" w:rsidP="008848DA">
            <w:pPr>
              <w:pStyle w:val="Table-Cell-CenterBoldBefore6ptAfter6pt"/>
              <w:spacing w:before="60" w:after="60"/>
              <w:rPr>
                <w:rFonts w:cs="Arial"/>
                <w:lang w:val="pt-BR"/>
              </w:rPr>
            </w:pPr>
          </w:p>
        </w:tc>
        <w:tc>
          <w:tcPr>
            <w:tcW w:w="3220" w:type="dxa"/>
          </w:tcPr>
          <w:p w14:paraId="1F72D1AE" w14:textId="77777777" w:rsidR="00984623" w:rsidRPr="005B5418" w:rsidRDefault="00984623" w:rsidP="008848DA">
            <w:pPr>
              <w:spacing w:before="60" w:after="60" w:line="240" w:lineRule="auto"/>
              <w:rPr>
                <w:rFonts w:cs="Arial"/>
                <w:lang w:val="pt-BR"/>
              </w:rPr>
            </w:pPr>
          </w:p>
        </w:tc>
      </w:tr>
      <w:tr w:rsidR="00984623" w:rsidRPr="005B5418" w14:paraId="4E5FF90C" w14:textId="77777777" w:rsidTr="00F47733">
        <w:trPr>
          <w:gridAfter w:val="1"/>
          <w:wAfter w:w="19" w:type="dxa"/>
          <w:trHeight w:val="1358"/>
        </w:trPr>
        <w:tc>
          <w:tcPr>
            <w:tcW w:w="5398" w:type="dxa"/>
          </w:tcPr>
          <w:p w14:paraId="210106EC" w14:textId="77BD964A"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lastRenderedPageBreak/>
              <w:t xml:space="preserve">Did management evaluate </w:t>
            </w:r>
            <w:r w:rsidR="000A0C1F" w:rsidRPr="005B5418">
              <w:rPr>
                <w:rFonts w:eastAsia="Arial Unicode MS"/>
              </w:rPr>
              <w:t>PP&amp;E</w:t>
            </w:r>
            <w:r w:rsidRPr="005B5418">
              <w:rPr>
                <w:rFonts w:eastAsia="Arial Unicode MS"/>
              </w:rPr>
              <w:t xml:space="preserve"> for potential impairment if impairment indicators were identified during asset management reviews (e.g., portfolio surveys)? (SFFAS 44, para. 14)</w:t>
            </w:r>
          </w:p>
        </w:tc>
        <w:tc>
          <w:tcPr>
            <w:tcW w:w="963" w:type="dxa"/>
          </w:tcPr>
          <w:p w14:paraId="3F735294" w14:textId="77777777" w:rsidR="00984623" w:rsidRPr="005B5418" w:rsidRDefault="00984623" w:rsidP="008848DA">
            <w:pPr>
              <w:pStyle w:val="Table-Cell-CenterBoldBefore6ptAfter6pt"/>
              <w:spacing w:before="60" w:after="60"/>
              <w:rPr>
                <w:rFonts w:cs="Arial"/>
                <w:lang w:val="pt-BR"/>
              </w:rPr>
            </w:pPr>
          </w:p>
        </w:tc>
        <w:tc>
          <w:tcPr>
            <w:tcW w:w="3220" w:type="dxa"/>
          </w:tcPr>
          <w:p w14:paraId="4633DADC" w14:textId="77777777" w:rsidR="00984623" w:rsidRPr="005B5418" w:rsidRDefault="00984623" w:rsidP="008848DA">
            <w:pPr>
              <w:spacing w:before="60" w:after="60" w:line="240" w:lineRule="auto"/>
              <w:rPr>
                <w:rFonts w:cs="Arial"/>
                <w:lang w:val="pt-BR"/>
              </w:rPr>
            </w:pPr>
          </w:p>
        </w:tc>
      </w:tr>
      <w:tr w:rsidR="00984623" w:rsidRPr="005B5418" w14:paraId="2C428822" w14:textId="77777777" w:rsidTr="00F47733">
        <w:trPr>
          <w:gridAfter w:val="1"/>
          <w:wAfter w:w="19" w:type="dxa"/>
          <w:trHeight w:val="1565"/>
        </w:trPr>
        <w:tc>
          <w:tcPr>
            <w:tcW w:w="5398" w:type="dxa"/>
          </w:tcPr>
          <w:p w14:paraId="52E21401" w14:textId="6D03F10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If reduced demand for the services of </w:t>
            </w:r>
            <w:r w:rsidRPr="005B5418">
              <w:rPr>
                <w:rFonts w:eastAsia="Arial Unicode MS"/>
              </w:rPr>
              <w:br/>
            </w:r>
            <w:r w:rsidR="000A0C1F" w:rsidRPr="005B5418">
              <w:rPr>
                <w:rFonts w:eastAsia="Arial Unicode MS"/>
              </w:rPr>
              <w:t>PP&amp;E</w:t>
            </w:r>
            <w:r w:rsidRPr="005B5418">
              <w:rPr>
                <w:rFonts w:eastAsia="Arial Unicode MS"/>
              </w:rPr>
              <w:t xml:space="preserve"> is identified as an indicator of impairment, did the entity consider evidence of an underlying potential impairment resulting in the reduced demand? (SFFAS 44, para. 15)</w:t>
            </w:r>
          </w:p>
        </w:tc>
        <w:tc>
          <w:tcPr>
            <w:tcW w:w="963" w:type="dxa"/>
          </w:tcPr>
          <w:p w14:paraId="4626519D" w14:textId="77777777" w:rsidR="00984623" w:rsidRPr="005B5418" w:rsidRDefault="00984623" w:rsidP="008848DA">
            <w:pPr>
              <w:pStyle w:val="Table-Cell-CenterBoldBefore6ptAfter6pt"/>
              <w:spacing w:before="60" w:after="60"/>
              <w:rPr>
                <w:rFonts w:cs="Arial"/>
                <w:lang w:val="pt-BR"/>
              </w:rPr>
            </w:pPr>
          </w:p>
        </w:tc>
        <w:tc>
          <w:tcPr>
            <w:tcW w:w="3220" w:type="dxa"/>
          </w:tcPr>
          <w:p w14:paraId="4715D96A" w14:textId="77777777" w:rsidR="00984623" w:rsidRPr="005B5418" w:rsidRDefault="00984623" w:rsidP="008848DA">
            <w:pPr>
              <w:spacing w:before="60" w:after="60" w:line="240" w:lineRule="auto"/>
              <w:rPr>
                <w:rFonts w:cs="Arial"/>
                <w:lang w:val="pt-BR"/>
              </w:rPr>
            </w:pPr>
          </w:p>
        </w:tc>
      </w:tr>
      <w:tr w:rsidR="00984623" w:rsidRPr="005B5418" w14:paraId="4EF6A0D4" w14:textId="77777777" w:rsidTr="00F47733">
        <w:trPr>
          <w:gridAfter w:val="1"/>
          <w:wAfter w:w="19" w:type="dxa"/>
          <w:trHeight w:val="2177"/>
        </w:trPr>
        <w:tc>
          <w:tcPr>
            <w:tcW w:w="5398" w:type="dxa"/>
          </w:tcPr>
          <w:p w14:paraId="0F6D44EA" w14:textId="53D1F46A" w:rsidR="00984623" w:rsidRPr="005B5418" w:rsidRDefault="00984623" w:rsidP="00884E2F">
            <w:pPr>
              <w:pStyle w:val="FAM-Table-outline"/>
              <w:spacing w:line="240" w:lineRule="auto"/>
              <w:rPr>
                <w:rFonts w:eastAsia="Arial Unicode MS"/>
              </w:rPr>
            </w:pPr>
            <w:r w:rsidRPr="005B5418">
              <w:rPr>
                <w:rFonts w:eastAsia="Arial Unicode MS"/>
              </w:rPr>
              <w:t xml:space="preserve">For </w:t>
            </w:r>
            <w:r w:rsidR="000A0C1F" w:rsidRPr="005B5418">
              <w:rPr>
                <w:rFonts w:eastAsia="Arial Unicode MS"/>
              </w:rPr>
              <w:t>PP&amp;E</w:t>
            </w:r>
            <w:r w:rsidRPr="005B5418">
              <w:rPr>
                <w:rFonts w:eastAsia="Arial Unicode MS"/>
              </w:rPr>
              <w:t xml:space="preserve"> identified as potentially impaired, did the entity test for impairment by determining whether the following were present</w:t>
            </w:r>
          </w:p>
          <w:p w14:paraId="6DF98033"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the magnitude of the decline in service utility is significant and </w:t>
            </w:r>
          </w:p>
          <w:p w14:paraId="17B81167"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cs="Arial"/>
                <w:szCs w:val="22"/>
              </w:rPr>
              <w:t>the decline in service utility is expected to be permanent? (SFFAS 44, para. 16)</w:t>
            </w:r>
          </w:p>
        </w:tc>
        <w:tc>
          <w:tcPr>
            <w:tcW w:w="963" w:type="dxa"/>
          </w:tcPr>
          <w:p w14:paraId="0B804D0D" w14:textId="77777777" w:rsidR="00984623" w:rsidRPr="005B5418" w:rsidRDefault="00984623" w:rsidP="008848DA">
            <w:pPr>
              <w:pStyle w:val="Table-Cell-CenterBoldBefore6ptAfter6pt"/>
              <w:spacing w:before="60" w:after="60"/>
              <w:rPr>
                <w:rFonts w:cs="Arial"/>
                <w:lang w:val="pt-BR"/>
              </w:rPr>
            </w:pPr>
          </w:p>
        </w:tc>
        <w:tc>
          <w:tcPr>
            <w:tcW w:w="3220" w:type="dxa"/>
          </w:tcPr>
          <w:p w14:paraId="54189AC7" w14:textId="77777777" w:rsidR="00984623" w:rsidRPr="005B5418" w:rsidRDefault="00984623" w:rsidP="008848DA">
            <w:pPr>
              <w:spacing w:before="60" w:after="60" w:line="240" w:lineRule="auto"/>
              <w:rPr>
                <w:rFonts w:cs="Arial"/>
                <w:lang w:val="pt-BR"/>
              </w:rPr>
            </w:pPr>
          </w:p>
        </w:tc>
      </w:tr>
      <w:tr w:rsidR="00984623" w:rsidRPr="005B5418" w14:paraId="45295FBD" w14:textId="77777777" w:rsidTr="00F47733">
        <w:trPr>
          <w:gridAfter w:val="1"/>
          <w:wAfter w:w="19" w:type="dxa"/>
          <w:trHeight w:val="1340"/>
        </w:trPr>
        <w:tc>
          <w:tcPr>
            <w:tcW w:w="5398" w:type="dxa"/>
          </w:tcPr>
          <w:p w14:paraId="6684CB5E" w14:textId="77777777" w:rsidR="00984623" w:rsidRPr="005B5418" w:rsidRDefault="00984623" w:rsidP="00343610">
            <w:pPr>
              <w:pStyle w:val="FAM-Table-outline"/>
              <w:numPr>
                <w:ilvl w:val="0"/>
                <w:numId w:val="2"/>
              </w:numPr>
              <w:spacing w:line="240" w:lineRule="auto"/>
              <w:rPr>
                <w:rFonts w:eastAsia="Arial Unicode MS"/>
              </w:rPr>
            </w:pPr>
            <w:r w:rsidRPr="005B5418">
              <w:rPr>
                <w:rFonts w:eastAsia="Arial Unicode MS"/>
              </w:rPr>
              <w:t xml:space="preserve">For construction work in process, did the testing of impairment identified above use the period of expected future service utility rather than current service utility? </w:t>
            </w:r>
            <w:r w:rsidRPr="005B5418">
              <w:rPr>
                <w:rFonts w:eastAsia="Arial Unicode MS" w:cs="Arial"/>
                <w:szCs w:val="22"/>
              </w:rPr>
              <w:t>(SFFAS 44, para. 17)</w:t>
            </w:r>
          </w:p>
        </w:tc>
        <w:tc>
          <w:tcPr>
            <w:tcW w:w="963" w:type="dxa"/>
          </w:tcPr>
          <w:p w14:paraId="0F7AB3A3" w14:textId="77777777" w:rsidR="00984623" w:rsidRPr="005B5418" w:rsidRDefault="00984623" w:rsidP="008848DA">
            <w:pPr>
              <w:pStyle w:val="Table-Cell-CenterBoldBefore6ptAfter6pt"/>
              <w:spacing w:before="60" w:after="60"/>
              <w:rPr>
                <w:rFonts w:cs="Arial"/>
                <w:lang w:val="pt-BR"/>
              </w:rPr>
            </w:pPr>
          </w:p>
        </w:tc>
        <w:tc>
          <w:tcPr>
            <w:tcW w:w="3220" w:type="dxa"/>
          </w:tcPr>
          <w:p w14:paraId="714A2990" w14:textId="77777777" w:rsidR="00984623" w:rsidRPr="005B5418" w:rsidRDefault="00984623" w:rsidP="008848DA">
            <w:pPr>
              <w:spacing w:before="60" w:after="60" w:line="240" w:lineRule="auto"/>
              <w:rPr>
                <w:rFonts w:cs="Arial"/>
                <w:lang w:val="pt-BR"/>
              </w:rPr>
            </w:pPr>
          </w:p>
        </w:tc>
      </w:tr>
      <w:tr w:rsidR="00984623" w:rsidRPr="005B5418" w14:paraId="34BF88BC" w14:textId="77777777" w:rsidTr="00F47733">
        <w:trPr>
          <w:gridAfter w:val="1"/>
          <w:wAfter w:w="19" w:type="dxa"/>
          <w:trHeight w:val="1259"/>
        </w:trPr>
        <w:tc>
          <w:tcPr>
            <w:tcW w:w="5398" w:type="dxa"/>
          </w:tcPr>
          <w:p w14:paraId="5F4ABB30" w14:textId="0D678C38"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Is </w:t>
            </w:r>
            <w:r w:rsidR="000A0C1F" w:rsidRPr="005B5418">
              <w:rPr>
                <w:rFonts w:eastAsia="Arial Unicode MS"/>
              </w:rPr>
              <w:t>PP&amp;E</w:t>
            </w:r>
            <w:r w:rsidRPr="005B5418">
              <w:rPr>
                <w:rFonts w:eastAsia="Arial Unicode MS"/>
              </w:rPr>
              <w:t xml:space="preserve"> remaining in use identified as impaired if the decline in the service utility of the </w:t>
            </w:r>
            <w:r w:rsidR="000A0C1F" w:rsidRPr="005B5418">
              <w:rPr>
                <w:rFonts w:eastAsia="Arial Unicode MS"/>
              </w:rPr>
              <w:t>PP&amp;E</w:t>
            </w:r>
            <w:r w:rsidRPr="005B5418">
              <w:rPr>
                <w:rFonts w:eastAsia="Arial Unicode MS"/>
              </w:rPr>
              <w:t xml:space="preserve"> is significant and deemed permanent? (SFFAS 44, para. 10)</w:t>
            </w:r>
          </w:p>
        </w:tc>
        <w:tc>
          <w:tcPr>
            <w:tcW w:w="963" w:type="dxa"/>
          </w:tcPr>
          <w:p w14:paraId="50FBFEFF" w14:textId="77777777" w:rsidR="00984623" w:rsidRPr="005B5418" w:rsidRDefault="00984623" w:rsidP="008848DA">
            <w:pPr>
              <w:pStyle w:val="Table-Cell-CenterBoldBefore6ptAfter6pt"/>
              <w:spacing w:before="60" w:after="60"/>
              <w:rPr>
                <w:rFonts w:cs="Arial"/>
                <w:lang w:val="pt-BR"/>
              </w:rPr>
            </w:pPr>
          </w:p>
        </w:tc>
        <w:tc>
          <w:tcPr>
            <w:tcW w:w="3220" w:type="dxa"/>
          </w:tcPr>
          <w:p w14:paraId="6E725F51" w14:textId="77777777" w:rsidR="00984623" w:rsidRPr="005B5418" w:rsidRDefault="00984623" w:rsidP="008848DA">
            <w:pPr>
              <w:spacing w:before="60" w:after="60" w:line="240" w:lineRule="auto"/>
              <w:rPr>
                <w:rFonts w:cs="Arial"/>
                <w:lang w:val="pt-BR"/>
              </w:rPr>
            </w:pPr>
          </w:p>
        </w:tc>
      </w:tr>
      <w:tr w:rsidR="00984623" w:rsidRPr="005B5418" w14:paraId="34C672E9" w14:textId="77777777" w:rsidTr="00F47733">
        <w:trPr>
          <w:gridAfter w:val="1"/>
          <w:wAfter w:w="19" w:type="dxa"/>
          <w:trHeight w:val="1511"/>
        </w:trPr>
        <w:tc>
          <w:tcPr>
            <w:tcW w:w="5398" w:type="dxa"/>
          </w:tcPr>
          <w:p w14:paraId="32ED53C3" w14:textId="61607671"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Are impairment losses on </w:t>
            </w:r>
            <w:r w:rsidR="000A0C1F" w:rsidRPr="005B5418">
              <w:rPr>
                <w:rFonts w:eastAsia="Arial Unicode MS"/>
              </w:rPr>
              <w:t>PP&amp;E</w:t>
            </w:r>
            <w:r w:rsidRPr="005B5418">
              <w:rPr>
                <w:rFonts w:eastAsia="Arial Unicode MS"/>
              </w:rPr>
              <w:t xml:space="preserve"> that will continue to be used by the entity estimated using a measurement method that reasonably reflects the diminished service utility of the </w:t>
            </w:r>
            <w:r w:rsidR="000A0C1F" w:rsidRPr="005B5418">
              <w:rPr>
                <w:rFonts w:eastAsia="Arial Unicode MS"/>
              </w:rPr>
              <w:t>PP&amp;E</w:t>
            </w:r>
            <w:r w:rsidRPr="005B5418">
              <w:rPr>
                <w:rFonts w:eastAsia="Arial Unicode MS"/>
              </w:rPr>
              <w:t>? (SFFAS 44, para. 18)</w:t>
            </w:r>
          </w:p>
        </w:tc>
        <w:tc>
          <w:tcPr>
            <w:tcW w:w="963" w:type="dxa"/>
          </w:tcPr>
          <w:p w14:paraId="55B333E9" w14:textId="77777777" w:rsidR="00984623" w:rsidRPr="005B5418" w:rsidRDefault="00984623" w:rsidP="008848DA">
            <w:pPr>
              <w:pStyle w:val="Table-Cell-CenterBoldBefore6ptAfter6pt"/>
              <w:spacing w:before="60" w:after="60"/>
              <w:rPr>
                <w:rFonts w:cs="Arial"/>
                <w:lang w:val="pt-BR"/>
              </w:rPr>
            </w:pPr>
          </w:p>
        </w:tc>
        <w:tc>
          <w:tcPr>
            <w:tcW w:w="3220" w:type="dxa"/>
          </w:tcPr>
          <w:p w14:paraId="56DB43D7" w14:textId="77777777" w:rsidR="00984623" w:rsidRPr="005B5418" w:rsidRDefault="00984623" w:rsidP="008848DA">
            <w:pPr>
              <w:spacing w:before="60" w:after="60" w:line="240" w:lineRule="auto"/>
              <w:rPr>
                <w:rFonts w:cs="Arial"/>
                <w:lang w:val="pt-BR"/>
              </w:rPr>
            </w:pPr>
          </w:p>
        </w:tc>
      </w:tr>
      <w:tr w:rsidR="00984623" w:rsidRPr="005B5418" w14:paraId="43593E58" w14:textId="77777777" w:rsidTr="00F47733">
        <w:trPr>
          <w:gridAfter w:val="1"/>
          <w:wAfter w:w="19" w:type="dxa"/>
          <w:trHeight w:val="917"/>
        </w:trPr>
        <w:tc>
          <w:tcPr>
            <w:tcW w:w="5398" w:type="dxa"/>
          </w:tcPr>
          <w:p w14:paraId="3C332C63"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Did the entity limit the recognition of the loss to the asset’s net book value at the time of impairment?</w:t>
            </w:r>
            <w:r w:rsidRPr="005B5418">
              <w:rPr>
                <w:rStyle w:val="FootnoteReference"/>
                <w:rFonts w:eastAsia="Arial Unicode MS"/>
              </w:rPr>
              <w:footnoteReference w:id="142"/>
            </w:r>
            <w:r w:rsidRPr="005B5418">
              <w:rPr>
                <w:rFonts w:eastAsia="Arial Unicode MS"/>
              </w:rPr>
              <w:t xml:space="preserve"> (SFFAS 44, para. 18)</w:t>
            </w:r>
          </w:p>
        </w:tc>
        <w:tc>
          <w:tcPr>
            <w:tcW w:w="963" w:type="dxa"/>
          </w:tcPr>
          <w:p w14:paraId="123AA058" w14:textId="77777777" w:rsidR="00984623" w:rsidRPr="005B5418" w:rsidRDefault="00984623" w:rsidP="008848DA">
            <w:pPr>
              <w:pStyle w:val="Table-Cell-CenterBoldBefore6ptAfter6pt"/>
              <w:spacing w:before="60" w:after="60"/>
              <w:rPr>
                <w:rFonts w:cs="Arial"/>
                <w:lang w:val="pt-BR"/>
              </w:rPr>
            </w:pPr>
          </w:p>
        </w:tc>
        <w:tc>
          <w:tcPr>
            <w:tcW w:w="3220" w:type="dxa"/>
          </w:tcPr>
          <w:p w14:paraId="6E26034B" w14:textId="77777777" w:rsidR="00984623" w:rsidRPr="005B5418" w:rsidRDefault="00984623" w:rsidP="008848DA">
            <w:pPr>
              <w:spacing w:before="60" w:after="60" w:line="240" w:lineRule="auto"/>
              <w:rPr>
                <w:rFonts w:cs="Arial"/>
                <w:lang w:val="pt-BR"/>
              </w:rPr>
            </w:pPr>
          </w:p>
        </w:tc>
      </w:tr>
      <w:tr w:rsidR="00984623" w:rsidRPr="005B5418" w14:paraId="79C457BA" w14:textId="77777777" w:rsidTr="00F47733">
        <w:trPr>
          <w:gridAfter w:val="1"/>
          <w:wAfter w:w="19" w:type="dxa"/>
          <w:trHeight w:val="1718"/>
        </w:trPr>
        <w:tc>
          <w:tcPr>
            <w:tcW w:w="5398" w:type="dxa"/>
          </w:tcPr>
          <w:p w14:paraId="51B99799"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lastRenderedPageBreak/>
              <w:t>Is an impairment loss recognized and reported in the statement of net cost when management concludes that the impairment is (1) a significant decline in service utility and (2) expected to be permanent? (SFFAS 44, para. 19)</w:t>
            </w:r>
          </w:p>
        </w:tc>
        <w:tc>
          <w:tcPr>
            <w:tcW w:w="963" w:type="dxa"/>
          </w:tcPr>
          <w:p w14:paraId="57F9BC6C" w14:textId="77777777" w:rsidR="00984623" w:rsidRPr="005B5418" w:rsidRDefault="00984623" w:rsidP="008848DA">
            <w:pPr>
              <w:pStyle w:val="Table-Cell-CenterBoldBefore6ptAfter6pt"/>
              <w:spacing w:before="60" w:after="60"/>
              <w:rPr>
                <w:rFonts w:cs="Arial"/>
                <w:lang w:val="pt-BR"/>
              </w:rPr>
            </w:pPr>
          </w:p>
        </w:tc>
        <w:tc>
          <w:tcPr>
            <w:tcW w:w="3220" w:type="dxa"/>
          </w:tcPr>
          <w:p w14:paraId="22BE4E08" w14:textId="77777777" w:rsidR="00984623" w:rsidRPr="005B5418" w:rsidRDefault="00984623" w:rsidP="008848DA">
            <w:pPr>
              <w:spacing w:before="60" w:after="60" w:line="240" w:lineRule="auto"/>
              <w:rPr>
                <w:rFonts w:cs="Arial"/>
                <w:lang w:val="pt-BR"/>
              </w:rPr>
            </w:pPr>
          </w:p>
        </w:tc>
      </w:tr>
      <w:tr w:rsidR="00984623" w:rsidRPr="005B5418" w14:paraId="4CB16427" w14:textId="77777777" w:rsidTr="00F47733">
        <w:trPr>
          <w:gridAfter w:val="1"/>
          <w:wAfter w:w="19" w:type="dxa"/>
          <w:trHeight w:val="1385"/>
        </w:trPr>
        <w:tc>
          <w:tcPr>
            <w:tcW w:w="5398" w:type="dxa"/>
          </w:tcPr>
          <w:p w14:paraId="7C667E11" w14:textId="1B50F38A"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Are impairment losses recognized and reported regardless of whether the </w:t>
            </w:r>
            <w:r w:rsidR="000A0C1F" w:rsidRPr="005B5418">
              <w:rPr>
                <w:rFonts w:eastAsia="Arial Unicode MS"/>
              </w:rPr>
              <w:t>PP&amp;E</w:t>
            </w:r>
            <w:r w:rsidRPr="005B5418">
              <w:rPr>
                <w:rFonts w:eastAsia="Arial Unicode MS"/>
              </w:rPr>
              <w:t xml:space="preserve"> remaining in use is being depreciated individually or as part of a composite group? (SFFAS 44, para. 20)</w:t>
            </w:r>
          </w:p>
        </w:tc>
        <w:tc>
          <w:tcPr>
            <w:tcW w:w="963" w:type="dxa"/>
          </w:tcPr>
          <w:p w14:paraId="02FF49FD" w14:textId="77777777" w:rsidR="00984623" w:rsidRPr="005B5418" w:rsidRDefault="00984623" w:rsidP="008848DA">
            <w:pPr>
              <w:pStyle w:val="Table-Cell-CenterBoldBefore6ptAfter6pt"/>
              <w:spacing w:before="60" w:after="60"/>
              <w:rPr>
                <w:rFonts w:cs="Arial"/>
                <w:lang w:val="pt-BR"/>
              </w:rPr>
            </w:pPr>
          </w:p>
        </w:tc>
        <w:tc>
          <w:tcPr>
            <w:tcW w:w="3220" w:type="dxa"/>
          </w:tcPr>
          <w:p w14:paraId="16C63379" w14:textId="77777777" w:rsidR="00984623" w:rsidRPr="005B5418" w:rsidRDefault="00984623" w:rsidP="008848DA">
            <w:pPr>
              <w:spacing w:before="60" w:after="60" w:line="240" w:lineRule="auto"/>
              <w:rPr>
                <w:rFonts w:cs="Arial"/>
                <w:lang w:val="pt-BR"/>
              </w:rPr>
            </w:pPr>
          </w:p>
        </w:tc>
      </w:tr>
      <w:tr w:rsidR="00984623" w:rsidRPr="005B5418" w14:paraId="65EC4393" w14:textId="77777777" w:rsidTr="00F47733">
        <w:trPr>
          <w:gridAfter w:val="1"/>
          <w:wAfter w:w="19" w:type="dxa"/>
          <w:trHeight w:val="1970"/>
        </w:trPr>
        <w:tc>
          <w:tcPr>
            <w:tcW w:w="5398" w:type="dxa"/>
          </w:tcPr>
          <w:p w14:paraId="4C5C09AE"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If future service utility has been adversely affected but the impairment test determines that a loss not be recognized, did the entity consider a change to the estimates used in depreciation calculations, such as estimated useful life and salvage value? (SFFAS 44, para. 22)</w:t>
            </w:r>
          </w:p>
        </w:tc>
        <w:tc>
          <w:tcPr>
            <w:tcW w:w="963" w:type="dxa"/>
          </w:tcPr>
          <w:p w14:paraId="01EC2611" w14:textId="77777777" w:rsidR="00984623" w:rsidRPr="005B5418" w:rsidRDefault="00984623" w:rsidP="008848DA">
            <w:pPr>
              <w:pStyle w:val="Table-Cell-CenterBoldBefore6ptAfter6pt"/>
              <w:spacing w:before="60" w:after="60"/>
              <w:rPr>
                <w:rFonts w:cs="Arial"/>
                <w:lang w:val="pt-BR"/>
              </w:rPr>
            </w:pPr>
          </w:p>
        </w:tc>
        <w:tc>
          <w:tcPr>
            <w:tcW w:w="3220" w:type="dxa"/>
          </w:tcPr>
          <w:p w14:paraId="5B7D0316" w14:textId="77777777" w:rsidR="00984623" w:rsidRPr="005B5418" w:rsidRDefault="00984623" w:rsidP="008848DA">
            <w:pPr>
              <w:spacing w:before="60" w:after="60" w:line="240" w:lineRule="auto"/>
              <w:rPr>
                <w:rFonts w:cs="Arial"/>
                <w:lang w:val="pt-BR"/>
              </w:rPr>
            </w:pPr>
          </w:p>
        </w:tc>
      </w:tr>
      <w:tr w:rsidR="00984623" w:rsidRPr="005B5418" w14:paraId="28DB910E" w14:textId="77777777" w:rsidTr="00F47733">
        <w:trPr>
          <w:gridAfter w:val="1"/>
          <w:wAfter w:w="19" w:type="dxa"/>
          <w:trHeight w:val="1637"/>
        </w:trPr>
        <w:tc>
          <w:tcPr>
            <w:tcW w:w="5398" w:type="dxa"/>
          </w:tcPr>
          <w:p w14:paraId="33E9546A" w14:textId="0B9BB56D"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 xml:space="preserve">If </w:t>
            </w:r>
            <w:r w:rsidR="000A0C1F" w:rsidRPr="005B5418">
              <w:rPr>
                <w:rFonts w:eastAsia="Arial Unicode MS"/>
              </w:rPr>
              <w:t>PP&amp;E</w:t>
            </w:r>
            <w:r w:rsidRPr="005B5418">
              <w:rPr>
                <w:rFonts w:eastAsia="Arial Unicode MS"/>
              </w:rPr>
              <w:t xml:space="preserve"> no longer provides service, or in the case of construction work in process where there is no expectation of future service by the entity, did the entity account for it in accordance with SFFAS 6, paragraphs 38 and 39 and FASAB TR 14?</w:t>
            </w:r>
            <w:r w:rsidRPr="005B5418">
              <w:rPr>
                <w:rStyle w:val="FootnoteReference"/>
                <w:rFonts w:eastAsia="Arial Unicode MS"/>
              </w:rPr>
              <w:footnoteReference w:id="143"/>
            </w:r>
            <w:r w:rsidRPr="005B5418">
              <w:rPr>
                <w:rFonts w:eastAsia="Arial Unicode MS"/>
              </w:rPr>
              <w:t xml:space="preserve"> (SFFAS 44, para. 23)</w:t>
            </w:r>
          </w:p>
        </w:tc>
        <w:tc>
          <w:tcPr>
            <w:tcW w:w="963" w:type="dxa"/>
          </w:tcPr>
          <w:p w14:paraId="19584392" w14:textId="77777777" w:rsidR="00984623" w:rsidRPr="005B5418" w:rsidRDefault="00984623" w:rsidP="008848DA">
            <w:pPr>
              <w:pStyle w:val="Table-Cell-CenterBoldBefore6ptAfter6pt"/>
              <w:spacing w:before="60" w:after="60"/>
              <w:rPr>
                <w:rFonts w:cs="Arial"/>
                <w:lang w:val="pt-BR"/>
              </w:rPr>
            </w:pPr>
          </w:p>
        </w:tc>
        <w:tc>
          <w:tcPr>
            <w:tcW w:w="3220" w:type="dxa"/>
          </w:tcPr>
          <w:p w14:paraId="6A250271" w14:textId="77777777" w:rsidR="00984623" w:rsidRPr="005B5418" w:rsidRDefault="00984623" w:rsidP="008848DA">
            <w:pPr>
              <w:spacing w:before="60" w:after="60" w:line="240" w:lineRule="auto"/>
              <w:rPr>
                <w:rFonts w:cs="Arial"/>
                <w:lang w:val="pt-BR"/>
              </w:rPr>
            </w:pPr>
          </w:p>
        </w:tc>
      </w:tr>
      <w:tr w:rsidR="00984623" w:rsidRPr="005B5418" w14:paraId="6072E7A7" w14:textId="77777777" w:rsidTr="00F47733">
        <w:trPr>
          <w:gridAfter w:val="1"/>
          <w:wAfter w:w="19" w:type="dxa"/>
          <w:trHeight w:val="1790"/>
        </w:trPr>
        <w:tc>
          <w:tcPr>
            <w:tcW w:w="5398" w:type="dxa"/>
          </w:tcPr>
          <w:p w14:paraId="0A587E10" w14:textId="287EF952" w:rsidR="00984623" w:rsidRPr="005B5418" w:rsidRDefault="00984623" w:rsidP="00F05C8C">
            <w:pPr>
              <w:pStyle w:val="FAM-Table-outline"/>
              <w:widowControl/>
              <w:numPr>
                <w:ilvl w:val="0"/>
                <w:numId w:val="13"/>
              </w:numPr>
              <w:adjustRightInd/>
              <w:spacing w:line="240" w:lineRule="auto"/>
              <w:textAlignment w:val="auto"/>
              <w:rPr>
                <w:rFonts w:cs="Arial"/>
              </w:rPr>
            </w:pPr>
            <w:r w:rsidRPr="005B5418">
              <w:rPr>
                <w:rFonts w:eastAsia="Arial Unicode MS"/>
              </w:rPr>
              <w:t xml:space="preserve">Subject to the </w:t>
            </w:r>
            <w:r w:rsidR="00F05C8C" w:rsidRPr="005B5418">
              <w:rPr>
                <w:rFonts w:eastAsia="Arial Unicode MS"/>
              </w:rPr>
              <w:t xml:space="preserve">entity’s </w:t>
            </w:r>
            <w:r w:rsidRPr="005B5418">
              <w:rPr>
                <w:rFonts w:eastAsia="Arial Unicode MS"/>
              </w:rPr>
              <w:t xml:space="preserve">capitalization policies, if an entity later remediates any previously impaired </w:t>
            </w:r>
            <w:r w:rsidR="000A0C1F" w:rsidRPr="005B5418">
              <w:rPr>
                <w:rFonts w:eastAsia="Arial Unicode MS"/>
              </w:rPr>
              <w:t>PP&amp;E</w:t>
            </w:r>
            <w:r w:rsidRPr="005B5418">
              <w:rPr>
                <w:rFonts w:eastAsia="Arial Unicode MS"/>
              </w:rPr>
              <w:t xml:space="preserve"> remaining in use, were the costs incurred to replace or restore the lost service utility accounted for in accordance with applicable standards? (SFFAS 44, para. 24)</w:t>
            </w:r>
          </w:p>
        </w:tc>
        <w:tc>
          <w:tcPr>
            <w:tcW w:w="963" w:type="dxa"/>
          </w:tcPr>
          <w:p w14:paraId="7FE8D339" w14:textId="77777777" w:rsidR="00984623" w:rsidRPr="005B5418" w:rsidRDefault="00984623" w:rsidP="008848DA">
            <w:pPr>
              <w:pStyle w:val="Table-Cell-CenterBoldBefore6ptAfter6pt"/>
              <w:spacing w:before="60" w:after="60"/>
              <w:rPr>
                <w:rFonts w:cs="Arial"/>
                <w:lang w:val="pt-BR"/>
              </w:rPr>
            </w:pPr>
          </w:p>
        </w:tc>
        <w:tc>
          <w:tcPr>
            <w:tcW w:w="3220" w:type="dxa"/>
          </w:tcPr>
          <w:p w14:paraId="21FC2061" w14:textId="77777777" w:rsidR="00984623" w:rsidRPr="005B5418" w:rsidRDefault="00984623" w:rsidP="008848DA">
            <w:pPr>
              <w:spacing w:before="60" w:after="60" w:line="240" w:lineRule="auto"/>
              <w:rPr>
                <w:rFonts w:cs="Arial"/>
                <w:lang w:val="pt-BR"/>
              </w:rPr>
            </w:pPr>
          </w:p>
        </w:tc>
      </w:tr>
      <w:tr w:rsidR="00984623" w:rsidRPr="005B5418" w14:paraId="7702F4F9" w14:textId="77777777" w:rsidTr="00F47733">
        <w:trPr>
          <w:gridAfter w:val="1"/>
          <w:wAfter w:w="19" w:type="dxa"/>
          <w:trHeight w:val="1295"/>
        </w:trPr>
        <w:tc>
          <w:tcPr>
            <w:tcW w:w="5398" w:type="dxa"/>
          </w:tcPr>
          <w:p w14:paraId="332DD746"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t>If the recovery</w:t>
            </w:r>
            <w:r w:rsidRPr="005B5418">
              <w:t xml:space="preserve"> </w:t>
            </w:r>
            <w:r w:rsidRPr="005B5418">
              <w:rPr>
                <w:rFonts w:eastAsia="Arial Unicode MS"/>
              </w:rPr>
              <w:t>of impairment losses occurs in the same year,</w:t>
            </w:r>
            <w:r w:rsidRPr="005B5418">
              <w:rPr>
                <w:rStyle w:val="FootnoteReference"/>
                <w:rFonts w:eastAsia="Arial Unicode MS"/>
              </w:rPr>
              <w:footnoteReference w:id="144"/>
            </w:r>
            <w:r w:rsidRPr="005B5418">
              <w:rPr>
                <w:rFonts w:eastAsia="Arial Unicode MS"/>
              </w:rPr>
              <w:t xml:space="preserve"> was the impairment loss reported net of any associated recovery? (SFFAS 44, para. 25)</w:t>
            </w:r>
          </w:p>
        </w:tc>
        <w:tc>
          <w:tcPr>
            <w:tcW w:w="963" w:type="dxa"/>
          </w:tcPr>
          <w:p w14:paraId="00A85799" w14:textId="77777777" w:rsidR="00984623" w:rsidRPr="005B5418" w:rsidRDefault="00984623" w:rsidP="008848DA">
            <w:pPr>
              <w:pStyle w:val="Table-Cell-CenterBoldBefore6ptAfter6pt"/>
              <w:spacing w:before="60" w:after="60"/>
              <w:rPr>
                <w:rFonts w:cs="Arial"/>
                <w:lang w:val="pt-BR"/>
              </w:rPr>
            </w:pPr>
          </w:p>
        </w:tc>
        <w:tc>
          <w:tcPr>
            <w:tcW w:w="3220" w:type="dxa"/>
          </w:tcPr>
          <w:p w14:paraId="553540C7" w14:textId="77777777" w:rsidR="00984623" w:rsidRPr="005B5418" w:rsidRDefault="00984623" w:rsidP="008848DA">
            <w:pPr>
              <w:spacing w:before="60" w:after="60" w:line="240" w:lineRule="auto"/>
              <w:rPr>
                <w:rFonts w:cs="Arial"/>
                <w:lang w:val="pt-BR"/>
              </w:rPr>
            </w:pPr>
          </w:p>
        </w:tc>
      </w:tr>
      <w:tr w:rsidR="00984623" w:rsidRPr="005B5418" w14:paraId="30FE62EA" w14:textId="77777777" w:rsidTr="00F47733">
        <w:trPr>
          <w:gridAfter w:val="1"/>
          <w:wAfter w:w="19" w:type="dxa"/>
          <w:trHeight w:val="2015"/>
        </w:trPr>
        <w:tc>
          <w:tcPr>
            <w:tcW w:w="5398" w:type="dxa"/>
          </w:tcPr>
          <w:p w14:paraId="477CE23A"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eastAsia="Arial Unicode MS"/>
              </w:rPr>
              <w:lastRenderedPageBreak/>
              <w:t>If the recovery of impairment losses occurs in the subsequent years, was the recovery reported as revenue or other financing sources as appropriate and disclosed in the notes by amount and classification, if not otherwise apparent in the financial statements? (SFFAS 44, para. 25)</w:t>
            </w:r>
          </w:p>
        </w:tc>
        <w:tc>
          <w:tcPr>
            <w:tcW w:w="963" w:type="dxa"/>
          </w:tcPr>
          <w:p w14:paraId="1CFFA8F5" w14:textId="77777777" w:rsidR="00984623" w:rsidRPr="005B5418" w:rsidRDefault="00984623" w:rsidP="008848DA">
            <w:pPr>
              <w:pStyle w:val="Table-Cell-CenterBoldBefore6ptAfter6pt"/>
              <w:spacing w:before="60" w:after="60"/>
              <w:rPr>
                <w:rFonts w:cs="Arial"/>
                <w:lang w:val="pt-BR"/>
              </w:rPr>
            </w:pPr>
          </w:p>
        </w:tc>
        <w:tc>
          <w:tcPr>
            <w:tcW w:w="3220" w:type="dxa"/>
          </w:tcPr>
          <w:p w14:paraId="17018956" w14:textId="77777777" w:rsidR="00984623" w:rsidRPr="005B5418" w:rsidRDefault="00984623" w:rsidP="008848DA">
            <w:pPr>
              <w:spacing w:before="60" w:after="60" w:line="240" w:lineRule="auto"/>
              <w:rPr>
                <w:rFonts w:cs="Arial"/>
                <w:lang w:val="pt-BR"/>
              </w:rPr>
            </w:pPr>
          </w:p>
        </w:tc>
      </w:tr>
      <w:tr w:rsidR="00984623" w:rsidRPr="005B5418" w14:paraId="65FE8897" w14:textId="77777777" w:rsidTr="000355E7">
        <w:trPr>
          <w:gridAfter w:val="1"/>
          <w:wAfter w:w="19" w:type="dxa"/>
          <w:trHeight w:val="260"/>
        </w:trPr>
        <w:tc>
          <w:tcPr>
            <w:tcW w:w="9581" w:type="dxa"/>
            <w:gridSpan w:val="3"/>
          </w:tcPr>
          <w:p w14:paraId="4175F9D7" w14:textId="77777777" w:rsidR="00984623" w:rsidRPr="005B5418" w:rsidRDefault="00984623" w:rsidP="008848DA">
            <w:pPr>
              <w:spacing w:before="60" w:after="60" w:line="240" w:lineRule="auto"/>
              <w:rPr>
                <w:rFonts w:ascii="Arial" w:hAnsi="Arial" w:cs="Arial"/>
                <w:b/>
              </w:rPr>
            </w:pPr>
            <w:r w:rsidRPr="005B5418">
              <w:rPr>
                <w:rFonts w:ascii="Arial" w:hAnsi="Arial" w:cs="Arial"/>
                <w:b/>
              </w:rPr>
              <w:t>Disclosure</w:t>
            </w:r>
          </w:p>
        </w:tc>
      </w:tr>
      <w:tr w:rsidR="00984623" w:rsidRPr="005B5418" w:rsidDel="004A7372" w14:paraId="786FA0EE" w14:textId="77777777" w:rsidTr="00F47733">
        <w:trPr>
          <w:gridAfter w:val="1"/>
          <w:wAfter w:w="19" w:type="dxa"/>
          <w:trHeight w:val="2160"/>
        </w:trPr>
        <w:tc>
          <w:tcPr>
            <w:tcW w:w="5398" w:type="dxa"/>
          </w:tcPr>
          <w:p w14:paraId="70CB00BD"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cs="Arial"/>
              </w:rPr>
              <w:t>Does the entity disclose in the notes to the financial statements a general description of</w:t>
            </w:r>
          </w:p>
          <w:p w14:paraId="36E8447A" w14:textId="4435A80E"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the </w:t>
            </w:r>
            <w:r w:rsidR="000A0C1F" w:rsidRPr="005B5418">
              <w:rPr>
                <w:rFonts w:eastAsia="Arial Unicode MS" w:cs="Arial"/>
                <w:szCs w:val="22"/>
              </w:rPr>
              <w:t>PP&amp;E</w:t>
            </w:r>
            <w:r w:rsidRPr="005B5418">
              <w:rPr>
                <w:rFonts w:eastAsia="Arial Unicode MS" w:cs="Arial"/>
                <w:szCs w:val="22"/>
              </w:rPr>
              <w:t xml:space="preserve"> remaining in use for which an impairment loss is recognized,</w:t>
            </w:r>
          </w:p>
          <w:p w14:paraId="0797D2DE"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nature (e.g., damage or obsolescence) and amount of impairment, and</w:t>
            </w:r>
          </w:p>
          <w:p w14:paraId="66813A41" w14:textId="77777777" w:rsidR="00984623" w:rsidRPr="005B5418" w:rsidRDefault="00984623" w:rsidP="005425ED">
            <w:pPr>
              <w:pStyle w:val="FAM-Table-outline2"/>
              <w:numPr>
                <w:ilvl w:val="1"/>
                <w:numId w:val="1"/>
              </w:numPr>
              <w:tabs>
                <w:tab w:val="num" w:pos="576"/>
              </w:tabs>
              <w:spacing w:line="240" w:lineRule="auto"/>
              <w:ind w:left="1155" w:hanging="458"/>
              <w:rPr>
                <w:rFonts w:cs="Arial"/>
              </w:rPr>
            </w:pPr>
            <w:r w:rsidRPr="005B5418">
              <w:rPr>
                <w:rFonts w:eastAsia="Arial Unicode MS" w:cs="Arial"/>
                <w:szCs w:val="22"/>
              </w:rPr>
              <w:t>the financial statement classification of the impairment loss? (SFFAS 44, para. 21)</w:t>
            </w:r>
          </w:p>
        </w:tc>
        <w:tc>
          <w:tcPr>
            <w:tcW w:w="963" w:type="dxa"/>
          </w:tcPr>
          <w:p w14:paraId="06A4C4E1" w14:textId="77777777" w:rsidR="00984623" w:rsidRPr="005425ED" w:rsidDel="004A7372" w:rsidRDefault="00984623" w:rsidP="008848DA">
            <w:pPr>
              <w:pStyle w:val="Table-Cell-CenterBoldBefore6ptAfter6pt"/>
              <w:spacing w:before="60" w:after="60"/>
              <w:rPr>
                <w:rFonts w:cs="Arial"/>
              </w:rPr>
            </w:pPr>
          </w:p>
        </w:tc>
        <w:tc>
          <w:tcPr>
            <w:tcW w:w="3220" w:type="dxa"/>
          </w:tcPr>
          <w:p w14:paraId="7A21A97A" w14:textId="77777777" w:rsidR="00984623" w:rsidRPr="005425ED" w:rsidDel="004A7372" w:rsidRDefault="00984623" w:rsidP="008848DA">
            <w:pPr>
              <w:pStyle w:val="Table-Cell-Left"/>
              <w:spacing w:before="60" w:after="60" w:line="240" w:lineRule="auto"/>
              <w:rPr>
                <w:rFonts w:cs="Arial"/>
              </w:rPr>
            </w:pPr>
          </w:p>
        </w:tc>
      </w:tr>
      <w:tr w:rsidR="00984623" w:rsidRPr="005B5418" w:rsidDel="004A7372" w14:paraId="7E1A2711" w14:textId="77777777" w:rsidTr="00F47733">
        <w:trPr>
          <w:gridAfter w:val="1"/>
          <w:wAfter w:w="19" w:type="dxa"/>
          <w:trHeight w:val="1313"/>
        </w:trPr>
        <w:tc>
          <w:tcPr>
            <w:tcW w:w="5398" w:type="dxa"/>
          </w:tcPr>
          <w:p w14:paraId="6D7DD527" w14:textId="62347520" w:rsidR="00984623" w:rsidRPr="005B5418" w:rsidRDefault="00984623" w:rsidP="0049656C">
            <w:pPr>
              <w:pStyle w:val="FAM-Table-outline"/>
              <w:widowControl/>
              <w:numPr>
                <w:ilvl w:val="0"/>
                <w:numId w:val="13"/>
              </w:numPr>
              <w:adjustRightInd/>
              <w:spacing w:line="240" w:lineRule="auto"/>
              <w:textAlignment w:val="auto"/>
              <w:rPr>
                <w:rFonts w:cs="Arial"/>
              </w:rPr>
            </w:pPr>
            <w:r w:rsidRPr="005B5418">
              <w:rPr>
                <w:rFonts w:cs="Arial"/>
              </w:rPr>
              <w:t>Does the entity’s disclosure include a reference to deferred maintenance and repairs</w:t>
            </w:r>
            <w:r w:rsidR="007D129B" w:rsidRPr="005B5418">
              <w:rPr>
                <w:rFonts w:cs="Arial"/>
              </w:rPr>
              <w:t xml:space="preserve"> and </w:t>
            </w:r>
            <w:r w:rsidR="00F85CB7" w:rsidRPr="005B5418">
              <w:rPr>
                <w:rFonts w:cs="Arial"/>
              </w:rPr>
              <w:t xml:space="preserve">estimated </w:t>
            </w:r>
            <w:r w:rsidR="007D129B" w:rsidRPr="005B5418">
              <w:rPr>
                <w:rFonts w:cs="Arial"/>
              </w:rPr>
              <w:t>land acreage</w:t>
            </w:r>
            <w:r w:rsidRPr="005B5418">
              <w:rPr>
                <w:rFonts w:cs="Arial"/>
              </w:rPr>
              <w:t xml:space="preserve"> information reported in the required supplementary information? </w:t>
            </w:r>
            <w:r w:rsidR="007D129B" w:rsidRPr="005B5418">
              <w:rPr>
                <w:rFonts w:cs="Arial"/>
              </w:rPr>
              <w:t>(A-136, section II.3.8.10)</w:t>
            </w:r>
          </w:p>
        </w:tc>
        <w:tc>
          <w:tcPr>
            <w:tcW w:w="963" w:type="dxa"/>
          </w:tcPr>
          <w:p w14:paraId="0F671B67" w14:textId="77777777" w:rsidR="00984623" w:rsidRPr="005425ED" w:rsidDel="004A7372" w:rsidRDefault="00984623" w:rsidP="008848DA">
            <w:pPr>
              <w:pStyle w:val="Table-Cell-CenterBoldBefore6ptAfter6pt"/>
              <w:spacing w:before="60" w:after="60"/>
              <w:rPr>
                <w:rFonts w:cs="Arial"/>
              </w:rPr>
            </w:pPr>
          </w:p>
        </w:tc>
        <w:tc>
          <w:tcPr>
            <w:tcW w:w="3220" w:type="dxa"/>
          </w:tcPr>
          <w:p w14:paraId="0192F6FE" w14:textId="77777777" w:rsidR="00984623" w:rsidRPr="005425ED" w:rsidDel="004A7372" w:rsidRDefault="00984623" w:rsidP="008848DA">
            <w:pPr>
              <w:pStyle w:val="Table-Cell-Left"/>
              <w:spacing w:before="60" w:after="60" w:line="240" w:lineRule="auto"/>
              <w:rPr>
                <w:rFonts w:cs="Arial"/>
              </w:rPr>
            </w:pPr>
          </w:p>
        </w:tc>
      </w:tr>
      <w:tr w:rsidR="00984623" w:rsidRPr="005B5418" w:rsidDel="004A7372" w14:paraId="4A7BF4B3" w14:textId="77777777" w:rsidTr="00F47733">
        <w:trPr>
          <w:gridAfter w:val="1"/>
          <w:wAfter w:w="19" w:type="dxa"/>
          <w:trHeight w:val="1007"/>
        </w:trPr>
        <w:tc>
          <w:tcPr>
            <w:tcW w:w="5398" w:type="dxa"/>
          </w:tcPr>
          <w:p w14:paraId="4C59AB3E" w14:textId="77777777"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cs="Arial"/>
              </w:rPr>
              <w:t>Are the note disclosures made in the period the impairment loss is recognized? (SFFAS 44, para. 21)</w:t>
            </w:r>
          </w:p>
        </w:tc>
        <w:tc>
          <w:tcPr>
            <w:tcW w:w="963" w:type="dxa"/>
          </w:tcPr>
          <w:p w14:paraId="270B367A" w14:textId="77777777" w:rsidR="00984623" w:rsidRPr="005425ED" w:rsidDel="004A7372" w:rsidRDefault="00984623" w:rsidP="008848DA">
            <w:pPr>
              <w:pStyle w:val="Table-Cell-CenterBoldBefore6ptAfter6pt"/>
              <w:spacing w:before="60" w:after="60"/>
              <w:rPr>
                <w:rFonts w:cs="Arial"/>
              </w:rPr>
            </w:pPr>
          </w:p>
        </w:tc>
        <w:tc>
          <w:tcPr>
            <w:tcW w:w="3220" w:type="dxa"/>
          </w:tcPr>
          <w:p w14:paraId="7435AEB3" w14:textId="77777777" w:rsidR="00984623" w:rsidRPr="005425ED" w:rsidDel="004A7372" w:rsidRDefault="00984623" w:rsidP="008848DA">
            <w:pPr>
              <w:pStyle w:val="Table-Cell-Left"/>
              <w:spacing w:before="60" w:after="60" w:line="240" w:lineRule="auto"/>
              <w:rPr>
                <w:rFonts w:cs="Arial"/>
              </w:rPr>
            </w:pPr>
          </w:p>
        </w:tc>
      </w:tr>
      <w:tr w:rsidR="00984623" w:rsidRPr="005B5418" w14:paraId="0E0123A5" w14:textId="77777777" w:rsidTr="00F47733">
        <w:trPr>
          <w:gridAfter w:val="1"/>
          <w:wAfter w:w="19" w:type="dxa"/>
          <w:trHeight w:val="4580"/>
        </w:trPr>
        <w:tc>
          <w:tcPr>
            <w:tcW w:w="5398" w:type="dxa"/>
          </w:tcPr>
          <w:p w14:paraId="1067519E" w14:textId="6C5C6671"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cs="Arial"/>
              </w:rPr>
              <w:lastRenderedPageBreak/>
              <w:t xml:space="preserve">Does the entity’s disclosure of its </w:t>
            </w:r>
            <w:r w:rsidR="000A0C1F" w:rsidRPr="005B5418">
              <w:rPr>
                <w:rFonts w:cs="Arial"/>
              </w:rPr>
              <w:t>PP&amp;E</w:t>
            </w:r>
            <w:r w:rsidRPr="005B5418">
              <w:rPr>
                <w:rFonts w:cs="Arial"/>
              </w:rPr>
              <w:t xml:space="preserve"> include</w:t>
            </w:r>
          </w:p>
          <w:p w14:paraId="66B2E506" w14:textId="54B7BBFA"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cost, associated accumulated depreciation, and book value by major class</w:t>
            </w:r>
            <w:r w:rsidR="008C2E6E" w:rsidRPr="005B5418">
              <w:rPr>
                <w:rFonts w:eastAsia="Arial Unicode MS" w:cs="Arial"/>
                <w:szCs w:val="22"/>
              </w:rPr>
              <w:t>;</w:t>
            </w:r>
            <w:r w:rsidR="00064CF6" w:rsidRPr="00580CC4">
              <w:rPr>
                <w:rStyle w:val="FootnoteReference"/>
                <w:rFonts w:eastAsia="Arial Unicode MS"/>
              </w:rPr>
              <w:footnoteReference w:id="145"/>
            </w:r>
          </w:p>
          <w:p w14:paraId="7809141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use and general basis of any estimates used;</w:t>
            </w:r>
          </w:p>
          <w:p w14:paraId="0F5461F8"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estimated useful lives for each major class;</w:t>
            </w:r>
          </w:p>
          <w:p w14:paraId="333F0FC8"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method(s) of depreciation for each major class;</w:t>
            </w:r>
          </w:p>
          <w:p w14:paraId="154D3756"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capitalization threshold(s), including any changes in thresholds(s) during the period; and</w:t>
            </w:r>
          </w:p>
          <w:p w14:paraId="4E50A340" w14:textId="4B5117C0" w:rsidR="00984623" w:rsidRPr="005B5418" w:rsidRDefault="00984623" w:rsidP="005425ED">
            <w:pPr>
              <w:pStyle w:val="FAM-Table-outline2"/>
              <w:numPr>
                <w:ilvl w:val="1"/>
                <w:numId w:val="1"/>
              </w:numPr>
              <w:tabs>
                <w:tab w:val="num" w:pos="576"/>
              </w:tabs>
              <w:spacing w:line="240" w:lineRule="auto"/>
              <w:ind w:left="1155" w:hanging="458"/>
              <w:rPr>
                <w:rFonts w:cs="Arial"/>
                <w:lang w:val="pt-BR"/>
              </w:rPr>
            </w:pPr>
            <w:r w:rsidRPr="005B5418">
              <w:rPr>
                <w:rFonts w:eastAsia="Arial Unicode MS" w:cs="Arial"/>
                <w:szCs w:val="22"/>
              </w:rPr>
              <w:t xml:space="preserve">restrictions on the use or convertibility of </w:t>
            </w:r>
            <w:r w:rsidR="000A0C1F" w:rsidRPr="005B5418">
              <w:rPr>
                <w:rFonts w:eastAsia="Arial Unicode MS" w:cs="Arial"/>
                <w:szCs w:val="22"/>
              </w:rPr>
              <w:t>PP&amp;E</w:t>
            </w:r>
            <w:r w:rsidRPr="005B5418">
              <w:rPr>
                <w:rFonts w:eastAsia="Arial Unicode MS" w:cs="Arial"/>
                <w:szCs w:val="22"/>
              </w:rPr>
              <w:t>? (SFFAS 6, para. 45)</w:t>
            </w:r>
          </w:p>
        </w:tc>
        <w:tc>
          <w:tcPr>
            <w:tcW w:w="963" w:type="dxa"/>
          </w:tcPr>
          <w:p w14:paraId="0693B342" w14:textId="77777777" w:rsidR="00984623" w:rsidRPr="005B5418" w:rsidRDefault="00984623" w:rsidP="008848DA">
            <w:pPr>
              <w:pStyle w:val="Table-Cell-CenterBoldBefore6ptAfter6pt"/>
              <w:spacing w:before="60" w:after="60"/>
              <w:rPr>
                <w:rFonts w:cs="Arial"/>
                <w:lang w:val="pt-BR"/>
              </w:rPr>
            </w:pPr>
          </w:p>
        </w:tc>
        <w:tc>
          <w:tcPr>
            <w:tcW w:w="3220" w:type="dxa"/>
          </w:tcPr>
          <w:p w14:paraId="6B5098C1" w14:textId="77777777" w:rsidR="00984623" w:rsidRPr="005B5418" w:rsidRDefault="00984623" w:rsidP="008848DA">
            <w:pPr>
              <w:spacing w:before="60" w:after="60" w:line="240" w:lineRule="auto"/>
              <w:rPr>
                <w:rFonts w:cs="Arial"/>
                <w:lang w:val="pt-BR"/>
              </w:rPr>
            </w:pPr>
          </w:p>
        </w:tc>
      </w:tr>
      <w:tr w:rsidR="00984623" w:rsidRPr="005B5418" w:rsidDel="004A7372" w14:paraId="1A7099FD" w14:textId="77777777" w:rsidTr="00F47733">
        <w:trPr>
          <w:gridAfter w:val="1"/>
          <w:wAfter w:w="19" w:type="dxa"/>
          <w:trHeight w:val="1547"/>
        </w:trPr>
        <w:tc>
          <w:tcPr>
            <w:tcW w:w="5398" w:type="dxa"/>
          </w:tcPr>
          <w:p w14:paraId="5CC12A69" w14:textId="2892E0DC" w:rsidR="00984623" w:rsidRPr="005B5418" w:rsidRDefault="00984623" w:rsidP="00E51D94">
            <w:pPr>
              <w:pStyle w:val="FAM-Table-outline"/>
              <w:widowControl/>
              <w:numPr>
                <w:ilvl w:val="0"/>
                <w:numId w:val="13"/>
              </w:numPr>
              <w:adjustRightInd/>
              <w:spacing w:line="240" w:lineRule="auto"/>
              <w:textAlignment w:val="auto"/>
              <w:rPr>
                <w:rFonts w:cs="Arial"/>
              </w:rPr>
            </w:pPr>
            <w:r w:rsidRPr="005B5418">
              <w:rPr>
                <w:rFonts w:cs="Arial"/>
              </w:rPr>
              <w:t xml:space="preserve">Does the entity include a note disclosure explaining that additional information for the multi-use heritage assets (i.e., information not already disclosed within the </w:t>
            </w:r>
            <w:r w:rsidR="000A0C1F" w:rsidRPr="005B5418">
              <w:rPr>
                <w:rFonts w:cs="Arial"/>
              </w:rPr>
              <w:t>PP&amp;E</w:t>
            </w:r>
            <w:r w:rsidRPr="005B5418">
              <w:rPr>
                <w:rFonts w:cs="Arial"/>
              </w:rPr>
              <w:t xml:space="preserve"> note) is included in the </w:t>
            </w:r>
            <w:r w:rsidR="00E51D94" w:rsidRPr="005B5418">
              <w:rPr>
                <w:rFonts w:cs="Arial"/>
              </w:rPr>
              <w:t xml:space="preserve">stewardship </w:t>
            </w:r>
            <w:r w:rsidRPr="005B5418">
              <w:rPr>
                <w:rFonts w:cs="Arial"/>
              </w:rPr>
              <w:t>PP&amp;E note? (SFFAS 29, para. 27)</w:t>
            </w:r>
          </w:p>
        </w:tc>
        <w:tc>
          <w:tcPr>
            <w:tcW w:w="963" w:type="dxa"/>
          </w:tcPr>
          <w:p w14:paraId="7984E432" w14:textId="77777777" w:rsidR="00984623" w:rsidRPr="005B5418" w:rsidDel="004A7372" w:rsidRDefault="00984623" w:rsidP="008848DA">
            <w:pPr>
              <w:pStyle w:val="Table-Cell-CenterBoldBefore6ptAfter6pt"/>
              <w:spacing w:before="60" w:after="60"/>
              <w:rPr>
                <w:rFonts w:cs="Arial"/>
              </w:rPr>
            </w:pPr>
          </w:p>
        </w:tc>
        <w:tc>
          <w:tcPr>
            <w:tcW w:w="3220" w:type="dxa"/>
          </w:tcPr>
          <w:p w14:paraId="7A333B23" w14:textId="77777777" w:rsidR="00984623" w:rsidRPr="005B5418" w:rsidDel="004A7372" w:rsidRDefault="00984623" w:rsidP="008848DA">
            <w:pPr>
              <w:spacing w:before="60" w:after="60" w:line="240" w:lineRule="auto"/>
              <w:rPr>
                <w:rFonts w:cs="Arial"/>
              </w:rPr>
            </w:pPr>
          </w:p>
        </w:tc>
      </w:tr>
      <w:tr w:rsidR="00EA22BD" w:rsidRPr="005B5418" w:rsidDel="004A7372" w14:paraId="74B0CEEA" w14:textId="77777777" w:rsidTr="00F47733">
        <w:trPr>
          <w:trHeight w:val="1547"/>
        </w:trPr>
        <w:tc>
          <w:tcPr>
            <w:tcW w:w="5398" w:type="dxa"/>
          </w:tcPr>
          <w:p w14:paraId="1402901A" w14:textId="5896D5AE" w:rsidR="005066FA" w:rsidRPr="005B5418" w:rsidRDefault="005066FA" w:rsidP="002B71CE">
            <w:pPr>
              <w:pStyle w:val="FAM-Table-outline"/>
              <w:widowControl/>
              <w:numPr>
                <w:ilvl w:val="0"/>
                <w:numId w:val="13"/>
              </w:numPr>
              <w:tabs>
                <w:tab w:val="clear" w:pos="666"/>
                <w:tab w:val="num" w:pos="705"/>
              </w:tabs>
              <w:adjustRightInd/>
              <w:spacing w:line="240" w:lineRule="auto"/>
              <w:textAlignment w:val="auto"/>
            </w:pPr>
            <w:r w:rsidRPr="005B5418">
              <w:t xml:space="preserve">For </w:t>
            </w:r>
            <w:r w:rsidR="008C2E6E" w:rsidRPr="005B5418">
              <w:t>n</w:t>
            </w:r>
            <w:r w:rsidRPr="005B5418">
              <w:t>on-federal leases</w:t>
            </w:r>
            <w:r w:rsidR="008C2E6E" w:rsidRPr="005B5418">
              <w:t>,</w:t>
            </w:r>
            <w:r w:rsidRPr="005B5418">
              <w:rPr>
                <w:rStyle w:val="FootnoteReference"/>
                <w:bCs/>
              </w:rPr>
              <w:footnoteReference w:id="146"/>
            </w:r>
            <w:r w:rsidRPr="005B5418">
              <w:t xml:space="preserve"> does the </w:t>
            </w:r>
            <w:r w:rsidRPr="005B5418">
              <w:rPr>
                <w:b/>
              </w:rPr>
              <w:t>lessor</w:t>
            </w:r>
            <w:r w:rsidRPr="005B5418">
              <w:rPr>
                <w:rStyle w:val="FootnoteReference"/>
                <w:bCs/>
              </w:rPr>
              <w:footnoteReference w:id="147"/>
            </w:r>
            <w:r w:rsidRPr="005B5418">
              <w:rPr>
                <w:bCs/>
              </w:rPr>
              <w:t xml:space="preserve"> </w:t>
            </w:r>
            <w:r w:rsidRPr="005B5418">
              <w:t>disclose the carrying amount of assets on lease by major classes of assets and the amount of related accumulated depreciation?</w:t>
            </w:r>
          </w:p>
          <w:p w14:paraId="20909452" w14:textId="415F0099" w:rsidR="005066FA" w:rsidRPr="005B5418" w:rsidRDefault="005066FA" w:rsidP="00F47733">
            <w:pPr>
              <w:pStyle w:val="FAM-Table-outline"/>
              <w:widowControl/>
              <w:numPr>
                <w:ilvl w:val="0"/>
                <w:numId w:val="0"/>
              </w:numPr>
              <w:adjustRightInd/>
              <w:spacing w:line="240" w:lineRule="auto"/>
              <w:ind w:left="666"/>
              <w:textAlignment w:val="auto"/>
              <w:rPr>
                <w:rFonts w:cs="Arial"/>
              </w:rPr>
            </w:pPr>
            <w:r w:rsidRPr="005B5418">
              <w:t xml:space="preserve">(SFFAS 54, para. 67.b)   </w:t>
            </w:r>
          </w:p>
        </w:tc>
        <w:tc>
          <w:tcPr>
            <w:tcW w:w="963" w:type="dxa"/>
          </w:tcPr>
          <w:p w14:paraId="6596CC6D" w14:textId="77777777" w:rsidR="005066FA" w:rsidRPr="005B5418" w:rsidDel="004A7372" w:rsidRDefault="005066FA" w:rsidP="008848DA">
            <w:pPr>
              <w:pStyle w:val="Table-Cell-CenterBoldBefore6ptAfter6pt"/>
              <w:spacing w:before="60" w:after="60"/>
              <w:rPr>
                <w:rFonts w:cs="Arial"/>
              </w:rPr>
            </w:pPr>
          </w:p>
        </w:tc>
        <w:tc>
          <w:tcPr>
            <w:tcW w:w="3239" w:type="dxa"/>
            <w:gridSpan w:val="2"/>
          </w:tcPr>
          <w:p w14:paraId="652D6C1A" w14:textId="77777777" w:rsidR="005066FA" w:rsidRPr="005B5418" w:rsidDel="004A7372" w:rsidRDefault="005066FA" w:rsidP="008848DA">
            <w:pPr>
              <w:spacing w:before="60" w:after="60" w:line="240" w:lineRule="auto"/>
              <w:rPr>
                <w:rFonts w:cs="Arial"/>
              </w:rPr>
            </w:pPr>
          </w:p>
        </w:tc>
      </w:tr>
      <w:tr w:rsidR="00EA22BD" w:rsidRPr="005B5418" w:rsidDel="004A7372" w14:paraId="3931FDD0" w14:textId="77777777" w:rsidTr="00F47733">
        <w:trPr>
          <w:trHeight w:val="359"/>
        </w:trPr>
        <w:tc>
          <w:tcPr>
            <w:tcW w:w="5398" w:type="dxa"/>
          </w:tcPr>
          <w:p w14:paraId="666F73BA" w14:textId="13B31E89" w:rsidR="00170559" w:rsidRPr="005B5418" w:rsidRDefault="00170559" w:rsidP="00343610">
            <w:pPr>
              <w:pStyle w:val="FAM-Table-outline"/>
              <w:widowControl/>
              <w:numPr>
                <w:ilvl w:val="0"/>
                <w:numId w:val="13"/>
              </w:numPr>
              <w:adjustRightInd/>
              <w:spacing w:line="240" w:lineRule="auto"/>
              <w:textAlignment w:val="auto"/>
              <w:rPr>
                <w:rFonts w:cs="Arial"/>
              </w:rPr>
            </w:pPr>
            <w:r w:rsidRPr="005B5418">
              <w:rPr>
                <w:rFonts w:cs="Arial"/>
              </w:rPr>
              <w:t xml:space="preserve">For </w:t>
            </w:r>
            <w:r w:rsidR="008C2E6E" w:rsidRPr="005B5418">
              <w:rPr>
                <w:rFonts w:cs="Arial"/>
              </w:rPr>
              <w:t>non</w:t>
            </w:r>
            <w:r w:rsidR="00606B33" w:rsidRPr="005B5418">
              <w:rPr>
                <w:rFonts w:cs="Arial"/>
              </w:rPr>
              <w:t>-</w:t>
            </w:r>
            <w:r w:rsidR="008C2E6E" w:rsidRPr="005B5418">
              <w:rPr>
                <w:rFonts w:cs="Arial"/>
              </w:rPr>
              <w:t>f</w:t>
            </w:r>
            <w:r w:rsidRPr="005B5418">
              <w:rPr>
                <w:rFonts w:cs="Arial"/>
              </w:rPr>
              <w:t xml:space="preserve">ederal leases, does the </w:t>
            </w:r>
            <w:r w:rsidRPr="005B5418">
              <w:rPr>
                <w:rFonts w:cs="Arial"/>
                <w:b/>
                <w:bCs/>
              </w:rPr>
              <w:t xml:space="preserve">lessor </w:t>
            </w:r>
            <w:r w:rsidRPr="005B5418">
              <w:rPr>
                <w:rFonts w:cs="Arial"/>
              </w:rPr>
              <w:t>include cross</w:t>
            </w:r>
            <w:r w:rsidR="008C2E6E" w:rsidRPr="005B5418">
              <w:rPr>
                <w:rFonts w:cs="Arial"/>
              </w:rPr>
              <w:t>-</w:t>
            </w:r>
            <w:r w:rsidRPr="005B5418">
              <w:rPr>
                <w:rFonts w:cs="Arial"/>
              </w:rPr>
              <w:t xml:space="preserve">references to </w:t>
            </w:r>
            <w:r w:rsidR="006B7358" w:rsidRPr="005B5418">
              <w:rPr>
                <w:rFonts w:cs="Arial"/>
              </w:rPr>
              <w:t xml:space="preserve">the Other Assets and Leases </w:t>
            </w:r>
            <w:r w:rsidR="00606B33" w:rsidRPr="005B5418">
              <w:rPr>
                <w:rFonts w:cs="Arial"/>
              </w:rPr>
              <w:t>n</w:t>
            </w:r>
            <w:r w:rsidRPr="005B5418">
              <w:rPr>
                <w:rFonts w:cs="Arial"/>
              </w:rPr>
              <w:t>otes, if applicable? (A-136, section II.3.8.10)</w:t>
            </w:r>
          </w:p>
        </w:tc>
        <w:tc>
          <w:tcPr>
            <w:tcW w:w="963" w:type="dxa"/>
          </w:tcPr>
          <w:p w14:paraId="5CB7A666" w14:textId="77777777" w:rsidR="00170559" w:rsidRPr="005B5418" w:rsidDel="004A7372" w:rsidRDefault="00170559" w:rsidP="008848DA">
            <w:pPr>
              <w:pStyle w:val="Table-Cell-CenterBoldBefore6ptAfter6pt"/>
              <w:spacing w:before="60" w:after="60"/>
              <w:rPr>
                <w:rFonts w:cs="Arial"/>
              </w:rPr>
            </w:pPr>
          </w:p>
        </w:tc>
        <w:tc>
          <w:tcPr>
            <w:tcW w:w="3239" w:type="dxa"/>
            <w:gridSpan w:val="2"/>
          </w:tcPr>
          <w:p w14:paraId="0C776C40" w14:textId="77777777" w:rsidR="00170559" w:rsidRPr="005B5418" w:rsidDel="004A7372" w:rsidRDefault="00170559" w:rsidP="008848DA">
            <w:pPr>
              <w:spacing w:before="60" w:after="60" w:line="240" w:lineRule="auto"/>
              <w:rPr>
                <w:rFonts w:cs="Arial"/>
              </w:rPr>
            </w:pPr>
          </w:p>
        </w:tc>
      </w:tr>
      <w:tr w:rsidR="00984623" w:rsidRPr="005B5418" w:rsidDel="004A7372" w14:paraId="6025094A" w14:textId="77777777" w:rsidTr="00F47733">
        <w:trPr>
          <w:gridAfter w:val="1"/>
          <w:wAfter w:w="19" w:type="dxa"/>
          <w:trHeight w:val="359"/>
        </w:trPr>
        <w:tc>
          <w:tcPr>
            <w:tcW w:w="5398" w:type="dxa"/>
          </w:tcPr>
          <w:p w14:paraId="6CD04484" w14:textId="2F9E5902"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cs="Arial"/>
              </w:rPr>
              <w:t xml:space="preserve">If, during any of the periods presented, the entity initially elected to apply an alternative valuation method (i.e., deemed cost) in </w:t>
            </w:r>
            <w:r w:rsidRPr="005B5418">
              <w:rPr>
                <w:rFonts w:cs="Arial"/>
              </w:rPr>
              <w:lastRenderedPageBreak/>
              <w:t xml:space="preserve">establishing opening balances for one or more line items related to </w:t>
            </w:r>
            <w:r w:rsidR="000A0C1F" w:rsidRPr="005B5418">
              <w:rPr>
                <w:rFonts w:cs="Arial"/>
              </w:rPr>
              <w:t>PP&amp;E</w:t>
            </w:r>
            <w:r w:rsidRPr="005B5418">
              <w:rPr>
                <w:rFonts w:cs="Arial"/>
              </w:rPr>
              <w:t>,</w:t>
            </w:r>
            <w:r w:rsidRPr="005B5418">
              <w:rPr>
                <w:rFonts w:cs="Arial"/>
                <w:vertAlign w:val="superscript"/>
              </w:rPr>
              <w:footnoteReference w:id="148"/>
            </w:r>
            <w:r w:rsidRPr="005B5418">
              <w:rPr>
                <w:rFonts w:cs="Arial"/>
              </w:rPr>
              <w:t xml:space="preserve"> did the entity</w:t>
            </w:r>
          </w:p>
          <w:p w14:paraId="0CE17258"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disclose that it elected to apply an alternative valuation method;</w:t>
            </w:r>
          </w:p>
          <w:p w14:paraId="3FEC4D25"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describe the method used; and</w:t>
            </w:r>
          </w:p>
          <w:p w14:paraId="6758609A" w14:textId="0E905682" w:rsidR="00984623" w:rsidRPr="005B5418" w:rsidRDefault="00984623" w:rsidP="005425ED">
            <w:pPr>
              <w:pStyle w:val="FAM-Table-outline2"/>
              <w:numPr>
                <w:ilvl w:val="1"/>
                <w:numId w:val="1"/>
              </w:numPr>
              <w:tabs>
                <w:tab w:val="num" w:pos="576"/>
              </w:tabs>
              <w:spacing w:line="240" w:lineRule="auto"/>
              <w:ind w:left="1155" w:hanging="458"/>
              <w:rPr>
                <w:rFonts w:cs="Arial"/>
              </w:rPr>
            </w:pPr>
            <w:r w:rsidRPr="005B5418">
              <w:rPr>
                <w:rFonts w:eastAsia="Arial Unicode MS" w:cs="Arial"/>
                <w:szCs w:val="22"/>
              </w:rPr>
              <w:t>treat the election as a change in accounting principle by reporting the change in accordance with SFFAS 21, paragraph 13? SFFAS 6, paras. 40(h)(i) and 40(c))</w:t>
            </w:r>
            <w:r w:rsidRPr="005B5418">
              <w:rPr>
                <w:rFonts w:cs="Arial"/>
              </w:rPr>
              <w:t xml:space="preserve"> </w:t>
            </w:r>
          </w:p>
        </w:tc>
        <w:tc>
          <w:tcPr>
            <w:tcW w:w="963" w:type="dxa"/>
          </w:tcPr>
          <w:p w14:paraId="447EDDD2" w14:textId="77777777" w:rsidR="00984623" w:rsidRPr="005B5418" w:rsidDel="004A7372" w:rsidRDefault="00984623" w:rsidP="008848DA">
            <w:pPr>
              <w:pStyle w:val="Table-Cell-CenterBoldBefore6ptAfter6pt"/>
              <w:spacing w:before="60" w:after="60"/>
              <w:rPr>
                <w:rFonts w:cs="Arial"/>
              </w:rPr>
            </w:pPr>
          </w:p>
        </w:tc>
        <w:tc>
          <w:tcPr>
            <w:tcW w:w="3220" w:type="dxa"/>
          </w:tcPr>
          <w:p w14:paraId="52108E04" w14:textId="77777777" w:rsidR="00984623" w:rsidRPr="005B5418" w:rsidDel="004A7372" w:rsidRDefault="00984623" w:rsidP="008848DA">
            <w:pPr>
              <w:spacing w:before="60" w:after="60" w:line="240" w:lineRule="auto"/>
              <w:rPr>
                <w:rFonts w:cs="Arial"/>
              </w:rPr>
            </w:pPr>
          </w:p>
        </w:tc>
      </w:tr>
      <w:tr w:rsidR="00984623" w:rsidRPr="005B5418" w:rsidDel="004A7372" w14:paraId="535815A2" w14:textId="77777777" w:rsidTr="00F47733">
        <w:trPr>
          <w:gridAfter w:val="1"/>
          <w:wAfter w:w="19" w:type="dxa"/>
          <w:trHeight w:val="377"/>
        </w:trPr>
        <w:tc>
          <w:tcPr>
            <w:tcW w:w="5398" w:type="dxa"/>
          </w:tcPr>
          <w:p w14:paraId="07E253EC" w14:textId="137F67E5"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cs="Arial"/>
              </w:rPr>
              <w:t xml:space="preserve">If, during any of the periods presented, the entity initially elected to apply an alternative method by excluding one or more line items related to land and land rights from the opening balance of </w:t>
            </w:r>
            <w:r w:rsidR="000A0C1F" w:rsidRPr="005B5418">
              <w:rPr>
                <w:rFonts w:cs="Arial"/>
              </w:rPr>
              <w:t>PP&amp;E</w:t>
            </w:r>
            <w:r w:rsidRPr="005B5418">
              <w:rPr>
                <w:rFonts w:cs="Arial"/>
              </w:rPr>
              <w:t>, did the entity</w:t>
            </w:r>
          </w:p>
          <w:p w14:paraId="10BA37C4"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disclose that it elected to apply an alternative method;</w:t>
            </w:r>
          </w:p>
          <w:p w14:paraId="52FA0210"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describe the method used; and</w:t>
            </w:r>
          </w:p>
          <w:p w14:paraId="5C2E11ED" w14:textId="46AD63D3" w:rsidR="00984623" w:rsidRPr="005B5418" w:rsidRDefault="00984623" w:rsidP="005425ED">
            <w:pPr>
              <w:pStyle w:val="FAM-Table-outline2"/>
              <w:numPr>
                <w:ilvl w:val="1"/>
                <w:numId w:val="1"/>
              </w:numPr>
              <w:tabs>
                <w:tab w:val="num" w:pos="576"/>
              </w:tabs>
              <w:spacing w:line="240" w:lineRule="auto"/>
              <w:ind w:left="1155" w:hanging="458"/>
              <w:rPr>
                <w:rFonts w:cs="Arial"/>
              </w:rPr>
            </w:pPr>
            <w:r w:rsidRPr="005B5418">
              <w:rPr>
                <w:rFonts w:eastAsia="Arial Unicode MS" w:cs="Arial"/>
                <w:szCs w:val="22"/>
              </w:rPr>
              <w:t>treat the election as a change in accounting principle by reporting the change in accordance with SFFAS 21, paragraph 13? (SFFAS 6, paras. 40(h)(ii) and 40(c))</w:t>
            </w:r>
            <w:r w:rsidRPr="005B5418">
              <w:rPr>
                <w:rFonts w:cs="Arial"/>
              </w:rPr>
              <w:t xml:space="preserve"> </w:t>
            </w:r>
          </w:p>
        </w:tc>
        <w:tc>
          <w:tcPr>
            <w:tcW w:w="963" w:type="dxa"/>
          </w:tcPr>
          <w:p w14:paraId="6E72A370" w14:textId="77777777" w:rsidR="00984623" w:rsidRPr="005B5418" w:rsidDel="004A7372" w:rsidRDefault="00984623" w:rsidP="008848DA">
            <w:pPr>
              <w:pStyle w:val="Table-Cell-CenterBoldBefore6ptAfter6pt"/>
              <w:spacing w:before="60" w:after="60"/>
              <w:rPr>
                <w:rFonts w:cs="Arial"/>
              </w:rPr>
            </w:pPr>
          </w:p>
        </w:tc>
        <w:tc>
          <w:tcPr>
            <w:tcW w:w="3220" w:type="dxa"/>
          </w:tcPr>
          <w:p w14:paraId="3EF4E092" w14:textId="77777777" w:rsidR="00984623" w:rsidRPr="005B5418" w:rsidDel="004A7372" w:rsidRDefault="00984623" w:rsidP="008848DA">
            <w:pPr>
              <w:spacing w:before="60" w:after="60" w:line="240" w:lineRule="auto"/>
              <w:rPr>
                <w:rFonts w:cs="Arial"/>
              </w:rPr>
            </w:pPr>
          </w:p>
        </w:tc>
      </w:tr>
      <w:tr w:rsidR="00984623" w:rsidRPr="005B5418" w:rsidDel="004A7372" w14:paraId="0CE73A9E" w14:textId="77777777" w:rsidTr="00980A39">
        <w:trPr>
          <w:gridAfter w:val="1"/>
          <w:wAfter w:w="19" w:type="dxa"/>
          <w:trHeight w:val="791"/>
        </w:trPr>
        <w:tc>
          <w:tcPr>
            <w:tcW w:w="5398" w:type="dxa"/>
          </w:tcPr>
          <w:p w14:paraId="7542C476" w14:textId="2F3E89C4"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cs="Arial"/>
              </w:rPr>
              <w:t xml:space="preserve">If the entity elected to apply an alternative method by excluding land and land rights from the opening balance of </w:t>
            </w:r>
            <w:r w:rsidR="000A0C1F" w:rsidRPr="005B5418">
              <w:rPr>
                <w:rFonts w:cs="Arial"/>
              </w:rPr>
              <w:t>PP&amp;E</w:t>
            </w:r>
            <w:r w:rsidRPr="005B5418">
              <w:rPr>
                <w:rFonts w:cs="Arial"/>
              </w:rPr>
              <w:t>, did the entity do the following for excluded land:</w:t>
            </w:r>
          </w:p>
          <w:p w14:paraId="1D77D031" w14:textId="18ACD862"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reference a related disclosure on the face of the </w:t>
            </w:r>
            <w:r w:rsidR="001B5C17" w:rsidRPr="005B5418">
              <w:rPr>
                <w:rFonts w:eastAsia="Arial Unicode MS" w:cs="Arial"/>
                <w:szCs w:val="22"/>
              </w:rPr>
              <w:t>balance sheet</w:t>
            </w:r>
            <w:r w:rsidRPr="005B5418">
              <w:rPr>
                <w:rFonts w:eastAsia="Arial Unicode MS" w:cs="Arial"/>
                <w:szCs w:val="22"/>
              </w:rPr>
              <w:t xml:space="preserve"> and</w:t>
            </w:r>
          </w:p>
          <w:p w14:paraId="187A9BE1" w14:textId="77777777" w:rsidR="00984623" w:rsidRPr="005B5418" w:rsidRDefault="0098462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disclose for each reporting period</w:t>
            </w:r>
          </w:p>
          <w:p w14:paraId="32BAC36E" w14:textId="77777777" w:rsidR="00984623" w:rsidRPr="005B5418" w:rsidRDefault="00984623" w:rsidP="008848DA">
            <w:pPr>
              <w:pStyle w:val="FAM-Table-outline3"/>
              <w:widowControl/>
              <w:adjustRightInd/>
              <w:spacing w:before="60" w:after="60" w:line="240" w:lineRule="auto"/>
              <w:ind w:left="1419" w:hanging="375"/>
              <w:textAlignment w:val="auto"/>
              <w:rPr>
                <w:rFonts w:cs="Arial"/>
                <w:sz w:val="22"/>
                <w:szCs w:val="22"/>
              </w:rPr>
            </w:pPr>
            <w:r w:rsidRPr="005B5418">
              <w:rPr>
                <w:rFonts w:cs="Arial"/>
                <w:sz w:val="22"/>
                <w:szCs w:val="22"/>
              </w:rPr>
              <w:t>the number of acres held at the beginning of the period,</w:t>
            </w:r>
          </w:p>
          <w:p w14:paraId="41E831BF" w14:textId="77777777" w:rsidR="00984623" w:rsidRPr="005B5418" w:rsidRDefault="00984623" w:rsidP="008848DA">
            <w:pPr>
              <w:pStyle w:val="FAM-Table-outline3"/>
              <w:widowControl/>
              <w:adjustRightInd/>
              <w:spacing w:before="60" w:after="60" w:line="240" w:lineRule="auto"/>
              <w:ind w:left="1419" w:hanging="375"/>
              <w:textAlignment w:val="auto"/>
              <w:rPr>
                <w:rFonts w:cs="Arial"/>
                <w:sz w:val="22"/>
                <w:szCs w:val="22"/>
              </w:rPr>
            </w:pPr>
            <w:r w:rsidRPr="005B5418">
              <w:rPr>
                <w:rFonts w:cs="Arial"/>
                <w:sz w:val="22"/>
                <w:szCs w:val="22"/>
              </w:rPr>
              <w:t>the number of acres added during the period,</w:t>
            </w:r>
          </w:p>
          <w:p w14:paraId="03C93D9D" w14:textId="77777777" w:rsidR="00984623" w:rsidRPr="005B5418" w:rsidRDefault="00984623" w:rsidP="008848DA">
            <w:pPr>
              <w:pStyle w:val="FAM-Table-outline3"/>
              <w:widowControl/>
              <w:adjustRightInd/>
              <w:spacing w:before="60" w:after="60" w:line="240" w:lineRule="auto"/>
              <w:ind w:left="1419" w:hanging="375"/>
              <w:textAlignment w:val="auto"/>
              <w:rPr>
                <w:rFonts w:cs="Arial"/>
                <w:sz w:val="22"/>
                <w:szCs w:val="22"/>
              </w:rPr>
            </w:pPr>
            <w:r w:rsidRPr="005B5418">
              <w:rPr>
                <w:rFonts w:cs="Arial"/>
                <w:sz w:val="22"/>
                <w:szCs w:val="22"/>
              </w:rPr>
              <w:t>the number of acres disposed during the period, and</w:t>
            </w:r>
          </w:p>
          <w:p w14:paraId="5A4D5F9D" w14:textId="1B84D2DD" w:rsidR="00984623" w:rsidRPr="005B5418" w:rsidRDefault="00984623" w:rsidP="008848DA">
            <w:pPr>
              <w:pStyle w:val="FAM-Table-outline3"/>
              <w:widowControl/>
              <w:adjustRightInd/>
              <w:spacing w:before="60" w:after="60" w:line="240" w:lineRule="auto"/>
              <w:ind w:left="1419" w:hanging="375"/>
              <w:textAlignment w:val="auto"/>
              <w:rPr>
                <w:rFonts w:cs="Arial"/>
              </w:rPr>
            </w:pPr>
            <w:r w:rsidRPr="005B5418">
              <w:rPr>
                <w:rFonts w:cs="Arial"/>
                <w:sz w:val="22"/>
                <w:szCs w:val="22"/>
              </w:rPr>
              <w:lastRenderedPageBreak/>
              <w:t>the number of acres held at the end of the period? (SFFAS 6, para. 40(h)(ii))</w:t>
            </w:r>
          </w:p>
        </w:tc>
        <w:tc>
          <w:tcPr>
            <w:tcW w:w="963" w:type="dxa"/>
          </w:tcPr>
          <w:p w14:paraId="6559F0FC" w14:textId="77777777" w:rsidR="00984623" w:rsidRPr="005B5418" w:rsidDel="004A7372" w:rsidRDefault="00984623" w:rsidP="008848DA">
            <w:pPr>
              <w:pStyle w:val="Table-Cell-CenterBoldBefore6ptAfter6pt"/>
              <w:spacing w:before="60" w:after="60"/>
              <w:rPr>
                <w:rFonts w:cs="Arial"/>
              </w:rPr>
            </w:pPr>
          </w:p>
        </w:tc>
        <w:tc>
          <w:tcPr>
            <w:tcW w:w="3220" w:type="dxa"/>
          </w:tcPr>
          <w:p w14:paraId="467EE36A" w14:textId="77777777" w:rsidR="00984623" w:rsidRPr="005B5418" w:rsidDel="004A7372" w:rsidRDefault="00984623" w:rsidP="008848DA">
            <w:pPr>
              <w:spacing w:before="60" w:after="60" w:line="240" w:lineRule="auto"/>
              <w:rPr>
                <w:rFonts w:cs="Arial"/>
              </w:rPr>
            </w:pPr>
          </w:p>
        </w:tc>
      </w:tr>
      <w:tr w:rsidR="00984623" w:rsidRPr="005B5418" w:rsidDel="004A7372" w14:paraId="214FA43A" w14:textId="77777777" w:rsidTr="00F47733">
        <w:trPr>
          <w:gridAfter w:val="1"/>
          <w:wAfter w:w="19" w:type="dxa"/>
          <w:trHeight w:val="1880"/>
        </w:trPr>
        <w:tc>
          <w:tcPr>
            <w:tcW w:w="5398" w:type="dxa"/>
          </w:tcPr>
          <w:p w14:paraId="1DC08276" w14:textId="4AC21DDA" w:rsidR="00984623" w:rsidRPr="005B5418" w:rsidRDefault="00984623" w:rsidP="00343610">
            <w:pPr>
              <w:pStyle w:val="FAM-Table-outline"/>
              <w:widowControl/>
              <w:numPr>
                <w:ilvl w:val="0"/>
                <w:numId w:val="13"/>
              </w:numPr>
              <w:adjustRightInd/>
              <w:spacing w:line="240" w:lineRule="auto"/>
              <w:textAlignment w:val="auto"/>
              <w:rPr>
                <w:rFonts w:cs="Arial"/>
              </w:rPr>
            </w:pPr>
            <w:r w:rsidRPr="005B5418">
              <w:rPr>
                <w:rFonts w:cs="Arial"/>
              </w:rPr>
              <w:t>If different alternative methods are elected by subcomponent entities consolidated into the reporting entity for land and land rights, does the entity disclose the alternative method adopted by each significant subcomponent? (SFFAS 6, para. 40(h)(ii))</w:t>
            </w:r>
          </w:p>
        </w:tc>
        <w:tc>
          <w:tcPr>
            <w:tcW w:w="963" w:type="dxa"/>
          </w:tcPr>
          <w:p w14:paraId="7D59B225" w14:textId="77777777" w:rsidR="00984623" w:rsidRPr="005B5418" w:rsidDel="004A7372" w:rsidRDefault="00984623" w:rsidP="008848DA">
            <w:pPr>
              <w:pStyle w:val="Table-Cell-CenterBoldBefore6ptAfter6pt"/>
              <w:spacing w:before="60" w:after="60"/>
              <w:rPr>
                <w:rFonts w:cs="Arial"/>
              </w:rPr>
            </w:pPr>
          </w:p>
        </w:tc>
        <w:tc>
          <w:tcPr>
            <w:tcW w:w="3220" w:type="dxa"/>
          </w:tcPr>
          <w:p w14:paraId="75142801" w14:textId="77777777" w:rsidR="00984623" w:rsidRPr="005B5418" w:rsidDel="004A7372" w:rsidRDefault="00984623" w:rsidP="008848DA">
            <w:pPr>
              <w:spacing w:before="60" w:after="60" w:line="240" w:lineRule="auto"/>
              <w:rPr>
                <w:rFonts w:cs="Arial"/>
              </w:rPr>
            </w:pPr>
          </w:p>
        </w:tc>
      </w:tr>
      <w:tr w:rsidR="00984623" w:rsidRPr="005B5418" w:rsidDel="004A7372" w14:paraId="5A478967" w14:textId="77777777" w:rsidTr="007A7A92">
        <w:trPr>
          <w:gridAfter w:val="1"/>
          <w:wAfter w:w="19" w:type="dxa"/>
          <w:trHeight w:val="1241"/>
        </w:trPr>
        <w:tc>
          <w:tcPr>
            <w:tcW w:w="5398" w:type="dxa"/>
          </w:tcPr>
          <w:p w14:paraId="075C1446" w14:textId="0BDAB4DB" w:rsidR="00984623" w:rsidRPr="005B5418" w:rsidRDefault="00BE4095" w:rsidP="00343610">
            <w:pPr>
              <w:pStyle w:val="FAM-Table-outline"/>
              <w:numPr>
                <w:ilvl w:val="0"/>
                <w:numId w:val="13"/>
              </w:numPr>
              <w:spacing w:line="240" w:lineRule="auto"/>
              <w:rPr>
                <w:rFonts w:eastAsia="Arial Unicode MS"/>
              </w:rPr>
            </w:pPr>
            <w:r w:rsidRPr="005B5418">
              <w:rPr>
                <w:rFonts w:eastAsia="Arial Unicode MS"/>
              </w:rPr>
              <w:t>Does the entity disclose a reconciliation between the beginning and ending PP&amp;E, net amounts consistent with the illustrative reconciliation in A-136, section II.3.8.10?</w:t>
            </w:r>
            <w:r w:rsidRPr="005B5418">
              <w:rPr>
                <w:rStyle w:val="FootnoteReference"/>
                <w:rFonts w:cs="Arial"/>
              </w:rPr>
              <w:footnoteReference w:id="149"/>
            </w:r>
          </w:p>
          <w:p w14:paraId="73601917" w14:textId="6DB66426" w:rsidR="00984623" w:rsidRPr="005B5418" w:rsidRDefault="00984623" w:rsidP="007A7A92">
            <w:pPr>
              <w:pStyle w:val="FAM-Table-outline"/>
              <w:widowControl/>
              <w:numPr>
                <w:ilvl w:val="0"/>
                <w:numId w:val="0"/>
              </w:numPr>
              <w:adjustRightInd/>
              <w:spacing w:line="240" w:lineRule="auto"/>
              <w:ind w:left="90"/>
              <w:textAlignment w:val="auto"/>
              <w:rPr>
                <w:rFonts w:cs="Arial"/>
              </w:rPr>
            </w:pPr>
          </w:p>
        </w:tc>
        <w:tc>
          <w:tcPr>
            <w:tcW w:w="963" w:type="dxa"/>
          </w:tcPr>
          <w:p w14:paraId="48AF7174" w14:textId="77777777" w:rsidR="00984623" w:rsidRPr="005B5418" w:rsidDel="004A7372" w:rsidRDefault="00984623" w:rsidP="008848DA">
            <w:pPr>
              <w:pStyle w:val="Table-Cell-CenterBoldBefore6ptAfter6pt"/>
              <w:spacing w:before="60" w:after="60"/>
              <w:rPr>
                <w:rFonts w:cs="Arial"/>
              </w:rPr>
            </w:pPr>
          </w:p>
        </w:tc>
        <w:tc>
          <w:tcPr>
            <w:tcW w:w="3220" w:type="dxa"/>
          </w:tcPr>
          <w:p w14:paraId="0DA050C7" w14:textId="77777777" w:rsidR="00984623" w:rsidRPr="005B5418" w:rsidDel="004A7372" w:rsidRDefault="00984623" w:rsidP="008848DA">
            <w:pPr>
              <w:spacing w:before="60" w:after="60" w:line="240" w:lineRule="auto"/>
              <w:rPr>
                <w:rFonts w:cs="Arial"/>
              </w:rPr>
            </w:pPr>
          </w:p>
        </w:tc>
      </w:tr>
      <w:tr w:rsidR="0088655A" w:rsidRPr="005B5418" w14:paraId="61A8AB1A" w14:textId="77777777" w:rsidTr="001C373E">
        <w:tblPrEx>
          <w:tblCellMar>
            <w:left w:w="115" w:type="dxa"/>
            <w:right w:w="115" w:type="dxa"/>
          </w:tblCellMar>
          <w:tblLook w:val="0000" w:firstRow="0" w:lastRow="0" w:firstColumn="0" w:lastColumn="0" w:noHBand="0" w:noVBand="0"/>
        </w:tblPrEx>
        <w:trPr>
          <w:trHeight w:val="449"/>
        </w:trPr>
        <w:tc>
          <w:tcPr>
            <w:tcW w:w="9581" w:type="dxa"/>
            <w:gridSpan w:val="4"/>
          </w:tcPr>
          <w:p w14:paraId="27AE380A" w14:textId="77777777" w:rsidR="0088655A" w:rsidRPr="005B5418" w:rsidRDefault="0088655A" w:rsidP="001C373E">
            <w:pPr>
              <w:pStyle w:val="BodyTextIndent"/>
              <w:spacing w:before="60" w:after="60"/>
              <w:ind w:left="0"/>
              <w:rPr>
                <w:rFonts w:cs="Arial"/>
                <w:b/>
                <w:lang w:val="pt-BR"/>
              </w:rPr>
            </w:pPr>
            <w:r w:rsidRPr="005B5418">
              <w:rPr>
                <w:rFonts w:cs="Arial"/>
                <w:b/>
                <w:lang w:val="pt-BR"/>
              </w:rPr>
              <w:t>Right-to-use Lease Assets</w:t>
            </w:r>
          </w:p>
        </w:tc>
      </w:tr>
      <w:tr w:rsidR="0088655A" w:rsidRPr="005B5418" w14:paraId="1CD6A8DF" w14:textId="77777777" w:rsidTr="001C373E">
        <w:tblPrEx>
          <w:tblCellMar>
            <w:left w:w="115" w:type="dxa"/>
            <w:right w:w="115" w:type="dxa"/>
          </w:tblCellMar>
          <w:tblLook w:val="0000" w:firstRow="0" w:lastRow="0" w:firstColumn="0" w:lastColumn="0" w:noHBand="0" w:noVBand="0"/>
        </w:tblPrEx>
        <w:trPr>
          <w:trHeight w:val="98"/>
        </w:trPr>
        <w:tc>
          <w:tcPr>
            <w:tcW w:w="9581" w:type="dxa"/>
            <w:gridSpan w:val="4"/>
          </w:tcPr>
          <w:p w14:paraId="1EB8EBA0" w14:textId="77777777" w:rsidR="0088655A" w:rsidRPr="005B5418" w:rsidRDefault="0088655A" w:rsidP="001C373E">
            <w:pPr>
              <w:pStyle w:val="Default"/>
              <w:rPr>
                <w:rFonts w:ascii="Arial" w:hAnsi="Arial" w:cs="Arial"/>
                <w:sz w:val="22"/>
                <w:szCs w:val="22"/>
              </w:rPr>
            </w:pPr>
          </w:p>
          <w:p w14:paraId="3734112C" w14:textId="15B8B5AE" w:rsidR="0088655A" w:rsidRPr="005B5418" w:rsidRDefault="0088655A" w:rsidP="001C373E">
            <w:pPr>
              <w:autoSpaceDE w:val="0"/>
              <w:autoSpaceDN w:val="0"/>
              <w:adjustRightInd w:val="0"/>
              <w:spacing w:after="0" w:line="240" w:lineRule="auto"/>
              <w:rPr>
                <w:rFonts w:ascii="Arial" w:eastAsia="Times New Roman" w:hAnsi="Arial" w:cs="Arial"/>
              </w:rPr>
            </w:pPr>
            <w:r w:rsidRPr="005B5418">
              <w:rPr>
                <w:rFonts w:ascii="Arial" w:eastAsia="Times New Roman" w:hAnsi="Arial" w:cs="Arial"/>
              </w:rPr>
              <w:t xml:space="preserve">Lease arrangements unbundle the economic benefits and services embodied in leased property and give </w:t>
            </w:r>
            <w:r w:rsidRPr="005B5418">
              <w:rPr>
                <w:rFonts w:ascii="Arial" w:eastAsia="Times New Roman" w:hAnsi="Arial" w:cs="Arial"/>
                <w:b/>
              </w:rPr>
              <w:t>lessees</w:t>
            </w:r>
            <w:r w:rsidRPr="005B5418">
              <w:rPr>
                <w:rFonts w:ascii="Arial" w:eastAsia="Times New Roman" w:hAnsi="Arial" w:cs="Arial"/>
              </w:rPr>
              <w:t xml:space="preserve"> the intangible right to derive economic services and benefits from tangible assets underlying the lease, which, for non-federal leases, is represented by the recognition of the </w:t>
            </w:r>
            <w:r w:rsidRPr="005B5418">
              <w:rPr>
                <w:rFonts w:ascii="Arial" w:eastAsia="Times New Roman" w:hAnsi="Arial" w:cs="Arial"/>
                <w:b/>
              </w:rPr>
              <w:t>right-to-use lease asset</w:t>
            </w:r>
            <w:r w:rsidRPr="005B5418">
              <w:rPr>
                <w:rFonts w:ascii="Arial" w:eastAsia="Times New Roman" w:hAnsi="Arial" w:cs="Arial"/>
              </w:rPr>
              <w:t xml:space="preserve"> over the lease term. (</w:t>
            </w:r>
            <w:r w:rsidR="00C140EF" w:rsidRPr="005B5418">
              <w:rPr>
                <w:rFonts w:ascii="Arial" w:eastAsia="Times New Roman" w:hAnsi="Arial" w:cs="Arial"/>
              </w:rPr>
              <w:t>TR 20</w:t>
            </w:r>
            <w:r w:rsidRPr="005B5418">
              <w:rPr>
                <w:rFonts w:ascii="Arial" w:eastAsia="Times New Roman" w:hAnsi="Arial" w:cs="Arial"/>
              </w:rPr>
              <w:t xml:space="preserve">, para. 18) </w:t>
            </w:r>
          </w:p>
          <w:p w14:paraId="638399BA" w14:textId="77777777" w:rsidR="0088655A" w:rsidRPr="005B5418" w:rsidRDefault="0088655A" w:rsidP="001C373E">
            <w:pPr>
              <w:autoSpaceDE w:val="0"/>
              <w:autoSpaceDN w:val="0"/>
              <w:adjustRightInd w:val="0"/>
              <w:spacing w:after="0" w:line="240" w:lineRule="auto"/>
              <w:rPr>
                <w:rFonts w:ascii="Arial" w:eastAsia="Times New Roman" w:hAnsi="Arial" w:cs="Arial"/>
              </w:rPr>
            </w:pPr>
          </w:p>
          <w:p w14:paraId="4AAD5F1E" w14:textId="4EA57F03" w:rsidR="0088655A" w:rsidRPr="005B5418" w:rsidRDefault="0088655A" w:rsidP="001C373E">
            <w:pPr>
              <w:autoSpaceDE w:val="0"/>
              <w:autoSpaceDN w:val="0"/>
              <w:adjustRightInd w:val="0"/>
              <w:spacing w:after="0" w:line="240" w:lineRule="auto"/>
              <w:rPr>
                <w:rFonts w:ascii="Arial" w:eastAsia="Times New Roman" w:hAnsi="Arial" w:cs="Arial"/>
              </w:rPr>
            </w:pPr>
            <w:r w:rsidRPr="005B5418">
              <w:rPr>
                <w:rFonts w:ascii="Arial" w:eastAsia="Times New Roman" w:hAnsi="Arial" w:cs="Arial"/>
                <w:b/>
              </w:rPr>
              <w:t>Lessees</w:t>
            </w:r>
            <w:r w:rsidRPr="005B5418">
              <w:rPr>
                <w:rFonts w:ascii="Arial" w:eastAsia="Times New Roman" w:hAnsi="Arial" w:cs="Arial"/>
              </w:rPr>
              <w:t xml:space="preserve"> should provide disclosures on right-to-use lease assets required by paragraph 54 of SFFAS 54; they should not apply PP&amp;E disclosure requirements (in SFFAS 6) to their right-to-use lease assets. (</w:t>
            </w:r>
            <w:r w:rsidR="00C140EF" w:rsidRPr="005B5418">
              <w:rPr>
                <w:rFonts w:ascii="Arial" w:eastAsia="Times New Roman" w:hAnsi="Arial" w:cs="Arial"/>
              </w:rPr>
              <w:t>TR 20</w:t>
            </w:r>
            <w:r w:rsidRPr="005B5418">
              <w:rPr>
                <w:rFonts w:ascii="Arial" w:eastAsia="Times New Roman" w:hAnsi="Arial" w:cs="Arial"/>
              </w:rPr>
              <w:t xml:space="preserve">, para. 59; also see: SFFAS 54 </w:t>
            </w:r>
            <w:r w:rsidR="004B6E4A" w:rsidRPr="005B5418">
              <w:rPr>
                <w:rFonts w:ascii="Arial" w:eastAsia="Times New Roman" w:hAnsi="Arial" w:cs="Arial"/>
              </w:rPr>
              <w:t>para.</w:t>
            </w:r>
            <w:r w:rsidRPr="005B5418">
              <w:rPr>
                <w:rFonts w:ascii="Arial" w:eastAsia="Times New Roman" w:hAnsi="Arial" w:cs="Arial"/>
              </w:rPr>
              <w:t xml:space="preserve"> 66 and </w:t>
            </w:r>
            <w:r w:rsidR="00C140EF" w:rsidRPr="005B5418">
              <w:rPr>
                <w:rFonts w:ascii="Arial" w:eastAsia="Times New Roman" w:hAnsi="Arial" w:cs="Arial"/>
              </w:rPr>
              <w:t>TR 20</w:t>
            </w:r>
            <w:r w:rsidRPr="005B5418">
              <w:rPr>
                <w:rFonts w:ascii="Arial" w:eastAsia="Times New Roman" w:hAnsi="Arial" w:cs="Arial"/>
              </w:rPr>
              <w:t xml:space="preserve"> </w:t>
            </w:r>
            <w:r w:rsidR="004B6E4A" w:rsidRPr="005B5418">
              <w:rPr>
                <w:rFonts w:ascii="Arial" w:eastAsia="Times New Roman" w:hAnsi="Arial" w:cs="Arial"/>
              </w:rPr>
              <w:t>para.</w:t>
            </w:r>
            <w:r w:rsidRPr="005B5418">
              <w:rPr>
                <w:rFonts w:ascii="Arial" w:eastAsia="Times New Roman" w:hAnsi="Arial" w:cs="Arial"/>
              </w:rPr>
              <w:t xml:space="preserve"> 18).</w:t>
            </w:r>
          </w:p>
          <w:p w14:paraId="7826E6F9" w14:textId="77777777" w:rsidR="0088655A" w:rsidRPr="005B5418" w:rsidRDefault="0088655A" w:rsidP="001C373E">
            <w:pPr>
              <w:pStyle w:val="Table-Note"/>
              <w:spacing w:before="60" w:after="60" w:line="240" w:lineRule="auto"/>
              <w:ind w:left="0"/>
              <w:jc w:val="left"/>
              <w:rPr>
                <w:rFonts w:cs="Arial"/>
                <w:i w:val="0"/>
                <w:sz w:val="22"/>
                <w:szCs w:val="22"/>
              </w:rPr>
            </w:pPr>
          </w:p>
          <w:p w14:paraId="45E43779" w14:textId="3DE66A98" w:rsidR="00D14499" w:rsidRPr="005B5418" w:rsidRDefault="00D14499" w:rsidP="001C373E">
            <w:pPr>
              <w:pStyle w:val="Table-Note"/>
              <w:spacing w:before="60" w:after="60" w:line="240" w:lineRule="auto"/>
              <w:ind w:left="0"/>
              <w:jc w:val="left"/>
              <w:rPr>
                <w:rFonts w:cs="Arial"/>
                <w:i w:val="0"/>
                <w:sz w:val="22"/>
                <w:szCs w:val="22"/>
              </w:rPr>
            </w:pPr>
            <w:r w:rsidRPr="005B5418">
              <w:rPr>
                <w:rFonts w:cs="Arial"/>
                <w:i w:val="0"/>
                <w:sz w:val="22"/>
                <w:szCs w:val="22"/>
              </w:rPr>
              <w:t xml:space="preserve">Entities with contracts or agreements that meet the criteria to use the transitional accommodation should refer to </w:t>
            </w:r>
            <w:r w:rsidR="00F7207F" w:rsidRPr="005B5418">
              <w:rPr>
                <w:rFonts w:cs="Arial"/>
                <w:i w:val="0"/>
                <w:sz w:val="22"/>
                <w:szCs w:val="22"/>
              </w:rPr>
              <w:t>SFFAS 54, paras. 96A–96C.</w:t>
            </w:r>
          </w:p>
          <w:p w14:paraId="0777DFF0" w14:textId="77777777" w:rsidR="0088655A" w:rsidRPr="005B5418" w:rsidRDefault="0088655A" w:rsidP="001C373E">
            <w:pPr>
              <w:pStyle w:val="Table-Note"/>
              <w:spacing w:before="60" w:after="60" w:line="240" w:lineRule="auto"/>
              <w:ind w:left="0"/>
              <w:jc w:val="left"/>
              <w:rPr>
                <w:rFonts w:cs="Arial"/>
                <w:i w:val="0"/>
                <w:sz w:val="22"/>
                <w:szCs w:val="22"/>
              </w:rPr>
            </w:pPr>
          </w:p>
        </w:tc>
      </w:tr>
      <w:tr w:rsidR="00402C67" w:rsidRPr="005B5418" w14:paraId="1C8678DA"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72192CB4" w14:textId="77777777" w:rsidR="0088655A" w:rsidRPr="005B5418" w:rsidRDefault="0088655A" w:rsidP="001C373E">
            <w:pPr>
              <w:pStyle w:val="FAM-Table-outline"/>
              <w:numPr>
                <w:ilvl w:val="0"/>
                <w:numId w:val="13"/>
              </w:numPr>
            </w:pPr>
            <w:r w:rsidRPr="005B5418">
              <w:t>Are right-to-use lease assets applicable to the entity’s financial statements? (Answer Y if applicable, N/A if not applicable, or N/S if not significant. If N/A or N/S, skip to the next topic.)</w:t>
            </w:r>
          </w:p>
        </w:tc>
        <w:tc>
          <w:tcPr>
            <w:tcW w:w="963" w:type="dxa"/>
          </w:tcPr>
          <w:p w14:paraId="4AD4F059"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66156304" w14:textId="77777777" w:rsidR="0088655A" w:rsidRPr="005B5418" w:rsidRDefault="0088655A" w:rsidP="001C373E">
            <w:pPr>
              <w:pStyle w:val="BodyTextIndent"/>
              <w:spacing w:before="60" w:after="60"/>
              <w:rPr>
                <w:rFonts w:cs="Arial"/>
                <w:lang w:val="pt-BR"/>
              </w:rPr>
            </w:pPr>
          </w:p>
        </w:tc>
      </w:tr>
      <w:tr w:rsidR="0088655A" w:rsidRPr="005B5418" w14:paraId="5952642A" w14:textId="77777777" w:rsidTr="001C373E">
        <w:tblPrEx>
          <w:tblCellMar>
            <w:left w:w="115" w:type="dxa"/>
            <w:right w:w="115" w:type="dxa"/>
          </w:tblCellMar>
          <w:tblLook w:val="0000" w:firstRow="0" w:lastRow="0" w:firstColumn="0" w:lastColumn="0" w:noHBand="0" w:noVBand="0"/>
        </w:tblPrEx>
        <w:trPr>
          <w:trHeight w:val="359"/>
        </w:trPr>
        <w:tc>
          <w:tcPr>
            <w:tcW w:w="9581" w:type="dxa"/>
            <w:gridSpan w:val="4"/>
          </w:tcPr>
          <w:p w14:paraId="3FE54344" w14:textId="77777777" w:rsidR="0088655A" w:rsidRPr="005B5418" w:rsidRDefault="0088655A" w:rsidP="001C373E">
            <w:pPr>
              <w:pStyle w:val="BodyTextIndent"/>
              <w:spacing w:before="60" w:after="60"/>
              <w:rPr>
                <w:rFonts w:cs="Arial"/>
                <w:lang w:val="pt-BR"/>
              </w:rPr>
            </w:pPr>
            <w:r w:rsidRPr="005B5418">
              <w:rPr>
                <w:rFonts w:cs="Arial"/>
                <w:b/>
                <w:lang w:val="pt-BR"/>
              </w:rPr>
              <w:t>Accounting</w:t>
            </w:r>
          </w:p>
        </w:tc>
      </w:tr>
      <w:tr w:rsidR="00402C67" w:rsidRPr="005B5418" w14:paraId="5401E867"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48D97EA4"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pPr>
            <w:r w:rsidRPr="005B5418">
              <w:lastRenderedPageBreak/>
              <w:t xml:space="preserve">Does the </w:t>
            </w:r>
            <w:r w:rsidRPr="005B5418">
              <w:rPr>
                <w:b/>
              </w:rPr>
              <w:t>lessee</w:t>
            </w:r>
            <w:r w:rsidRPr="005B5418">
              <w:t xml:space="preserve"> initially measure the right-to-use lease asset as the sum of the following:</w:t>
            </w:r>
          </w:p>
          <w:p w14:paraId="5ADC3C2F" w14:textId="77777777" w:rsidR="0088655A" w:rsidRPr="005B5418" w:rsidRDefault="0088655A" w:rsidP="00D14499">
            <w:pPr>
              <w:pStyle w:val="FAM-Table-outline2"/>
              <w:widowControl/>
              <w:numPr>
                <w:ilvl w:val="0"/>
                <w:numId w:val="0"/>
              </w:numPr>
              <w:tabs>
                <w:tab w:val="left" w:pos="720"/>
              </w:tabs>
              <w:adjustRightInd/>
              <w:spacing w:line="240" w:lineRule="auto"/>
              <w:ind w:left="611"/>
              <w:rPr>
                <w:color w:val="auto"/>
              </w:rPr>
            </w:pPr>
            <w:r w:rsidRPr="005B5418">
              <w:t xml:space="preserve">a) The amount of </w:t>
            </w:r>
            <w:r w:rsidRPr="005B5418">
              <w:rPr>
                <w:color w:val="auto"/>
              </w:rPr>
              <w:t xml:space="preserve">the initial measurement of the lease liability </w:t>
            </w:r>
          </w:p>
          <w:p w14:paraId="4DFDB269" w14:textId="77777777" w:rsidR="0088655A" w:rsidRPr="005B5418" w:rsidRDefault="0088655A" w:rsidP="00F7207F">
            <w:pPr>
              <w:pStyle w:val="FAM-Table-outline2"/>
              <w:numPr>
                <w:ilvl w:val="0"/>
                <w:numId w:val="0"/>
              </w:numPr>
              <w:tabs>
                <w:tab w:val="left" w:pos="720"/>
              </w:tabs>
              <w:spacing w:line="240" w:lineRule="auto"/>
              <w:ind w:left="611"/>
              <w:rPr>
                <w:color w:val="auto"/>
              </w:rPr>
            </w:pPr>
            <w:r w:rsidRPr="005B5418">
              <w:rPr>
                <w:color w:val="auto"/>
              </w:rPr>
              <w:t>b) Lease payments made to the lessor at or before the commencement of the lease term less any lease incentives received from the lessor (including advance received)</w:t>
            </w:r>
          </w:p>
          <w:p w14:paraId="18B25019" w14:textId="77777777" w:rsidR="0088655A" w:rsidRPr="005B5418" w:rsidRDefault="0088655A" w:rsidP="00F7207F">
            <w:pPr>
              <w:pStyle w:val="FAM-Table-outline2"/>
              <w:numPr>
                <w:ilvl w:val="0"/>
                <w:numId w:val="0"/>
              </w:numPr>
              <w:tabs>
                <w:tab w:val="left" w:pos="720"/>
              </w:tabs>
              <w:spacing w:line="240" w:lineRule="auto"/>
              <w:ind w:left="611"/>
            </w:pPr>
            <w:r w:rsidRPr="005B5418">
              <w:t xml:space="preserve">c) Initial direct lease costs that are necessary to place the right-to-use lease asset into service? </w:t>
            </w:r>
          </w:p>
          <w:p w14:paraId="0BB77C6B" w14:textId="160DE71D" w:rsidR="0088655A" w:rsidRPr="005B5418" w:rsidRDefault="0088655A" w:rsidP="00F7207F">
            <w:pPr>
              <w:pStyle w:val="FAM-Table-outline2"/>
              <w:numPr>
                <w:ilvl w:val="0"/>
                <w:numId w:val="0"/>
              </w:numPr>
              <w:tabs>
                <w:tab w:val="left" w:pos="720"/>
              </w:tabs>
              <w:spacing w:line="240" w:lineRule="auto"/>
              <w:ind w:left="611"/>
              <w:rPr>
                <w:color w:val="auto"/>
              </w:rPr>
            </w:pPr>
            <w:r w:rsidRPr="005B5418">
              <w:t xml:space="preserve">(SFFAS 54, para. 49; also see </w:t>
            </w:r>
            <w:r w:rsidR="00C140EF" w:rsidRPr="005B5418">
              <w:t>TR 20</w:t>
            </w:r>
            <w:r w:rsidRPr="005B5418">
              <w:t>, para. 54, 74, &amp; 76)</w:t>
            </w:r>
          </w:p>
        </w:tc>
        <w:tc>
          <w:tcPr>
            <w:tcW w:w="963" w:type="dxa"/>
          </w:tcPr>
          <w:p w14:paraId="192CC43A"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6570B71D" w14:textId="77777777" w:rsidR="0088655A" w:rsidRPr="005B5418" w:rsidRDefault="0088655A" w:rsidP="001C373E">
            <w:pPr>
              <w:pStyle w:val="BodyTextIndent"/>
              <w:spacing w:before="60" w:after="60"/>
              <w:rPr>
                <w:rFonts w:cs="Arial"/>
                <w:lang w:val="pt-BR"/>
              </w:rPr>
            </w:pPr>
          </w:p>
        </w:tc>
      </w:tr>
      <w:tr w:rsidR="00402C67" w:rsidRPr="005B5418" w14:paraId="5FED2AD4"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6888722F" w14:textId="3F453E1F"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pPr>
            <w:r w:rsidRPr="005B5418">
              <w:t xml:space="preserve">Does the </w:t>
            </w:r>
            <w:r w:rsidRPr="005B5418">
              <w:rPr>
                <w:b/>
              </w:rPr>
              <w:t xml:space="preserve">lessee </w:t>
            </w:r>
            <w:r w:rsidRPr="005B5418">
              <w:t xml:space="preserve">amortize the right-to-use lease asset in a systematic and rational manner over the shorter of the lease term or the useful life of the underlying asset, except as provided in SFFAS 54, </w:t>
            </w:r>
            <w:r w:rsidR="004B6E4A" w:rsidRPr="005B5418">
              <w:t>para.</w:t>
            </w:r>
            <w:r w:rsidRPr="005B5418">
              <w:t xml:space="preserve"> 51? </w:t>
            </w:r>
            <w:r w:rsidRPr="005B5418">
              <w:rPr>
                <w:color w:val="auto"/>
              </w:rPr>
              <w:t xml:space="preserve">(SFFAS 54, para. 50; also see </w:t>
            </w:r>
            <w:r w:rsidR="00C140EF" w:rsidRPr="005B5418">
              <w:rPr>
                <w:color w:val="auto"/>
              </w:rPr>
              <w:t>TR 20</w:t>
            </w:r>
            <w:r w:rsidRPr="005B5418">
              <w:rPr>
                <w:color w:val="auto"/>
              </w:rPr>
              <w:t>, para. 55)</w:t>
            </w:r>
          </w:p>
        </w:tc>
        <w:tc>
          <w:tcPr>
            <w:tcW w:w="963" w:type="dxa"/>
          </w:tcPr>
          <w:p w14:paraId="55916910"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46786B8B" w14:textId="77777777" w:rsidR="0088655A" w:rsidRPr="005B5418" w:rsidRDefault="0088655A" w:rsidP="001C373E">
            <w:pPr>
              <w:pStyle w:val="BodyTextIndent"/>
              <w:spacing w:before="60" w:after="60"/>
              <w:rPr>
                <w:rFonts w:cs="Arial"/>
                <w:lang w:val="pt-BR"/>
              </w:rPr>
            </w:pPr>
          </w:p>
        </w:tc>
      </w:tr>
      <w:tr w:rsidR="00402C67" w:rsidRPr="005B5418" w14:paraId="2A588B5D" w14:textId="77777777" w:rsidTr="001C373E">
        <w:tblPrEx>
          <w:tblCellMar>
            <w:left w:w="115" w:type="dxa"/>
            <w:right w:w="115" w:type="dxa"/>
          </w:tblCellMar>
          <w:tblLook w:val="0000" w:firstRow="0" w:lastRow="0" w:firstColumn="0" w:lastColumn="0" w:noHBand="0" w:noVBand="0"/>
        </w:tblPrEx>
        <w:trPr>
          <w:trHeight w:val="962"/>
        </w:trPr>
        <w:tc>
          <w:tcPr>
            <w:tcW w:w="5398" w:type="dxa"/>
          </w:tcPr>
          <w:p w14:paraId="0991ECF1"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pPr>
            <w:r w:rsidRPr="005B5418">
              <w:t xml:space="preserve">Does the </w:t>
            </w:r>
            <w:r w:rsidRPr="005B5418">
              <w:rPr>
                <w:b/>
              </w:rPr>
              <w:t xml:space="preserve">lessee </w:t>
            </w:r>
            <w:r w:rsidRPr="005B5418">
              <w:t xml:space="preserve">recognize the amortization of the right-to-use lease asset as amortization expense? </w:t>
            </w:r>
            <w:r w:rsidRPr="005B5418">
              <w:rPr>
                <w:color w:val="auto"/>
              </w:rPr>
              <w:t>(SFFAS 54, para. 50)</w:t>
            </w:r>
          </w:p>
        </w:tc>
        <w:tc>
          <w:tcPr>
            <w:tcW w:w="963" w:type="dxa"/>
          </w:tcPr>
          <w:p w14:paraId="3E3B7D84"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0B4B11FD" w14:textId="77777777" w:rsidR="0088655A" w:rsidRPr="005B5418" w:rsidRDefault="0088655A" w:rsidP="001C373E">
            <w:pPr>
              <w:pStyle w:val="BodyTextIndent"/>
              <w:spacing w:before="60" w:after="60"/>
              <w:rPr>
                <w:rFonts w:cs="Arial"/>
                <w:lang w:val="pt-BR"/>
              </w:rPr>
            </w:pPr>
          </w:p>
        </w:tc>
      </w:tr>
      <w:tr w:rsidR="00402C67" w:rsidRPr="005B5418" w14:paraId="336D69EA"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79949AC3" w14:textId="21D46452"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pPr>
            <w:r w:rsidRPr="005B5418">
              <w:t xml:space="preserve">If a lease contains a purchase option that the lessee has determined is probable of being exercised, does the </w:t>
            </w:r>
            <w:r w:rsidRPr="005B5418">
              <w:rPr>
                <w:b/>
              </w:rPr>
              <w:t xml:space="preserve">lessee </w:t>
            </w:r>
            <w:r w:rsidRPr="005B5418">
              <w:t xml:space="preserve">amortize the right-to-use lease asset over the useful life of the underlying asset if the underlying asset is capitalizable and depreciable? </w:t>
            </w:r>
            <w:r w:rsidRPr="005B5418">
              <w:rPr>
                <w:color w:val="auto"/>
              </w:rPr>
              <w:t xml:space="preserve">(SFFAS 54, para. 51; also see </w:t>
            </w:r>
            <w:r w:rsidR="00C140EF" w:rsidRPr="005B5418">
              <w:rPr>
                <w:color w:val="auto"/>
              </w:rPr>
              <w:t>TR 20</w:t>
            </w:r>
            <w:r w:rsidRPr="005B5418">
              <w:rPr>
                <w:color w:val="auto"/>
              </w:rPr>
              <w:t>, para. 57)</w:t>
            </w:r>
          </w:p>
        </w:tc>
        <w:tc>
          <w:tcPr>
            <w:tcW w:w="963" w:type="dxa"/>
          </w:tcPr>
          <w:p w14:paraId="55021D08"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4D208EDA" w14:textId="77777777" w:rsidR="0088655A" w:rsidRPr="005B5418" w:rsidRDefault="0088655A" w:rsidP="001C373E">
            <w:pPr>
              <w:pStyle w:val="BodyTextIndent"/>
              <w:spacing w:before="60" w:after="60"/>
              <w:rPr>
                <w:rFonts w:cs="Arial"/>
                <w:lang w:val="pt-BR"/>
              </w:rPr>
            </w:pPr>
          </w:p>
        </w:tc>
      </w:tr>
      <w:tr w:rsidR="00402C67" w:rsidRPr="005B5418" w14:paraId="24CA3A87"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462B14E6"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pPr>
            <w:r w:rsidRPr="005B5418">
              <w:t xml:space="preserve">If a lease contains a purchase option that the lessee has determined is probable of being exercised, does the </w:t>
            </w:r>
            <w:r w:rsidRPr="005B5418">
              <w:rPr>
                <w:b/>
              </w:rPr>
              <w:t xml:space="preserve">lessee </w:t>
            </w:r>
            <w:r w:rsidRPr="005B5418">
              <w:t xml:space="preserve">refrain from amortizing the right-to-use lease asset if the underlying asset will be capitalizable and nondepreciable? </w:t>
            </w:r>
            <w:r w:rsidRPr="005B5418">
              <w:rPr>
                <w:color w:val="auto"/>
              </w:rPr>
              <w:t>(SFFAS 54, para. 51)</w:t>
            </w:r>
          </w:p>
        </w:tc>
        <w:tc>
          <w:tcPr>
            <w:tcW w:w="963" w:type="dxa"/>
          </w:tcPr>
          <w:p w14:paraId="7DCD8DBF"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51C3E28E" w14:textId="77777777" w:rsidR="0088655A" w:rsidRPr="005B5418" w:rsidRDefault="0088655A" w:rsidP="001C373E">
            <w:pPr>
              <w:pStyle w:val="BodyTextIndent"/>
              <w:spacing w:before="60" w:after="60"/>
              <w:rPr>
                <w:rFonts w:cs="Arial"/>
                <w:lang w:val="pt-BR"/>
              </w:rPr>
            </w:pPr>
          </w:p>
        </w:tc>
      </w:tr>
      <w:tr w:rsidR="00402C67" w:rsidRPr="005B5418" w14:paraId="2FBE9F3B"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75BF19E3" w14:textId="394B03CF"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pPr>
            <w:r w:rsidRPr="005B5418">
              <w:t xml:space="preserve">If the underlying asset will be non-capitalizable in the reporting period the purchase option is expected to be exercised, does the </w:t>
            </w:r>
            <w:r w:rsidRPr="005B5418">
              <w:rPr>
                <w:b/>
              </w:rPr>
              <w:t xml:space="preserve">lessee </w:t>
            </w:r>
            <w:r w:rsidRPr="005B5418">
              <w:t>amortize the right-to-use lease asset over the remaining lease term?</w:t>
            </w:r>
            <w:r w:rsidR="00A937A5" w:rsidRPr="005B5418">
              <w:rPr>
                <w:rStyle w:val="FootnoteReference"/>
              </w:rPr>
              <w:footnoteReference w:id="150"/>
            </w:r>
            <w:r w:rsidRPr="005B5418">
              <w:t xml:space="preserve"> </w:t>
            </w:r>
            <w:r w:rsidRPr="005B5418">
              <w:rPr>
                <w:color w:val="auto"/>
              </w:rPr>
              <w:t>(SFFAS 54, para. 51)</w:t>
            </w:r>
          </w:p>
        </w:tc>
        <w:tc>
          <w:tcPr>
            <w:tcW w:w="963" w:type="dxa"/>
          </w:tcPr>
          <w:p w14:paraId="3F511985"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254CC721" w14:textId="77777777" w:rsidR="0088655A" w:rsidRPr="005B5418" w:rsidRDefault="0088655A" w:rsidP="001C373E">
            <w:pPr>
              <w:pStyle w:val="BodyTextIndent"/>
              <w:spacing w:before="60" w:after="60"/>
              <w:rPr>
                <w:rFonts w:cs="Arial"/>
                <w:lang w:val="pt-BR"/>
              </w:rPr>
            </w:pPr>
          </w:p>
        </w:tc>
      </w:tr>
      <w:tr w:rsidR="00402C67" w:rsidRPr="005B5418" w14:paraId="08B1A59E"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026F1D6E" w14:textId="7AF64E5D"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pPr>
            <w:r w:rsidRPr="005B5418">
              <w:lastRenderedPageBreak/>
              <w:t xml:space="preserve">Is the right-to-use lease asset adjusted by the same amount when the lease liability is remeasured based on SFFAS 54, </w:t>
            </w:r>
            <w:r w:rsidR="004B6E4A" w:rsidRPr="005B5418">
              <w:t>para.</w:t>
            </w:r>
            <w:r w:rsidRPr="005B5418">
              <w:t xml:space="preserve"> 44-48; or if adjustment of the right-to-use lease asset reduces the carrying value to zero, is any remaining amount reported in the statement of net cost as a gain?  </w:t>
            </w:r>
            <w:r w:rsidRPr="005B5418">
              <w:rPr>
                <w:color w:val="auto"/>
              </w:rPr>
              <w:t>(SFFAS 54, para. 52)</w:t>
            </w:r>
          </w:p>
        </w:tc>
        <w:tc>
          <w:tcPr>
            <w:tcW w:w="963" w:type="dxa"/>
          </w:tcPr>
          <w:p w14:paraId="7BC8B1C4"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5D589DDF" w14:textId="77777777" w:rsidR="0088655A" w:rsidRPr="005B5418" w:rsidRDefault="0088655A" w:rsidP="001C373E">
            <w:pPr>
              <w:pStyle w:val="BodyTextIndent"/>
              <w:spacing w:before="60" w:after="60"/>
              <w:rPr>
                <w:rFonts w:cs="Arial"/>
                <w:lang w:val="pt-BR"/>
              </w:rPr>
            </w:pPr>
          </w:p>
        </w:tc>
      </w:tr>
      <w:tr w:rsidR="00402C67" w:rsidRPr="005B5418" w14:paraId="7A237DBC"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336AEC0A" w14:textId="7103AB36"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pPr>
            <w:r w:rsidRPr="005B5418">
              <w:t xml:space="preserve">If the right-to-use lease asset is impaired, does the </w:t>
            </w:r>
            <w:r w:rsidRPr="005B5418">
              <w:rPr>
                <w:b/>
              </w:rPr>
              <w:t xml:space="preserve">lessee </w:t>
            </w:r>
            <w:r w:rsidRPr="005B5418">
              <w:t xml:space="preserve">first reduce the right-to-use lease asset for any change in lease liability resulting from remeasurement under SFFAS 54, </w:t>
            </w:r>
            <w:r w:rsidR="004B6E4A" w:rsidRPr="005B5418">
              <w:t>para.</w:t>
            </w:r>
            <w:r w:rsidRPr="005B5418">
              <w:t xml:space="preserve"> 44-48 or terminations or modifications under </w:t>
            </w:r>
            <w:r w:rsidR="004B6E4A" w:rsidRPr="005B5418">
              <w:t>para.</w:t>
            </w:r>
            <w:r w:rsidRPr="005B5418">
              <w:t xml:space="preserve"> 80-86, then recognize any remaining amount of the impaired right-to-use lease asset as an impairment loss? (SFFAS 54, para. 53)</w:t>
            </w:r>
          </w:p>
        </w:tc>
        <w:tc>
          <w:tcPr>
            <w:tcW w:w="963" w:type="dxa"/>
          </w:tcPr>
          <w:p w14:paraId="27EE0EBB"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72B7E044" w14:textId="77777777" w:rsidR="0088655A" w:rsidRPr="005B5418" w:rsidRDefault="0088655A" w:rsidP="001C373E">
            <w:pPr>
              <w:pStyle w:val="BodyTextIndent"/>
              <w:spacing w:before="60" w:after="60"/>
              <w:rPr>
                <w:rFonts w:cs="Arial"/>
                <w:lang w:val="pt-BR"/>
              </w:rPr>
            </w:pPr>
          </w:p>
        </w:tc>
      </w:tr>
      <w:tr w:rsidR="00402C67" w:rsidRPr="005B5418" w14:paraId="694C8724"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5480FCCA" w14:textId="0F2993C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pPr>
            <w:r w:rsidRPr="005B5418">
              <w:t xml:space="preserve">Is the guidance of SFFAS 44 </w:t>
            </w:r>
            <w:r w:rsidR="004B6E4A" w:rsidRPr="005B5418">
              <w:t>para.</w:t>
            </w:r>
            <w:r w:rsidRPr="005B5418">
              <w:t xml:space="preserve"> 16-25 (criteria for testing for impairment, along with recognizing, reporting, and disclosing impairment losses) applied to right-to-use lease assets to the extent that impairment losses exceed any reduction to the lease liability and right-to-use lease asset that may stem from the impairment? (SFFAS 54, para. 53; also see </w:t>
            </w:r>
            <w:r w:rsidR="00C140EF" w:rsidRPr="005B5418">
              <w:t>TR 20</w:t>
            </w:r>
            <w:r w:rsidRPr="005B5418">
              <w:t>, para. 58)</w:t>
            </w:r>
          </w:p>
        </w:tc>
        <w:tc>
          <w:tcPr>
            <w:tcW w:w="963" w:type="dxa"/>
          </w:tcPr>
          <w:p w14:paraId="736EAE24"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781B9655" w14:textId="77777777" w:rsidR="0088655A" w:rsidRPr="005B5418" w:rsidRDefault="0088655A" w:rsidP="001C373E">
            <w:pPr>
              <w:pStyle w:val="BodyTextIndent"/>
              <w:spacing w:before="60" w:after="60"/>
              <w:rPr>
                <w:rFonts w:cs="Arial"/>
                <w:lang w:val="pt-BR"/>
              </w:rPr>
            </w:pPr>
          </w:p>
        </w:tc>
      </w:tr>
      <w:tr w:rsidR="0088655A" w:rsidRPr="005B5418" w14:paraId="30FC2063" w14:textId="77777777" w:rsidTr="001C373E">
        <w:tblPrEx>
          <w:tblCellMar>
            <w:left w:w="115" w:type="dxa"/>
            <w:right w:w="115" w:type="dxa"/>
          </w:tblCellMar>
          <w:tblLook w:val="0000" w:firstRow="0" w:lastRow="0" w:firstColumn="0" w:lastColumn="0" w:noHBand="0" w:noVBand="0"/>
        </w:tblPrEx>
        <w:trPr>
          <w:trHeight w:val="350"/>
        </w:trPr>
        <w:tc>
          <w:tcPr>
            <w:tcW w:w="9581" w:type="dxa"/>
            <w:gridSpan w:val="4"/>
          </w:tcPr>
          <w:p w14:paraId="59B93391" w14:textId="77777777" w:rsidR="0088655A" w:rsidRPr="005B5418" w:rsidRDefault="0088655A" w:rsidP="001C373E">
            <w:pPr>
              <w:pStyle w:val="BodyTextIndent"/>
              <w:spacing w:before="60" w:after="60"/>
              <w:rPr>
                <w:rFonts w:cs="Arial"/>
                <w:b/>
                <w:lang w:val="pt-BR"/>
              </w:rPr>
            </w:pPr>
            <w:r w:rsidRPr="005B5418">
              <w:rPr>
                <w:rFonts w:cs="Arial"/>
                <w:b/>
                <w:lang w:val="pt-BR"/>
              </w:rPr>
              <w:t>Disclosure</w:t>
            </w:r>
          </w:p>
        </w:tc>
      </w:tr>
      <w:tr w:rsidR="00402C67" w:rsidRPr="005B5418" w14:paraId="40B2850C" w14:textId="77777777" w:rsidTr="001C373E">
        <w:tblPrEx>
          <w:tblCellMar>
            <w:left w:w="115" w:type="dxa"/>
            <w:right w:w="115" w:type="dxa"/>
          </w:tblCellMar>
          <w:tblLook w:val="0000" w:firstRow="0" w:lastRow="0" w:firstColumn="0" w:lastColumn="0" w:noHBand="0" w:noVBand="0"/>
        </w:tblPrEx>
        <w:trPr>
          <w:trHeight w:val="1439"/>
        </w:trPr>
        <w:tc>
          <w:tcPr>
            <w:tcW w:w="5398" w:type="dxa"/>
          </w:tcPr>
          <w:p w14:paraId="53734038" w14:textId="77777777" w:rsidR="0088655A" w:rsidRPr="005B5418" w:rsidRDefault="0088655A" w:rsidP="001C373E">
            <w:pPr>
              <w:pStyle w:val="FAM-Table-outline"/>
              <w:numPr>
                <w:ilvl w:val="0"/>
                <w:numId w:val="5"/>
              </w:numPr>
              <w:tabs>
                <w:tab w:val="clear" w:pos="666"/>
                <w:tab w:val="num" w:pos="576"/>
              </w:tabs>
              <w:spacing w:line="240" w:lineRule="auto"/>
              <w:ind w:left="576"/>
            </w:pPr>
            <w:r w:rsidRPr="005B5418">
              <w:t xml:space="preserve">Does the lessee disclose within its PP&amp;E note the total amount of right-to-use lease assets and the related accumulated amortization separately from other PP&amp;E components? </w:t>
            </w:r>
          </w:p>
          <w:p w14:paraId="07737E69" w14:textId="06A7F313" w:rsidR="0088655A" w:rsidRPr="005B5418" w:rsidRDefault="0088655A" w:rsidP="001C373E">
            <w:pPr>
              <w:pStyle w:val="FAM-Table-outline"/>
              <w:numPr>
                <w:ilvl w:val="0"/>
                <w:numId w:val="0"/>
              </w:numPr>
              <w:ind w:left="576"/>
            </w:pPr>
            <w:r w:rsidRPr="005B5418">
              <w:t xml:space="preserve">(SFFAS 54, para. 54b; </w:t>
            </w:r>
            <w:r w:rsidR="00C140EF" w:rsidRPr="005B5418">
              <w:t>TR 20</w:t>
            </w:r>
            <w:r w:rsidRPr="005B5418">
              <w:t>, para. 59)</w:t>
            </w:r>
          </w:p>
        </w:tc>
        <w:tc>
          <w:tcPr>
            <w:tcW w:w="963" w:type="dxa"/>
          </w:tcPr>
          <w:p w14:paraId="74C5425B" w14:textId="77777777" w:rsidR="0088655A" w:rsidRPr="005B5418" w:rsidRDefault="0088655A" w:rsidP="001C373E">
            <w:pPr>
              <w:pStyle w:val="Table-Cell-CenterBoldBefore6ptAfter6pt"/>
              <w:spacing w:before="60" w:after="60"/>
              <w:rPr>
                <w:rFonts w:cs="Arial"/>
                <w:lang w:val="pt-BR"/>
              </w:rPr>
            </w:pPr>
          </w:p>
        </w:tc>
        <w:tc>
          <w:tcPr>
            <w:tcW w:w="3220" w:type="dxa"/>
            <w:gridSpan w:val="2"/>
          </w:tcPr>
          <w:p w14:paraId="4E8F9073" w14:textId="77777777" w:rsidR="0088655A" w:rsidRPr="005B5418" w:rsidRDefault="0088655A" w:rsidP="001C373E">
            <w:pPr>
              <w:pStyle w:val="BodyTextIndent"/>
              <w:spacing w:before="60" w:after="60"/>
              <w:rPr>
                <w:rFonts w:cs="Arial"/>
                <w:lang w:val="pt-BR"/>
              </w:rPr>
            </w:pPr>
          </w:p>
        </w:tc>
      </w:tr>
      <w:tr w:rsidR="0088655A" w:rsidRPr="005B5418" w14:paraId="4F25B2AA" w14:textId="77777777" w:rsidTr="001C373E">
        <w:tblPrEx>
          <w:tblCellMar>
            <w:left w:w="115" w:type="dxa"/>
            <w:right w:w="115" w:type="dxa"/>
          </w:tblCellMar>
          <w:tblLook w:val="0000" w:firstRow="0" w:lastRow="0" w:firstColumn="0" w:lastColumn="0" w:noHBand="0" w:noVBand="0"/>
        </w:tblPrEx>
        <w:trPr>
          <w:gridAfter w:val="1"/>
          <w:wAfter w:w="19" w:type="dxa"/>
          <w:trHeight w:val="350"/>
        </w:trPr>
        <w:tc>
          <w:tcPr>
            <w:tcW w:w="9581" w:type="dxa"/>
            <w:gridSpan w:val="3"/>
            <w:shd w:val="clear" w:color="auto" w:fill="auto"/>
          </w:tcPr>
          <w:p w14:paraId="47770220" w14:textId="77777777" w:rsidR="0088655A" w:rsidRPr="005B5418" w:rsidRDefault="0088655A" w:rsidP="001C373E">
            <w:pPr>
              <w:pStyle w:val="Table-Note"/>
              <w:spacing w:before="60" w:after="60" w:line="240" w:lineRule="auto"/>
              <w:ind w:left="-21"/>
              <w:jc w:val="left"/>
              <w:rPr>
                <w:rFonts w:cs="Arial"/>
                <w:b/>
                <w:i w:val="0"/>
                <w:sz w:val="22"/>
                <w:szCs w:val="22"/>
              </w:rPr>
            </w:pPr>
            <w:r w:rsidRPr="005B5418">
              <w:rPr>
                <w:rFonts w:cs="Arial"/>
                <w:b/>
                <w:i w:val="0"/>
                <w:sz w:val="22"/>
                <w:szCs w:val="22"/>
              </w:rPr>
              <w:lastRenderedPageBreak/>
              <w:t>PP&amp;E – Internal Use Software</w:t>
            </w:r>
          </w:p>
          <w:p w14:paraId="3B996994" w14:textId="77777777" w:rsidR="0088655A" w:rsidRPr="005B5418" w:rsidRDefault="0088655A" w:rsidP="001C373E">
            <w:pPr>
              <w:pStyle w:val="Table-Note"/>
              <w:spacing w:before="60" w:after="60" w:line="240" w:lineRule="auto"/>
              <w:ind w:left="-21"/>
              <w:jc w:val="left"/>
              <w:rPr>
                <w:rFonts w:cs="Arial"/>
                <w:i w:val="0"/>
                <w:sz w:val="22"/>
                <w:szCs w:val="22"/>
              </w:rPr>
            </w:pPr>
            <w:r w:rsidRPr="005B5418">
              <w:rPr>
                <w:rFonts w:cs="Arial"/>
                <w:i w:val="0"/>
                <w:sz w:val="22"/>
                <w:szCs w:val="22"/>
              </w:rPr>
              <w:t>Internal use software includes software</w:t>
            </w:r>
            <w:r w:rsidRPr="005B5418">
              <w:rPr>
                <w:rStyle w:val="FootnoteReference"/>
                <w:rFonts w:cs="Arial"/>
                <w:i w:val="0"/>
                <w:sz w:val="22"/>
                <w:szCs w:val="22"/>
              </w:rPr>
              <w:footnoteReference w:id="151"/>
            </w:r>
            <w:r w:rsidRPr="005B5418">
              <w:rPr>
                <w:rFonts w:cs="Arial"/>
                <w:i w:val="0"/>
                <w:sz w:val="22"/>
                <w:szCs w:val="22"/>
              </w:rPr>
              <w:t xml:space="preserve"> that is purchased from commercial vendors “off the shelf,” internally developed, or contractor-developed solely to meet the entity’s internal or operational needs. </w:t>
            </w:r>
          </w:p>
          <w:p w14:paraId="07743872" w14:textId="77777777" w:rsidR="0088655A" w:rsidRPr="005B5418" w:rsidRDefault="0088655A" w:rsidP="001C373E">
            <w:pPr>
              <w:pStyle w:val="Table-Note"/>
              <w:spacing w:before="60" w:after="60" w:line="240" w:lineRule="auto"/>
              <w:ind w:left="-21"/>
              <w:jc w:val="left"/>
              <w:rPr>
                <w:rFonts w:cs="Arial"/>
                <w:i w:val="0"/>
                <w:sz w:val="22"/>
                <w:szCs w:val="22"/>
              </w:rPr>
            </w:pPr>
            <w:r w:rsidRPr="005B5418">
              <w:rPr>
                <w:rFonts w:cs="Arial"/>
                <w:i w:val="0"/>
                <w:sz w:val="22"/>
                <w:szCs w:val="22"/>
              </w:rPr>
              <w:t xml:space="preserve">Commercial off-the-shelf (COTS) software refers to software that is purchased from a vendor and is ready for use with little or no changes. </w:t>
            </w:r>
          </w:p>
          <w:p w14:paraId="10A6338D" w14:textId="77777777" w:rsidR="0088655A" w:rsidRPr="005B5418" w:rsidRDefault="0088655A" w:rsidP="001C373E">
            <w:pPr>
              <w:pStyle w:val="Table-Note"/>
              <w:spacing w:before="60" w:after="60" w:line="240" w:lineRule="auto"/>
              <w:ind w:left="-21"/>
              <w:jc w:val="left"/>
              <w:rPr>
                <w:rFonts w:cs="Arial"/>
                <w:i w:val="0"/>
                <w:sz w:val="22"/>
                <w:szCs w:val="22"/>
              </w:rPr>
            </w:pPr>
            <w:r w:rsidRPr="005B5418">
              <w:rPr>
                <w:rFonts w:cs="Arial"/>
                <w:i w:val="0"/>
                <w:sz w:val="22"/>
                <w:szCs w:val="22"/>
              </w:rPr>
              <w:t xml:space="preserve">Internally developed software is software that entity employees are actively developing, including new software and existing or purchased software that are being modified with or without contractor assistance. </w:t>
            </w:r>
          </w:p>
          <w:p w14:paraId="53145C4C" w14:textId="77777777" w:rsidR="0088655A" w:rsidRPr="005B5418" w:rsidRDefault="0088655A" w:rsidP="001C373E">
            <w:pPr>
              <w:pStyle w:val="BodyTextIndent"/>
              <w:spacing w:before="60" w:after="60"/>
              <w:ind w:left="0"/>
              <w:rPr>
                <w:rFonts w:cs="Arial"/>
                <w:lang w:val="pt-BR"/>
              </w:rPr>
            </w:pPr>
            <w:r w:rsidRPr="005B5418">
              <w:rPr>
                <w:rFonts w:cs="Arial"/>
                <w:szCs w:val="22"/>
              </w:rPr>
              <w:t>Contractor-developed software is software that an entity is paying a contractor to design, program, install, and implement, including new software and the modification of existing or purchased software. (SFFAS 10, paras. 8–9)</w:t>
            </w:r>
          </w:p>
        </w:tc>
      </w:tr>
      <w:tr w:rsidR="0088655A" w:rsidRPr="005B5418" w14:paraId="70225FB7" w14:textId="77777777" w:rsidTr="001C373E">
        <w:tblPrEx>
          <w:tblCellMar>
            <w:left w:w="115" w:type="dxa"/>
            <w:right w:w="115" w:type="dxa"/>
          </w:tblCellMar>
          <w:tblLook w:val="0000" w:firstRow="0" w:lastRow="0" w:firstColumn="0" w:lastColumn="0" w:noHBand="0" w:noVBand="0"/>
        </w:tblPrEx>
        <w:trPr>
          <w:gridAfter w:val="1"/>
          <w:wAfter w:w="19" w:type="dxa"/>
          <w:trHeight w:val="341"/>
        </w:trPr>
        <w:tc>
          <w:tcPr>
            <w:tcW w:w="9581" w:type="dxa"/>
            <w:gridSpan w:val="3"/>
            <w:shd w:val="clear" w:color="auto" w:fill="auto"/>
          </w:tcPr>
          <w:p w14:paraId="7444028A" w14:textId="77777777" w:rsidR="0088655A" w:rsidRPr="005B5418" w:rsidRDefault="0088655A" w:rsidP="001C373E">
            <w:pPr>
              <w:pStyle w:val="BodyTextIndent"/>
              <w:spacing w:before="60" w:after="60"/>
              <w:rPr>
                <w:rFonts w:cs="Arial"/>
                <w:lang w:val="pt-BR"/>
              </w:rPr>
            </w:pPr>
            <w:r w:rsidRPr="005B5418">
              <w:rPr>
                <w:rFonts w:cs="Arial"/>
                <w:b/>
              </w:rPr>
              <w:t>Accounting</w:t>
            </w:r>
          </w:p>
        </w:tc>
      </w:tr>
      <w:tr w:rsidR="0088655A" w:rsidRPr="005B5418" w14:paraId="4468650C" w14:textId="77777777" w:rsidTr="001C373E">
        <w:tblPrEx>
          <w:tblCellMar>
            <w:left w:w="115" w:type="dxa"/>
            <w:right w:w="115" w:type="dxa"/>
          </w:tblCellMar>
          <w:tblLook w:val="0000" w:firstRow="0" w:lastRow="0" w:firstColumn="0" w:lastColumn="0" w:noHBand="0" w:noVBand="0"/>
        </w:tblPrEx>
        <w:trPr>
          <w:gridAfter w:val="1"/>
          <w:wAfter w:w="19" w:type="dxa"/>
          <w:trHeight w:val="314"/>
        </w:trPr>
        <w:tc>
          <w:tcPr>
            <w:tcW w:w="9581" w:type="dxa"/>
            <w:gridSpan w:val="3"/>
            <w:shd w:val="clear" w:color="auto" w:fill="auto"/>
          </w:tcPr>
          <w:p w14:paraId="71BEEBC9" w14:textId="77777777" w:rsidR="0088655A" w:rsidRPr="005B5418" w:rsidRDefault="0088655A" w:rsidP="001C373E">
            <w:pPr>
              <w:pStyle w:val="BodyTextIndent"/>
              <w:spacing w:before="60" w:after="60"/>
              <w:rPr>
                <w:rFonts w:cs="Arial"/>
                <w:lang w:val="pt-BR"/>
              </w:rPr>
            </w:pPr>
            <w:r w:rsidRPr="005B5418">
              <w:rPr>
                <w:rFonts w:eastAsia="Arial Unicode MS" w:cs="Arial"/>
                <w:i/>
                <w:szCs w:val="22"/>
              </w:rPr>
              <w:t>Recognition</w:t>
            </w:r>
          </w:p>
        </w:tc>
      </w:tr>
      <w:tr w:rsidR="0088655A" w:rsidRPr="005B5418" w14:paraId="1043AE33"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73F94DE8"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eastAsia="Arial Unicode MS"/>
              </w:rPr>
              <w:t xml:space="preserve">Does the entity capitalize the cost of software when such software meets the criteria for </w:t>
            </w:r>
            <w:r w:rsidRPr="005B5418">
              <w:rPr>
                <w:rFonts w:eastAsia="Arial Unicode MS"/>
              </w:rPr>
              <w:br/>
              <w:t>PP&amp;E? (SFFAS 10, para. 16)</w:t>
            </w:r>
          </w:p>
        </w:tc>
        <w:tc>
          <w:tcPr>
            <w:tcW w:w="963" w:type="dxa"/>
            <w:shd w:val="clear" w:color="auto" w:fill="auto"/>
          </w:tcPr>
          <w:p w14:paraId="3E2EA13C"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1DEC60A0" w14:textId="77777777" w:rsidR="0088655A" w:rsidRPr="005B5418" w:rsidRDefault="0088655A" w:rsidP="001C373E">
            <w:pPr>
              <w:pStyle w:val="BodyTextIndent"/>
              <w:spacing w:before="60" w:after="60"/>
              <w:rPr>
                <w:rFonts w:cs="Arial"/>
                <w:lang w:val="pt-BR"/>
              </w:rPr>
            </w:pPr>
          </w:p>
        </w:tc>
      </w:tr>
      <w:tr w:rsidR="0088655A" w:rsidRPr="005B5418" w14:paraId="4901D4F0"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0F7E865D"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Does the capitalized cost of internally developed software include the full cost (i.e., direct and indirect costs) incurred during the software development stage, or reasonable estimates</w:t>
            </w:r>
            <w:r w:rsidRPr="005B5418">
              <w:t xml:space="preserve"> </w:t>
            </w:r>
            <w:r w:rsidRPr="005B5418">
              <w:rPr>
                <w:rFonts w:cs="Arial"/>
              </w:rPr>
              <w:t>to establish the capitalization cost of internally developed software?</w:t>
            </w:r>
            <w:r w:rsidRPr="005B5418">
              <w:rPr>
                <w:vertAlign w:val="superscript"/>
              </w:rPr>
              <w:footnoteReference w:id="152"/>
            </w:r>
            <w:r w:rsidRPr="005B5418">
              <w:rPr>
                <w:rFonts w:cs="Arial"/>
              </w:rPr>
              <w:t xml:space="preserve"> (SFFAS 10, para. 16)</w:t>
            </w:r>
          </w:p>
        </w:tc>
        <w:tc>
          <w:tcPr>
            <w:tcW w:w="963" w:type="dxa"/>
            <w:shd w:val="clear" w:color="auto" w:fill="auto"/>
          </w:tcPr>
          <w:p w14:paraId="03F55B3B"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76B997CF" w14:textId="77777777" w:rsidR="0088655A" w:rsidRPr="005B5418" w:rsidRDefault="0088655A" w:rsidP="001C373E">
            <w:pPr>
              <w:pStyle w:val="BodyTextIndent"/>
              <w:spacing w:before="60" w:after="60"/>
              <w:rPr>
                <w:rFonts w:cs="Arial"/>
                <w:lang w:val="pt-BR"/>
              </w:rPr>
            </w:pPr>
          </w:p>
        </w:tc>
      </w:tr>
      <w:tr w:rsidR="0088655A" w:rsidRPr="005B5418" w14:paraId="40F93305" w14:textId="77777777" w:rsidTr="007A7A92">
        <w:tblPrEx>
          <w:tblCellMar>
            <w:left w:w="115" w:type="dxa"/>
            <w:right w:w="115" w:type="dxa"/>
          </w:tblCellMar>
          <w:tblLook w:val="0000" w:firstRow="0" w:lastRow="0" w:firstColumn="0" w:lastColumn="0" w:noHBand="0" w:noVBand="0"/>
        </w:tblPrEx>
        <w:trPr>
          <w:gridAfter w:val="1"/>
          <w:wAfter w:w="19" w:type="dxa"/>
          <w:trHeight w:val="71"/>
        </w:trPr>
        <w:tc>
          <w:tcPr>
            <w:tcW w:w="5398" w:type="dxa"/>
            <w:shd w:val="clear" w:color="auto" w:fill="auto"/>
          </w:tcPr>
          <w:p w14:paraId="6652D506" w14:textId="77777777" w:rsidR="0088655A" w:rsidRPr="005B5418" w:rsidRDefault="0088655A" w:rsidP="001C373E">
            <w:pPr>
              <w:pStyle w:val="FAM-Table-outline"/>
              <w:numPr>
                <w:ilvl w:val="0"/>
                <w:numId w:val="5"/>
              </w:numPr>
              <w:spacing w:line="240" w:lineRule="auto"/>
              <w:rPr>
                <w:rFonts w:eastAsia="Arial Unicode MS"/>
              </w:rPr>
            </w:pPr>
            <w:r w:rsidRPr="005B5418">
              <w:rPr>
                <w:rFonts w:eastAsia="Arial Unicode MS"/>
              </w:rPr>
              <w:t xml:space="preserve">Does the entity capitalize the cost of software when it  </w:t>
            </w:r>
          </w:p>
          <w:p w14:paraId="12C33F38"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is specifically identifiable,</w:t>
            </w:r>
          </w:p>
          <w:p w14:paraId="675CFA5E"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has a determinate life of 2 years or more,</w:t>
            </w:r>
          </w:p>
          <w:p w14:paraId="74FDDCBC"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is not intended for sale in the ordinary course of operations, </w:t>
            </w:r>
          </w:p>
          <w:p w14:paraId="4A0A0A6A"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is acquired or developed with the intention of being used by the entity, and</w:t>
            </w:r>
          </w:p>
          <w:p w14:paraId="7E3E508E"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meets the criteria for PP&amp;E in that it is used in providing goods and services? </w:t>
            </w:r>
          </w:p>
          <w:p w14:paraId="5F3F3A05" w14:textId="092D0171" w:rsidR="0088655A" w:rsidRPr="005B5418" w:rsidRDefault="0088655A" w:rsidP="007A7A92">
            <w:pPr>
              <w:pStyle w:val="FAM-Table-outline2"/>
              <w:numPr>
                <w:ilvl w:val="0"/>
                <w:numId w:val="0"/>
              </w:numPr>
              <w:spacing w:line="240" w:lineRule="auto"/>
              <w:ind w:left="605"/>
            </w:pPr>
            <w:r w:rsidRPr="005B5418">
              <w:rPr>
                <w:rFonts w:eastAsia="Arial Unicode MS"/>
              </w:rPr>
              <w:t xml:space="preserve">(SFFAS 6, para. 17; SFFAS 10, paras. 15 and </w:t>
            </w:r>
            <w:r w:rsidRPr="005B5418">
              <w:rPr>
                <w:rFonts w:eastAsia="Arial Unicode MS"/>
              </w:rPr>
              <w:lastRenderedPageBreak/>
              <w:t>38)</w:t>
            </w:r>
          </w:p>
        </w:tc>
        <w:tc>
          <w:tcPr>
            <w:tcW w:w="963" w:type="dxa"/>
            <w:shd w:val="clear" w:color="auto" w:fill="auto"/>
          </w:tcPr>
          <w:p w14:paraId="17A1B5C6"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31C72C3F" w14:textId="77777777" w:rsidR="0088655A" w:rsidRPr="005B5418" w:rsidRDefault="0088655A" w:rsidP="001C373E">
            <w:pPr>
              <w:pStyle w:val="BodyTextIndent"/>
              <w:spacing w:before="60" w:after="60"/>
              <w:rPr>
                <w:rFonts w:cs="Arial"/>
                <w:lang w:val="pt-BR"/>
              </w:rPr>
            </w:pPr>
          </w:p>
        </w:tc>
      </w:tr>
      <w:tr w:rsidR="0088655A" w:rsidRPr="005B5418" w14:paraId="16AE73FC"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33272142" w14:textId="77777777" w:rsidR="0088655A" w:rsidRPr="005B5418" w:rsidRDefault="0088655A" w:rsidP="001C373E">
            <w:pPr>
              <w:pStyle w:val="FAM-Table-outline"/>
              <w:numPr>
                <w:ilvl w:val="0"/>
                <w:numId w:val="5"/>
              </w:numPr>
              <w:spacing w:line="240" w:lineRule="auto"/>
              <w:rPr>
                <w:rFonts w:eastAsia="Arial Unicode MS"/>
              </w:rPr>
            </w:pPr>
            <w:r w:rsidRPr="005B5418">
              <w:rPr>
                <w:rFonts w:eastAsia="Arial Unicode MS"/>
              </w:rPr>
              <w:t xml:space="preserve">Are capitalized internally developed software development costs limited to costs incurred after </w:t>
            </w:r>
          </w:p>
          <w:p w14:paraId="7F339DAA"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management authorizes and commits to a computer software project and believes that it is more likely than not that the project will be completed and the software will be used to perform the intended function with an estimated service life of 2 years or more, and</w:t>
            </w:r>
          </w:p>
          <w:p w14:paraId="7A3487E7"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conceptual formulation, design, and testing of possible software project alternatives (i.e., preliminary design stage) has been completed?</w:t>
            </w:r>
          </w:p>
          <w:p w14:paraId="4C4EA094" w14:textId="77777777" w:rsidR="0088655A" w:rsidRPr="005B5418" w:rsidRDefault="0088655A" w:rsidP="001C373E">
            <w:pPr>
              <w:pStyle w:val="FAM-Table-outline"/>
              <w:widowControl/>
              <w:numPr>
                <w:ilvl w:val="0"/>
                <w:numId w:val="0"/>
              </w:numPr>
              <w:adjustRightInd/>
              <w:spacing w:line="240" w:lineRule="auto"/>
              <w:ind w:left="666"/>
              <w:textAlignment w:val="auto"/>
              <w:rPr>
                <w:szCs w:val="22"/>
              </w:rPr>
            </w:pPr>
            <w:r w:rsidRPr="005B5418">
              <w:rPr>
                <w:rFonts w:eastAsia="Arial Unicode MS"/>
              </w:rPr>
              <w:t xml:space="preserve"> (SFFAS 10, para. 16)</w:t>
            </w:r>
          </w:p>
        </w:tc>
        <w:tc>
          <w:tcPr>
            <w:tcW w:w="963" w:type="dxa"/>
            <w:shd w:val="clear" w:color="auto" w:fill="auto"/>
          </w:tcPr>
          <w:p w14:paraId="7F732AC0"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003BF18E" w14:textId="77777777" w:rsidR="0088655A" w:rsidRPr="005B5418" w:rsidRDefault="0088655A" w:rsidP="001C373E">
            <w:pPr>
              <w:pStyle w:val="BodyTextIndent"/>
              <w:spacing w:before="60" w:after="60"/>
              <w:rPr>
                <w:rFonts w:cs="Arial"/>
                <w:lang w:val="pt-BR"/>
              </w:rPr>
            </w:pPr>
          </w:p>
        </w:tc>
      </w:tr>
      <w:tr w:rsidR="0088655A" w:rsidRPr="005B5418" w14:paraId="106CE560"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3DA44225"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Do software capitalization costs include costs for new software</w:t>
            </w:r>
            <w:r w:rsidRPr="005B5418">
              <w:t xml:space="preserve"> </w:t>
            </w:r>
            <w:r w:rsidRPr="005B5418">
              <w:rPr>
                <w:rFonts w:cs="Arial"/>
              </w:rPr>
              <w:t>and documentation manuals?</w:t>
            </w:r>
            <w:r w:rsidRPr="005B5418">
              <w:rPr>
                <w:vertAlign w:val="superscript"/>
              </w:rPr>
              <w:footnoteReference w:id="153"/>
            </w:r>
            <w:r w:rsidRPr="005B5418">
              <w:rPr>
                <w:rFonts w:cs="Arial"/>
              </w:rPr>
              <w:t xml:space="preserve"> (SFFAS 10, para. 17)</w:t>
            </w:r>
          </w:p>
        </w:tc>
        <w:tc>
          <w:tcPr>
            <w:tcW w:w="963" w:type="dxa"/>
            <w:shd w:val="clear" w:color="auto" w:fill="auto"/>
          </w:tcPr>
          <w:p w14:paraId="618A651B"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15559CCB" w14:textId="77777777" w:rsidR="0088655A" w:rsidRPr="005B5418" w:rsidRDefault="0088655A" w:rsidP="001C373E">
            <w:pPr>
              <w:pStyle w:val="BodyTextIndent"/>
              <w:spacing w:before="60" w:after="60"/>
              <w:rPr>
                <w:rFonts w:cs="Arial"/>
                <w:lang w:val="pt-BR"/>
              </w:rPr>
            </w:pPr>
          </w:p>
        </w:tc>
      </w:tr>
      <w:tr w:rsidR="0088655A" w:rsidRPr="005B5418" w14:paraId="33CFC303"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3CA84E3F"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Do the capitalized costs for COTS software include the amount paid to the vendor? (SFFAS 10, para. 18)</w:t>
            </w:r>
          </w:p>
        </w:tc>
        <w:tc>
          <w:tcPr>
            <w:tcW w:w="963" w:type="dxa"/>
            <w:shd w:val="clear" w:color="auto" w:fill="auto"/>
          </w:tcPr>
          <w:p w14:paraId="1FCE8D79"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5216127A" w14:textId="77777777" w:rsidR="0088655A" w:rsidRPr="005B5418" w:rsidRDefault="0088655A" w:rsidP="001C373E">
            <w:pPr>
              <w:pStyle w:val="BodyTextIndent"/>
              <w:spacing w:before="60" w:after="60"/>
              <w:rPr>
                <w:rFonts w:cs="Arial"/>
                <w:lang w:val="pt-BR"/>
              </w:rPr>
            </w:pPr>
          </w:p>
        </w:tc>
      </w:tr>
      <w:tr w:rsidR="0088655A" w:rsidRPr="005B5418" w14:paraId="5264F2CA"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44792B1F"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Do the capitalized costs for contractor-developed software include the amount paid to a contractor to design, program, install, and implement the software? (SFFAS 10, para. 18)</w:t>
            </w:r>
          </w:p>
        </w:tc>
        <w:tc>
          <w:tcPr>
            <w:tcW w:w="963" w:type="dxa"/>
            <w:shd w:val="clear" w:color="auto" w:fill="auto"/>
          </w:tcPr>
          <w:p w14:paraId="777826B7"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57722E3E" w14:textId="77777777" w:rsidR="0088655A" w:rsidRPr="005B5418" w:rsidRDefault="0088655A" w:rsidP="001C373E">
            <w:pPr>
              <w:pStyle w:val="BodyTextIndent"/>
              <w:spacing w:before="60" w:after="60"/>
              <w:rPr>
                <w:rFonts w:cs="Arial"/>
                <w:lang w:val="pt-BR"/>
              </w:rPr>
            </w:pPr>
          </w:p>
        </w:tc>
      </w:tr>
      <w:tr w:rsidR="0088655A" w:rsidRPr="005B5418" w14:paraId="1B7841EB"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05C3094D"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Does the entity capitalize internal costs incurred to implement the COTS or contractor-developed software and otherwise make it ready for use? (SFFAS 10, para. 18)</w:t>
            </w:r>
          </w:p>
        </w:tc>
        <w:tc>
          <w:tcPr>
            <w:tcW w:w="963" w:type="dxa"/>
            <w:shd w:val="clear" w:color="auto" w:fill="auto"/>
          </w:tcPr>
          <w:p w14:paraId="26488140"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46934985" w14:textId="77777777" w:rsidR="0088655A" w:rsidRPr="005B5418" w:rsidRDefault="0088655A" w:rsidP="001C373E">
            <w:pPr>
              <w:pStyle w:val="BodyTextIndent"/>
              <w:spacing w:before="60" w:after="60"/>
              <w:rPr>
                <w:rFonts w:cs="Arial"/>
                <w:lang w:val="pt-BR"/>
              </w:rPr>
            </w:pPr>
          </w:p>
        </w:tc>
      </w:tr>
      <w:tr w:rsidR="0088655A" w:rsidRPr="005B5418" w14:paraId="0B5B12F4"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6F859C99"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Does the entity expense as incurred all data conversion costs for internally developed, contractor-developed, or COTS software as well as the cost to develop or obtain software that allows for access or conversion of existing data to the new software? (SFFAS 10, para. 19)</w:t>
            </w:r>
          </w:p>
        </w:tc>
        <w:tc>
          <w:tcPr>
            <w:tcW w:w="963" w:type="dxa"/>
            <w:shd w:val="clear" w:color="auto" w:fill="auto"/>
          </w:tcPr>
          <w:p w14:paraId="73D59DAE"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650EFF0A" w14:textId="77777777" w:rsidR="0088655A" w:rsidRPr="005B5418" w:rsidRDefault="0088655A" w:rsidP="001C373E">
            <w:pPr>
              <w:pStyle w:val="BodyTextIndent"/>
              <w:spacing w:before="60" w:after="60"/>
              <w:rPr>
                <w:rFonts w:cs="Arial"/>
                <w:lang w:val="pt-BR"/>
              </w:rPr>
            </w:pPr>
          </w:p>
        </w:tc>
      </w:tr>
      <w:tr w:rsidR="0088655A" w:rsidRPr="005B5418" w14:paraId="694D7F2E"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3FF2D8D5"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lastRenderedPageBreak/>
              <w:t>Does the entity expense costs incurred after the completion of final acceptance testing? (SFFAS 10, para. 20)</w:t>
            </w:r>
          </w:p>
        </w:tc>
        <w:tc>
          <w:tcPr>
            <w:tcW w:w="963" w:type="dxa"/>
            <w:shd w:val="clear" w:color="auto" w:fill="auto"/>
          </w:tcPr>
          <w:p w14:paraId="62753413"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455BAECB" w14:textId="77777777" w:rsidR="0088655A" w:rsidRPr="005B5418" w:rsidRDefault="0088655A" w:rsidP="001C373E">
            <w:pPr>
              <w:pStyle w:val="BodyTextIndent"/>
              <w:spacing w:before="60" w:after="60"/>
              <w:rPr>
                <w:rFonts w:cs="Arial"/>
                <w:lang w:val="pt-BR"/>
              </w:rPr>
            </w:pPr>
          </w:p>
        </w:tc>
      </w:tr>
      <w:tr w:rsidR="0088655A" w:rsidRPr="005B5418" w14:paraId="5137EFDF"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5D14F4F4"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Does the entity treat software that serves both internal uses and stewardship purposes</w:t>
            </w:r>
            <w:r w:rsidRPr="005B5418">
              <w:rPr>
                <w:rFonts w:cs="Arial"/>
                <w:vertAlign w:val="superscript"/>
              </w:rPr>
              <w:footnoteReference w:id="154"/>
            </w:r>
            <w:r w:rsidRPr="005B5418">
              <w:rPr>
                <w:rFonts w:cs="Arial"/>
              </w:rPr>
              <w:t xml:space="preserve"> as internal use software and capitalize it to the extent such software meets criteria for </w:t>
            </w:r>
            <w:r w:rsidRPr="005B5418">
              <w:rPr>
                <w:rFonts w:cs="Arial"/>
              </w:rPr>
              <w:br/>
              <w:t>PP&amp;E? (SFFAS 10, para. 21)</w:t>
            </w:r>
          </w:p>
        </w:tc>
        <w:tc>
          <w:tcPr>
            <w:tcW w:w="963" w:type="dxa"/>
            <w:shd w:val="clear" w:color="auto" w:fill="auto"/>
          </w:tcPr>
          <w:p w14:paraId="08062E67"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702EDF43" w14:textId="77777777" w:rsidR="0088655A" w:rsidRPr="005B5418" w:rsidRDefault="0088655A" w:rsidP="001C373E">
            <w:pPr>
              <w:pStyle w:val="BodyTextIndent"/>
              <w:spacing w:before="60" w:after="60"/>
              <w:rPr>
                <w:rFonts w:cs="Arial"/>
                <w:lang w:val="pt-BR"/>
              </w:rPr>
            </w:pPr>
          </w:p>
        </w:tc>
      </w:tr>
      <w:tr w:rsidR="0088655A" w:rsidRPr="005B5418" w14:paraId="3DE97442"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69FA1274"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Is computer software that is integrated into and necessary to operate PP&amp;E,</w:t>
            </w:r>
            <w:r w:rsidRPr="005B5418">
              <w:rPr>
                <w:rFonts w:cs="Arial"/>
                <w:vertAlign w:val="superscript"/>
              </w:rPr>
              <w:footnoteReference w:id="155"/>
            </w:r>
            <w:r w:rsidRPr="005B5418">
              <w:rPr>
                <w:rFonts w:cs="Arial"/>
              </w:rPr>
              <w:t xml:space="preserve"> rather than perform a separate application, considered part of the PP&amp;E of which it is an integral part, and is it capitalized and depreciated? (SFFAS 10, para. 22)</w:t>
            </w:r>
          </w:p>
        </w:tc>
        <w:tc>
          <w:tcPr>
            <w:tcW w:w="963" w:type="dxa"/>
            <w:shd w:val="clear" w:color="auto" w:fill="auto"/>
          </w:tcPr>
          <w:p w14:paraId="39A2E12E"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38A570E9" w14:textId="77777777" w:rsidR="0088655A" w:rsidRPr="005B5418" w:rsidRDefault="0088655A" w:rsidP="001C373E">
            <w:pPr>
              <w:pStyle w:val="BodyTextIndent"/>
              <w:spacing w:before="60" w:after="60"/>
              <w:rPr>
                <w:rFonts w:cs="Arial"/>
                <w:lang w:val="pt-BR"/>
              </w:rPr>
            </w:pPr>
          </w:p>
        </w:tc>
      </w:tr>
      <w:tr w:rsidR="0088655A" w:rsidRPr="005B5418" w14:paraId="7367C5D3"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401DEB1B"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If the entity purchased software as part of a package of products and services, does it use a reasonable estimate of the relative fair value of the individual elements in allocating the cost as capitalizable or noncapitalizable (i.e., expense) elements? (SFFAS 10, para. 23)</w:t>
            </w:r>
          </w:p>
        </w:tc>
        <w:tc>
          <w:tcPr>
            <w:tcW w:w="963" w:type="dxa"/>
            <w:shd w:val="clear" w:color="auto" w:fill="auto"/>
          </w:tcPr>
          <w:p w14:paraId="56D1508F"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370C716A" w14:textId="77777777" w:rsidR="0088655A" w:rsidRPr="005B5418" w:rsidRDefault="0088655A" w:rsidP="001C373E">
            <w:pPr>
              <w:pStyle w:val="BodyTextIndent"/>
              <w:spacing w:before="60" w:after="60"/>
              <w:rPr>
                <w:rFonts w:cs="Arial"/>
                <w:lang w:val="pt-BR"/>
              </w:rPr>
            </w:pPr>
          </w:p>
        </w:tc>
      </w:tr>
      <w:tr w:rsidR="0088655A" w:rsidRPr="005B5418" w14:paraId="00743EC8"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6F1D1314"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If the entity purchased software as part of a package of products and services, does it expense software costs that are not susceptible to allocation between maintenance and relatively minor enhancements? (SFFAS 10, para. 23)</w:t>
            </w:r>
          </w:p>
        </w:tc>
        <w:tc>
          <w:tcPr>
            <w:tcW w:w="963" w:type="dxa"/>
            <w:shd w:val="clear" w:color="auto" w:fill="auto"/>
          </w:tcPr>
          <w:p w14:paraId="4971E7F7"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31DCD8C1" w14:textId="77777777" w:rsidR="0088655A" w:rsidRPr="005B5418" w:rsidRDefault="0088655A" w:rsidP="001C373E">
            <w:pPr>
              <w:pStyle w:val="BodyTextIndent"/>
              <w:spacing w:before="60" w:after="60"/>
              <w:rPr>
                <w:rFonts w:cs="Arial"/>
                <w:lang w:val="pt-BR"/>
              </w:rPr>
            </w:pPr>
          </w:p>
        </w:tc>
      </w:tr>
      <w:tr w:rsidR="0088655A" w:rsidRPr="005B5418" w14:paraId="3CE8E240" w14:textId="77777777" w:rsidTr="001C373E">
        <w:tblPrEx>
          <w:tblCellMar>
            <w:left w:w="115" w:type="dxa"/>
            <w:right w:w="115" w:type="dxa"/>
          </w:tblCellMar>
          <w:tblLook w:val="0000" w:firstRow="0" w:lastRow="0" w:firstColumn="0" w:lastColumn="0" w:noHBand="0" w:noVBand="0"/>
        </w:tblPrEx>
        <w:trPr>
          <w:gridAfter w:val="1"/>
          <w:wAfter w:w="19" w:type="dxa"/>
          <w:trHeight w:val="386"/>
        </w:trPr>
        <w:tc>
          <w:tcPr>
            <w:tcW w:w="9581" w:type="dxa"/>
            <w:gridSpan w:val="3"/>
            <w:shd w:val="clear" w:color="auto" w:fill="auto"/>
          </w:tcPr>
          <w:p w14:paraId="069929E5" w14:textId="77777777" w:rsidR="0088655A" w:rsidRPr="005B5418" w:rsidRDefault="0088655A" w:rsidP="001C373E">
            <w:pPr>
              <w:pStyle w:val="FAM-Table-outline"/>
              <w:numPr>
                <w:ilvl w:val="0"/>
                <w:numId w:val="0"/>
              </w:numPr>
              <w:spacing w:line="240" w:lineRule="auto"/>
              <w:rPr>
                <w:rFonts w:eastAsia="Arial Unicode MS" w:cs="Arial"/>
                <w:i/>
                <w:szCs w:val="22"/>
              </w:rPr>
            </w:pPr>
            <w:r w:rsidRPr="005B5418">
              <w:rPr>
                <w:rFonts w:eastAsia="Arial Unicode MS" w:cs="Arial"/>
                <w:i/>
                <w:szCs w:val="22"/>
              </w:rPr>
              <w:t>Capitalization Thresholds</w:t>
            </w:r>
          </w:p>
        </w:tc>
      </w:tr>
      <w:tr w:rsidR="0088655A" w:rsidRPr="005B5418" w14:paraId="07AEE9FB"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4D3C8F18"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rFonts w:cs="Arial"/>
              </w:rPr>
              <w:t>Has the entity established capitalization thresholds for its internal use software, including bulk purchases of software programs and modules or components of a total software system? (SFFAS 10, para. 24)</w:t>
            </w:r>
          </w:p>
        </w:tc>
        <w:tc>
          <w:tcPr>
            <w:tcW w:w="963" w:type="dxa"/>
            <w:shd w:val="clear" w:color="auto" w:fill="auto"/>
          </w:tcPr>
          <w:p w14:paraId="274A5E24"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6B0A5D6C" w14:textId="77777777" w:rsidR="0088655A" w:rsidRPr="005B5418" w:rsidRDefault="0088655A" w:rsidP="001C373E">
            <w:pPr>
              <w:pStyle w:val="BodyTextIndent"/>
              <w:spacing w:before="60" w:after="60"/>
              <w:rPr>
                <w:rFonts w:cs="Arial"/>
                <w:lang w:val="pt-BR"/>
              </w:rPr>
            </w:pPr>
          </w:p>
        </w:tc>
      </w:tr>
      <w:tr w:rsidR="0088655A" w:rsidRPr="005B5418" w14:paraId="742037A7" w14:textId="77777777" w:rsidTr="001C373E">
        <w:tblPrEx>
          <w:tblCellMar>
            <w:left w:w="115" w:type="dxa"/>
            <w:right w:w="115" w:type="dxa"/>
          </w:tblCellMar>
          <w:tblLook w:val="0000" w:firstRow="0" w:lastRow="0" w:firstColumn="0" w:lastColumn="0" w:noHBand="0" w:noVBand="0"/>
        </w:tblPrEx>
        <w:trPr>
          <w:gridAfter w:val="1"/>
          <w:wAfter w:w="19" w:type="dxa"/>
          <w:trHeight w:val="314"/>
        </w:trPr>
        <w:tc>
          <w:tcPr>
            <w:tcW w:w="9581" w:type="dxa"/>
            <w:gridSpan w:val="3"/>
            <w:shd w:val="clear" w:color="auto" w:fill="auto"/>
          </w:tcPr>
          <w:p w14:paraId="5C52EB78" w14:textId="77777777" w:rsidR="0088655A" w:rsidRPr="005B5418" w:rsidRDefault="0088655A" w:rsidP="001C373E">
            <w:pPr>
              <w:pStyle w:val="FAM-Table-outline"/>
              <w:numPr>
                <w:ilvl w:val="0"/>
                <w:numId w:val="0"/>
              </w:numPr>
              <w:spacing w:line="240" w:lineRule="auto"/>
              <w:ind w:left="576" w:hanging="576"/>
              <w:rPr>
                <w:rFonts w:eastAsia="Arial Unicode MS" w:cs="Arial"/>
                <w:i/>
                <w:szCs w:val="22"/>
              </w:rPr>
            </w:pPr>
            <w:r w:rsidRPr="005B5418">
              <w:rPr>
                <w:rFonts w:eastAsia="Arial Unicode MS" w:cs="Arial"/>
                <w:i/>
                <w:szCs w:val="22"/>
              </w:rPr>
              <w:t>Enhancements</w:t>
            </w:r>
          </w:p>
        </w:tc>
      </w:tr>
      <w:tr w:rsidR="0088655A" w:rsidRPr="005B5418" w14:paraId="1C625D14"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1303F270"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 xml:space="preserve">Does the entity capitalize the acquisition cost of enhancements to existing internal use software, as well as related modules, when it is </w:t>
            </w:r>
            <w:r w:rsidRPr="005B5418">
              <w:rPr>
                <w:rFonts w:cs="Arial"/>
              </w:rPr>
              <w:lastRenderedPageBreak/>
              <w:t>more likely than not that they will result in significant additional capabilities? (SFFAS 10, para. 25)</w:t>
            </w:r>
          </w:p>
        </w:tc>
        <w:tc>
          <w:tcPr>
            <w:tcW w:w="963" w:type="dxa"/>
            <w:shd w:val="clear" w:color="auto" w:fill="auto"/>
          </w:tcPr>
          <w:p w14:paraId="19787467"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3D16525C" w14:textId="77777777" w:rsidR="0088655A" w:rsidRPr="005B5418" w:rsidRDefault="0088655A" w:rsidP="001C373E">
            <w:pPr>
              <w:pStyle w:val="BodyTextIndent"/>
              <w:spacing w:before="60" w:after="60"/>
              <w:rPr>
                <w:rFonts w:cs="Arial"/>
                <w:lang w:val="pt-BR"/>
              </w:rPr>
            </w:pPr>
          </w:p>
        </w:tc>
      </w:tr>
      <w:tr w:rsidR="0088655A" w:rsidRPr="005B5418" w14:paraId="60CFBFB1"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049990F3"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Does the entity expense, in the period incurred, the cost of minor enhancements resulting from ongoing systems maintenance as well as the purchase of enhanced versions of software for a minimal charge? (SFFAS 10, para. 26)</w:t>
            </w:r>
          </w:p>
        </w:tc>
        <w:tc>
          <w:tcPr>
            <w:tcW w:w="963" w:type="dxa"/>
            <w:shd w:val="clear" w:color="auto" w:fill="auto"/>
          </w:tcPr>
          <w:p w14:paraId="125A7519"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334B0A1D" w14:textId="77777777" w:rsidR="0088655A" w:rsidRPr="005B5418" w:rsidRDefault="0088655A" w:rsidP="001C373E">
            <w:pPr>
              <w:pStyle w:val="BodyTextIndent"/>
              <w:spacing w:before="60" w:after="60"/>
              <w:rPr>
                <w:rFonts w:cs="Arial"/>
                <w:lang w:val="pt-BR"/>
              </w:rPr>
            </w:pPr>
          </w:p>
        </w:tc>
      </w:tr>
      <w:tr w:rsidR="0088655A" w:rsidRPr="005B5418" w14:paraId="5F0B1F3A"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1CF9DC3E"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Are costs incurred solely to repair a design flaw or to perform minor upgrades that may extend the useful life of the software without adding capabilities expensed?</w:t>
            </w:r>
            <w:r w:rsidRPr="005B5418">
              <w:rPr>
                <w:rFonts w:cs="Arial"/>
                <w:vertAlign w:val="superscript"/>
              </w:rPr>
              <w:footnoteReference w:id="156"/>
            </w:r>
            <w:r w:rsidRPr="005B5418">
              <w:rPr>
                <w:rFonts w:cs="Arial"/>
              </w:rPr>
              <w:t xml:space="preserve"> (SFFAS 10, para. 27)</w:t>
            </w:r>
          </w:p>
        </w:tc>
        <w:tc>
          <w:tcPr>
            <w:tcW w:w="963" w:type="dxa"/>
            <w:shd w:val="clear" w:color="auto" w:fill="auto"/>
          </w:tcPr>
          <w:p w14:paraId="3883026D"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1500E984" w14:textId="77777777" w:rsidR="0088655A" w:rsidRPr="005B5418" w:rsidRDefault="0088655A" w:rsidP="001C373E">
            <w:pPr>
              <w:pStyle w:val="BodyTextIndent"/>
              <w:spacing w:before="60" w:after="60"/>
              <w:rPr>
                <w:rFonts w:cs="Arial"/>
                <w:lang w:val="pt-BR"/>
              </w:rPr>
            </w:pPr>
          </w:p>
        </w:tc>
      </w:tr>
      <w:tr w:rsidR="0088655A" w:rsidRPr="005B5418" w14:paraId="202D9AFE" w14:textId="77777777" w:rsidTr="001C373E">
        <w:tblPrEx>
          <w:tblCellMar>
            <w:left w:w="115" w:type="dxa"/>
            <w:right w:w="115" w:type="dxa"/>
          </w:tblCellMar>
          <w:tblLook w:val="0000" w:firstRow="0" w:lastRow="0" w:firstColumn="0" w:lastColumn="0" w:noHBand="0" w:noVBand="0"/>
        </w:tblPrEx>
        <w:trPr>
          <w:gridAfter w:val="1"/>
          <w:wAfter w:w="19" w:type="dxa"/>
          <w:trHeight w:val="449"/>
        </w:trPr>
        <w:tc>
          <w:tcPr>
            <w:tcW w:w="9581" w:type="dxa"/>
            <w:gridSpan w:val="3"/>
            <w:shd w:val="clear" w:color="auto" w:fill="auto"/>
          </w:tcPr>
          <w:p w14:paraId="48B9EFB4" w14:textId="77777777" w:rsidR="0088655A" w:rsidRPr="005B5418" w:rsidRDefault="0088655A" w:rsidP="001C373E">
            <w:pPr>
              <w:pStyle w:val="FAM-Table-outline"/>
              <w:numPr>
                <w:ilvl w:val="0"/>
                <w:numId w:val="0"/>
              </w:numPr>
              <w:spacing w:line="240" w:lineRule="auto"/>
              <w:rPr>
                <w:rFonts w:eastAsia="Arial Unicode MS" w:cs="Arial"/>
                <w:szCs w:val="22"/>
                <w:u w:val="single"/>
              </w:rPr>
            </w:pPr>
            <w:r w:rsidRPr="005B5418">
              <w:rPr>
                <w:rFonts w:eastAsia="Arial Unicode MS" w:cs="Arial"/>
                <w:i/>
                <w:szCs w:val="22"/>
              </w:rPr>
              <w:t>Impairment – Post-Implementation/Operational</w:t>
            </w:r>
            <w:r w:rsidRPr="005B5418">
              <w:rPr>
                <w:rFonts w:eastAsia="Arial Unicode MS" w:cs="Arial"/>
                <w:szCs w:val="22"/>
                <w:u w:val="single"/>
              </w:rPr>
              <w:t xml:space="preserve"> </w:t>
            </w:r>
            <w:r w:rsidRPr="005B5418">
              <w:rPr>
                <w:rFonts w:eastAsia="Arial Unicode MS" w:cs="Arial"/>
                <w:i/>
                <w:szCs w:val="22"/>
              </w:rPr>
              <w:t>Software</w:t>
            </w:r>
          </w:p>
        </w:tc>
      </w:tr>
      <w:tr w:rsidR="0088655A" w:rsidRPr="005B5418" w14:paraId="17921CAC"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109FCA82" w14:textId="77777777" w:rsidR="0088655A" w:rsidRPr="005B5418" w:rsidRDefault="0088655A" w:rsidP="001C373E">
            <w:pPr>
              <w:pStyle w:val="FAM-Table-outline"/>
              <w:numPr>
                <w:ilvl w:val="0"/>
                <w:numId w:val="5"/>
              </w:numPr>
              <w:spacing w:line="240" w:lineRule="auto"/>
              <w:rPr>
                <w:rFonts w:eastAsia="Arial Unicode MS"/>
              </w:rPr>
            </w:pPr>
            <w:r w:rsidRPr="005B5418">
              <w:rPr>
                <w:rFonts w:eastAsia="Arial Unicode MS"/>
              </w:rPr>
              <w:t>Does the entity recognize a loss upon impairment of computer software when the following post-implementation or operational conditions apply:</w:t>
            </w:r>
          </w:p>
          <w:p w14:paraId="5D289499"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software is no longer expected to provide substantive service potential and will be removed from service or</w:t>
            </w:r>
          </w:p>
          <w:p w14:paraId="78D99456"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 significant reduction occurs in the capabilities, functions, or uses of the software (or a module thereof)?</w:t>
            </w:r>
          </w:p>
          <w:p w14:paraId="4E1C9084" w14:textId="77777777" w:rsidR="0088655A" w:rsidRPr="005B5418" w:rsidRDefault="0088655A" w:rsidP="001C373E">
            <w:pPr>
              <w:pStyle w:val="FAM-Table-outline"/>
              <w:widowControl/>
              <w:numPr>
                <w:ilvl w:val="0"/>
                <w:numId w:val="0"/>
              </w:numPr>
              <w:adjustRightInd/>
              <w:spacing w:line="240" w:lineRule="auto"/>
              <w:ind w:left="666"/>
              <w:textAlignment w:val="auto"/>
              <w:rPr>
                <w:rFonts w:cs="Arial"/>
              </w:rPr>
            </w:pPr>
            <w:r w:rsidRPr="005B5418">
              <w:rPr>
                <w:rFonts w:eastAsia="Arial Unicode MS"/>
              </w:rPr>
              <w:t xml:space="preserve"> </w:t>
            </w:r>
            <w:r w:rsidRPr="005B5418">
              <w:rPr>
                <w:rFonts w:eastAsia="Arial Unicode MS" w:cs="Arial"/>
                <w:szCs w:val="22"/>
              </w:rPr>
              <w:t>(SFFAS 10, paras. 28–29)</w:t>
            </w:r>
          </w:p>
        </w:tc>
        <w:tc>
          <w:tcPr>
            <w:tcW w:w="963" w:type="dxa"/>
            <w:shd w:val="clear" w:color="auto" w:fill="auto"/>
          </w:tcPr>
          <w:p w14:paraId="38E0F9BC"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29D97CB6" w14:textId="77777777" w:rsidR="0088655A" w:rsidRPr="005B5418" w:rsidRDefault="0088655A" w:rsidP="001C373E">
            <w:pPr>
              <w:pStyle w:val="BodyTextIndent"/>
              <w:spacing w:before="60" w:after="60"/>
              <w:rPr>
                <w:rFonts w:cs="Arial"/>
                <w:lang w:val="pt-BR"/>
              </w:rPr>
            </w:pPr>
          </w:p>
        </w:tc>
      </w:tr>
      <w:tr w:rsidR="0088655A" w:rsidRPr="005B5418" w14:paraId="4B809744"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5B62C20F" w14:textId="77777777" w:rsidR="0088655A" w:rsidRPr="005B5418" w:rsidRDefault="0088655A" w:rsidP="001C373E">
            <w:pPr>
              <w:pStyle w:val="FAM-Table-outline"/>
              <w:numPr>
                <w:ilvl w:val="0"/>
                <w:numId w:val="5"/>
              </w:numPr>
              <w:spacing w:line="240" w:lineRule="auto"/>
              <w:rPr>
                <w:rFonts w:eastAsia="Arial Unicode MS"/>
              </w:rPr>
            </w:pPr>
            <w:r w:rsidRPr="005B5418">
              <w:rPr>
                <w:rFonts w:eastAsia="Arial Unicode MS"/>
              </w:rPr>
              <w:t xml:space="preserve">If impaired software is to remain in use, is the loss due to impairment measured as the difference between the book value and </w:t>
            </w:r>
          </w:p>
          <w:p w14:paraId="76BB8F8A"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cost to acquire software that would perform similar remaining functions (i.e., unimpaired) or</w:t>
            </w:r>
          </w:p>
          <w:p w14:paraId="147E9606"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portion of book value attributable to the remaining functional elements of the software?</w:t>
            </w:r>
          </w:p>
          <w:p w14:paraId="574E2571" w14:textId="77777777" w:rsidR="0088655A" w:rsidRPr="005B5418" w:rsidRDefault="0088655A" w:rsidP="001C373E">
            <w:pPr>
              <w:pStyle w:val="FAM-Table-outline"/>
              <w:widowControl/>
              <w:numPr>
                <w:ilvl w:val="0"/>
                <w:numId w:val="0"/>
              </w:numPr>
              <w:adjustRightInd/>
              <w:spacing w:line="240" w:lineRule="auto"/>
              <w:ind w:left="666"/>
              <w:textAlignment w:val="auto"/>
              <w:rPr>
                <w:rFonts w:cs="Arial"/>
              </w:rPr>
            </w:pPr>
            <w:r w:rsidRPr="005B5418">
              <w:rPr>
                <w:rFonts w:eastAsia="Arial Unicode MS"/>
              </w:rPr>
              <w:t xml:space="preserve"> (SFFAS 10, para. 29)</w:t>
            </w:r>
          </w:p>
        </w:tc>
        <w:tc>
          <w:tcPr>
            <w:tcW w:w="963" w:type="dxa"/>
            <w:shd w:val="clear" w:color="auto" w:fill="auto"/>
          </w:tcPr>
          <w:p w14:paraId="6BFF41E8"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3A9043AA" w14:textId="77777777" w:rsidR="0088655A" w:rsidRPr="005B5418" w:rsidRDefault="0088655A" w:rsidP="001C373E">
            <w:pPr>
              <w:pStyle w:val="BodyTextIndent"/>
              <w:spacing w:before="60" w:after="60"/>
              <w:rPr>
                <w:rFonts w:cs="Arial"/>
                <w:lang w:val="pt-BR"/>
              </w:rPr>
            </w:pPr>
          </w:p>
        </w:tc>
      </w:tr>
      <w:tr w:rsidR="0088655A" w:rsidRPr="005B5418" w14:paraId="528A1768"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1F37E29F"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 xml:space="preserve">If the loss due to impairment cannot be determined, is the book amount of the software </w:t>
            </w:r>
            <w:r w:rsidRPr="005B5418">
              <w:rPr>
                <w:rFonts w:cs="Arial"/>
              </w:rPr>
              <w:lastRenderedPageBreak/>
              <w:t>amortized over the remaining useful life of the software? (SFFAS 10, para. 29)</w:t>
            </w:r>
          </w:p>
        </w:tc>
        <w:tc>
          <w:tcPr>
            <w:tcW w:w="963" w:type="dxa"/>
            <w:shd w:val="clear" w:color="auto" w:fill="auto"/>
          </w:tcPr>
          <w:p w14:paraId="3DFDBC36"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4A2A4446" w14:textId="77777777" w:rsidR="0088655A" w:rsidRPr="005B5418" w:rsidRDefault="0088655A" w:rsidP="001C373E">
            <w:pPr>
              <w:pStyle w:val="BodyTextIndent"/>
              <w:spacing w:before="60" w:after="60"/>
              <w:rPr>
                <w:rFonts w:cs="Arial"/>
                <w:lang w:val="pt-BR"/>
              </w:rPr>
            </w:pPr>
          </w:p>
        </w:tc>
      </w:tr>
      <w:tr w:rsidR="0088655A" w:rsidRPr="005B5418" w14:paraId="42788ECF"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16B0D2CA"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If impaired software is to be removed from use, is the loss due to impairment measured as the difference between the book amount and any net realizable value (NRV)? (SFFAS 10, para. 30)</w:t>
            </w:r>
          </w:p>
        </w:tc>
        <w:tc>
          <w:tcPr>
            <w:tcW w:w="963" w:type="dxa"/>
            <w:shd w:val="clear" w:color="auto" w:fill="auto"/>
          </w:tcPr>
          <w:p w14:paraId="18935957"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67D71CCB" w14:textId="77777777" w:rsidR="0088655A" w:rsidRPr="005B5418" w:rsidRDefault="0088655A" w:rsidP="001C373E">
            <w:pPr>
              <w:pStyle w:val="BodyTextIndent"/>
              <w:spacing w:before="60" w:after="60"/>
              <w:rPr>
                <w:rFonts w:cs="Arial"/>
                <w:lang w:val="pt-BR"/>
              </w:rPr>
            </w:pPr>
          </w:p>
        </w:tc>
      </w:tr>
      <w:tr w:rsidR="0088655A" w:rsidRPr="005B5418" w14:paraId="01247E12"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260B66BB"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In situations of impaired software to be removed from use, does the entity transfer the NRV, if any, to an appropriate asset account until such time as the software is disposed of and the NRV realized? (SFFAS 10, para. 30)</w:t>
            </w:r>
          </w:p>
        </w:tc>
        <w:tc>
          <w:tcPr>
            <w:tcW w:w="963" w:type="dxa"/>
            <w:shd w:val="clear" w:color="auto" w:fill="auto"/>
          </w:tcPr>
          <w:p w14:paraId="1E70CB02"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6828D29B" w14:textId="77777777" w:rsidR="0088655A" w:rsidRPr="005B5418" w:rsidRDefault="0088655A" w:rsidP="001C373E">
            <w:pPr>
              <w:pStyle w:val="BodyTextIndent"/>
              <w:spacing w:before="60" w:after="60"/>
              <w:rPr>
                <w:rFonts w:cs="Arial"/>
                <w:lang w:val="pt-BR"/>
              </w:rPr>
            </w:pPr>
          </w:p>
        </w:tc>
      </w:tr>
      <w:tr w:rsidR="0088655A" w:rsidRPr="005B5418" w14:paraId="220A64DF"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70053262"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If the entity’s managers conclude that it is no longer “more likely than not” that developmental software or a module thereof will be completed and placed in service, is the accumulated book value or the balance in a work in process account, if applicable, reduced to reflect the expected NRV and a loss recognized? (SFFAS 10, para. 31)</w:t>
            </w:r>
          </w:p>
        </w:tc>
        <w:tc>
          <w:tcPr>
            <w:tcW w:w="963" w:type="dxa"/>
            <w:shd w:val="clear" w:color="auto" w:fill="auto"/>
          </w:tcPr>
          <w:p w14:paraId="126ABC23"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23C04456" w14:textId="77777777" w:rsidR="0088655A" w:rsidRPr="005B5418" w:rsidRDefault="0088655A" w:rsidP="001C373E">
            <w:pPr>
              <w:pStyle w:val="BodyTextIndent"/>
              <w:spacing w:before="60" w:after="60"/>
              <w:rPr>
                <w:rFonts w:cs="Arial"/>
                <w:lang w:val="pt-BR"/>
              </w:rPr>
            </w:pPr>
          </w:p>
        </w:tc>
      </w:tr>
      <w:tr w:rsidR="0088655A" w:rsidRPr="005B5418" w14:paraId="56596B2F" w14:textId="77777777" w:rsidTr="001C373E">
        <w:tblPrEx>
          <w:tblCellMar>
            <w:left w:w="115" w:type="dxa"/>
            <w:right w:w="115" w:type="dxa"/>
          </w:tblCellMar>
          <w:tblLook w:val="0000" w:firstRow="0" w:lastRow="0" w:firstColumn="0" w:lastColumn="0" w:noHBand="0" w:noVBand="0"/>
        </w:tblPrEx>
        <w:trPr>
          <w:gridAfter w:val="1"/>
          <w:wAfter w:w="19" w:type="dxa"/>
          <w:trHeight w:val="467"/>
        </w:trPr>
        <w:tc>
          <w:tcPr>
            <w:tcW w:w="9581" w:type="dxa"/>
            <w:gridSpan w:val="3"/>
            <w:shd w:val="clear" w:color="auto" w:fill="auto"/>
          </w:tcPr>
          <w:p w14:paraId="03CC7963" w14:textId="77777777" w:rsidR="0088655A" w:rsidRPr="005B5418" w:rsidRDefault="0088655A" w:rsidP="001C373E">
            <w:pPr>
              <w:pStyle w:val="FAM-Table-outline"/>
              <w:numPr>
                <w:ilvl w:val="0"/>
                <w:numId w:val="0"/>
              </w:numPr>
              <w:spacing w:line="240" w:lineRule="auto"/>
              <w:ind w:left="576" w:hanging="576"/>
              <w:rPr>
                <w:rFonts w:eastAsia="Arial Unicode MS" w:cs="Arial"/>
                <w:i/>
                <w:szCs w:val="22"/>
              </w:rPr>
            </w:pPr>
            <w:r w:rsidRPr="005B5418">
              <w:rPr>
                <w:rFonts w:eastAsia="Arial Unicode MS" w:cs="Arial"/>
                <w:i/>
                <w:szCs w:val="22"/>
              </w:rPr>
              <w:t>Amortization</w:t>
            </w:r>
          </w:p>
        </w:tc>
      </w:tr>
      <w:tr w:rsidR="0088655A" w:rsidRPr="005B5418" w14:paraId="186BCA1F"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3F71C7F6"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Does the entity amortize capitalized internal use software systematically and rationally over the estimated useful life of the software? (SFFAS 10, para. 32)</w:t>
            </w:r>
          </w:p>
        </w:tc>
        <w:tc>
          <w:tcPr>
            <w:tcW w:w="963" w:type="dxa"/>
            <w:shd w:val="clear" w:color="auto" w:fill="auto"/>
          </w:tcPr>
          <w:p w14:paraId="0B10F2B3"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243B77B3" w14:textId="77777777" w:rsidR="0088655A" w:rsidRPr="005B5418" w:rsidRDefault="0088655A" w:rsidP="001C373E">
            <w:pPr>
              <w:pStyle w:val="BodyTextIndent"/>
              <w:spacing w:before="60" w:after="60"/>
              <w:rPr>
                <w:rFonts w:cs="Arial"/>
                <w:lang w:val="pt-BR"/>
              </w:rPr>
            </w:pPr>
          </w:p>
        </w:tc>
      </w:tr>
      <w:tr w:rsidR="0088655A" w:rsidRPr="005B5418" w14:paraId="6E08EF85"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7A35D4A9"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Does amortization of each module or component of a software project begin when that module or component has been successfully tested? (SFFAS 10, para. 33)</w:t>
            </w:r>
          </w:p>
        </w:tc>
        <w:tc>
          <w:tcPr>
            <w:tcW w:w="963" w:type="dxa"/>
            <w:shd w:val="clear" w:color="auto" w:fill="auto"/>
          </w:tcPr>
          <w:p w14:paraId="7E2C4995"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040FD271" w14:textId="77777777" w:rsidR="0088655A" w:rsidRPr="005B5418" w:rsidRDefault="0088655A" w:rsidP="001C373E">
            <w:pPr>
              <w:pStyle w:val="BodyTextIndent"/>
              <w:spacing w:before="60" w:after="60"/>
              <w:rPr>
                <w:rFonts w:cs="Arial"/>
                <w:lang w:val="pt-BR"/>
              </w:rPr>
            </w:pPr>
          </w:p>
        </w:tc>
      </w:tr>
      <w:tr w:rsidR="0088655A" w:rsidRPr="005B5418" w14:paraId="6ED63474"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67D9C38A"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If the use of a module is dependent on the completion of another module(s), does the amortization begin only when both that module and the other module(s) have been successfully tested? (SFFAS 10, para. 33)</w:t>
            </w:r>
          </w:p>
        </w:tc>
        <w:tc>
          <w:tcPr>
            <w:tcW w:w="963" w:type="dxa"/>
            <w:shd w:val="clear" w:color="auto" w:fill="auto"/>
          </w:tcPr>
          <w:p w14:paraId="282F79A6"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405A9A17" w14:textId="77777777" w:rsidR="0088655A" w:rsidRPr="005B5418" w:rsidRDefault="0088655A" w:rsidP="001C373E">
            <w:pPr>
              <w:pStyle w:val="BodyTextIndent"/>
              <w:spacing w:before="60" w:after="60"/>
              <w:rPr>
                <w:rFonts w:cs="Arial"/>
                <w:lang w:val="pt-BR"/>
              </w:rPr>
            </w:pPr>
          </w:p>
        </w:tc>
      </w:tr>
      <w:tr w:rsidR="0088655A" w:rsidRPr="005B5418" w14:paraId="01D5D58E"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2AA726A6"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Are additions to the book value or changes in useful life of capitalized software treated prospectively (i.e., during the period of change and future periods only) when the software is amortized? (SFFAS 10, para. 34)</w:t>
            </w:r>
          </w:p>
        </w:tc>
        <w:tc>
          <w:tcPr>
            <w:tcW w:w="963" w:type="dxa"/>
            <w:shd w:val="clear" w:color="auto" w:fill="auto"/>
          </w:tcPr>
          <w:p w14:paraId="69828658"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4F68C837" w14:textId="77777777" w:rsidR="0088655A" w:rsidRPr="005B5418" w:rsidRDefault="0088655A" w:rsidP="001C373E">
            <w:pPr>
              <w:pStyle w:val="BodyTextIndent"/>
              <w:spacing w:before="60" w:after="60"/>
              <w:rPr>
                <w:rFonts w:cs="Arial"/>
                <w:lang w:val="pt-BR"/>
              </w:rPr>
            </w:pPr>
          </w:p>
        </w:tc>
      </w:tr>
      <w:tr w:rsidR="0088655A" w:rsidRPr="005B5418" w14:paraId="38E97C70"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036E4776"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lastRenderedPageBreak/>
              <w:t>When the entity replaces existing internal use software with new software, is the unamortized cost of the old software expensed when the new software has been successfully tested? (SFFAS 10, para. 34)</w:t>
            </w:r>
          </w:p>
        </w:tc>
        <w:tc>
          <w:tcPr>
            <w:tcW w:w="963" w:type="dxa"/>
            <w:shd w:val="clear" w:color="auto" w:fill="auto"/>
          </w:tcPr>
          <w:p w14:paraId="38B8270D"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0BBEFC80" w14:textId="77777777" w:rsidR="0088655A" w:rsidRPr="005B5418" w:rsidRDefault="0088655A" w:rsidP="001C373E">
            <w:pPr>
              <w:pStyle w:val="BodyTextIndent"/>
              <w:spacing w:before="60" w:after="60"/>
              <w:rPr>
                <w:rFonts w:cs="Arial"/>
                <w:lang w:val="pt-BR"/>
              </w:rPr>
            </w:pPr>
          </w:p>
        </w:tc>
      </w:tr>
      <w:tr w:rsidR="0088655A" w:rsidRPr="005B5418" w14:paraId="25CE820C"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9581" w:type="dxa"/>
            <w:gridSpan w:val="3"/>
            <w:shd w:val="clear" w:color="auto" w:fill="auto"/>
          </w:tcPr>
          <w:p w14:paraId="7057A888" w14:textId="77777777" w:rsidR="0088655A" w:rsidRPr="005B5418" w:rsidRDefault="0088655A" w:rsidP="001C373E">
            <w:pPr>
              <w:pStyle w:val="Table-Cell-Left"/>
              <w:spacing w:before="60" w:after="60" w:line="240" w:lineRule="auto"/>
              <w:jc w:val="left"/>
              <w:rPr>
                <w:b/>
                <w:sz w:val="22"/>
                <w:szCs w:val="22"/>
              </w:rPr>
            </w:pPr>
            <w:r w:rsidRPr="005B5418">
              <w:rPr>
                <w:b/>
                <w:sz w:val="22"/>
                <w:szCs w:val="22"/>
              </w:rPr>
              <w:t>Alternative Method for Internal Use Software</w:t>
            </w:r>
          </w:p>
          <w:p w14:paraId="6DE94D0F" w14:textId="77777777" w:rsidR="0088655A" w:rsidRPr="005B5418" w:rsidRDefault="0088655A" w:rsidP="001C373E">
            <w:pPr>
              <w:pStyle w:val="Table-Cell-Left"/>
              <w:spacing w:before="60" w:after="60" w:line="240" w:lineRule="auto"/>
              <w:jc w:val="left"/>
              <w:rPr>
                <w:sz w:val="22"/>
                <w:szCs w:val="22"/>
              </w:rPr>
            </w:pPr>
            <w:r w:rsidRPr="005B5418">
              <w:rPr>
                <w:sz w:val="22"/>
                <w:szCs w:val="22"/>
              </w:rPr>
              <w:t>Alternative methods for establishing opening balances are applicable for the reporting period when the reporting entity is presenting financial statements, or one or more line items of internal use software, following FASAB-promulgated GAAP either (1) for the first time or (2) after a period during which existing systems could not provide the information necessary for producing such GAAP-based financial statements without the use of the alternative methods. Once established using alternative methods, opening balances are considered consistent with GAAP. (SFFAS 10, para. 36)</w:t>
            </w:r>
          </w:p>
          <w:p w14:paraId="2A3E28C5" w14:textId="77777777" w:rsidR="0088655A" w:rsidRPr="005B5418" w:rsidRDefault="0088655A" w:rsidP="001C373E">
            <w:pPr>
              <w:pStyle w:val="Table-Cell-Left"/>
              <w:spacing w:before="60" w:after="60" w:line="240" w:lineRule="auto"/>
              <w:jc w:val="left"/>
              <w:rPr>
                <w:sz w:val="22"/>
                <w:szCs w:val="22"/>
              </w:rPr>
            </w:pPr>
            <w:r w:rsidRPr="005B5418">
              <w:rPr>
                <w:sz w:val="22"/>
                <w:szCs w:val="22"/>
              </w:rPr>
              <w:t>Opening balances are account balances that exist at the beginning of the reporting period. Opening balances are based upon the closing balances of the prior period and reflect the effects of transactions and events of prior periods and accounting policies applied in the prior period. Opening balances also include matters requiring disclosure that existed at the beginning of the period, such as contingencies and commitments. (SFFAS 10, para. 36)</w:t>
            </w:r>
          </w:p>
          <w:p w14:paraId="2DAECBD5" w14:textId="77777777" w:rsidR="0088655A" w:rsidRPr="005B5418" w:rsidRDefault="0088655A" w:rsidP="001C373E">
            <w:pPr>
              <w:pStyle w:val="BodyTextIndent"/>
              <w:spacing w:before="60" w:after="60"/>
              <w:ind w:left="0"/>
              <w:rPr>
                <w:rFonts w:cs="Arial"/>
                <w:lang w:val="pt-BR"/>
              </w:rPr>
            </w:pPr>
            <w:r w:rsidRPr="005B5418">
              <w:rPr>
                <w:rFonts w:cs="Arial"/>
                <w:szCs w:val="22"/>
              </w:rPr>
              <w:t>SFFAS 50, paragraph 15, references the reporting entity’s unreserved assertion on whether the financial statements, or one or more line items, are presented in accordance with GAAP. An unreserved assertion is an unconditional statement, and the entity should establish clear policies and procedures for determining when and how the unreserved assertion will be made and communicated. The statement provides flexibility to the preparer to elect to apply alternative valuation methods to PP&amp;E, as a whole, or to reasonably disaggregated classes of PP&amp;E. (SFFAS 50, para. A38) Therefore, the alternative valuation method election remains available to classes of PP&amp;E not covered by previous elections.</w:t>
            </w:r>
          </w:p>
        </w:tc>
      </w:tr>
      <w:tr w:rsidR="0088655A" w:rsidRPr="005B5418" w14:paraId="37E862B7"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7E5FCDC3" w14:textId="77777777" w:rsidR="0088655A" w:rsidRPr="005B5418" w:rsidRDefault="0088655A" w:rsidP="001C373E">
            <w:pPr>
              <w:pStyle w:val="FAM-Table-outline"/>
              <w:numPr>
                <w:ilvl w:val="0"/>
                <w:numId w:val="5"/>
              </w:numPr>
              <w:spacing w:line="240" w:lineRule="auto"/>
              <w:rPr>
                <w:rFonts w:eastAsia="Arial Unicode MS"/>
              </w:rPr>
            </w:pPr>
            <w:r w:rsidRPr="005B5418">
              <w:rPr>
                <w:rFonts w:eastAsia="Arial Unicode MS"/>
              </w:rPr>
              <w:t>Does the entity use the alternative method provided in SFFAS 50? (Answer Y if applicable; if N/A or N /S, answer accordingly and skip to the Disclosure section below.)</w:t>
            </w:r>
          </w:p>
        </w:tc>
        <w:tc>
          <w:tcPr>
            <w:tcW w:w="963" w:type="dxa"/>
            <w:shd w:val="clear" w:color="auto" w:fill="auto"/>
          </w:tcPr>
          <w:p w14:paraId="3C65B604"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25047AD1" w14:textId="77777777" w:rsidR="0088655A" w:rsidRPr="005B5418" w:rsidRDefault="0088655A" w:rsidP="001C373E">
            <w:pPr>
              <w:pStyle w:val="BodyTextIndent"/>
              <w:spacing w:before="60" w:after="60"/>
              <w:rPr>
                <w:rFonts w:cs="Arial"/>
                <w:lang w:val="pt-BR"/>
              </w:rPr>
            </w:pPr>
          </w:p>
        </w:tc>
      </w:tr>
      <w:tr w:rsidR="0088655A" w:rsidRPr="005B5418" w14:paraId="0829AD3D" w14:textId="77777777" w:rsidTr="001C373E">
        <w:tblPrEx>
          <w:tblCellMar>
            <w:left w:w="115" w:type="dxa"/>
            <w:right w:w="115" w:type="dxa"/>
          </w:tblCellMar>
          <w:tblLook w:val="0000" w:firstRow="0" w:lastRow="0" w:firstColumn="0" w:lastColumn="0" w:noHBand="0" w:noVBand="0"/>
        </w:tblPrEx>
        <w:trPr>
          <w:gridAfter w:val="1"/>
          <w:wAfter w:w="19" w:type="dxa"/>
          <w:trHeight w:val="386"/>
        </w:trPr>
        <w:tc>
          <w:tcPr>
            <w:tcW w:w="9581" w:type="dxa"/>
            <w:gridSpan w:val="3"/>
            <w:shd w:val="clear" w:color="auto" w:fill="auto"/>
          </w:tcPr>
          <w:p w14:paraId="691FE88F" w14:textId="77777777" w:rsidR="0088655A" w:rsidRPr="005B5418" w:rsidRDefault="0088655A" w:rsidP="001C373E">
            <w:pPr>
              <w:pStyle w:val="BodyTextIndent"/>
              <w:spacing w:before="60" w:after="60"/>
              <w:rPr>
                <w:rFonts w:cs="Arial"/>
                <w:lang w:val="pt-BR"/>
              </w:rPr>
            </w:pPr>
            <w:r w:rsidRPr="005B5418">
              <w:rPr>
                <w:rFonts w:cs="Arial"/>
                <w:b/>
              </w:rPr>
              <w:t>Accounting</w:t>
            </w:r>
          </w:p>
        </w:tc>
      </w:tr>
      <w:tr w:rsidR="0088655A" w:rsidRPr="005B5418" w14:paraId="716D2381" w14:textId="77777777" w:rsidTr="001C373E">
        <w:tblPrEx>
          <w:tblCellMar>
            <w:left w:w="115" w:type="dxa"/>
            <w:right w:w="115" w:type="dxa"/>
          </w:tblCellMar>
          <w:tblLook w:val="0000" w:firstRow="0" w:lastRow="0" w:firstColumn="0" w:lastColumn="0" w:noHBand="0" w:noVBand="0"/>
        </w:tblPrEx>
        <w:trPr>
          <w:gridAfter w:val="1"/>
          <w:wAfter w:w="19" w:type="dxa"/>
          <w:trHeight w:val="386"/>
        </w:trPr>
        <w:tc>
          <w:tcPr>
            <w:tcW w:w="9581" w:type="dxa"/>
            <w:gridSpan w:val="3"/>
            <w:shd w:val="clear" w:color="auto" w:fill="auto"/>
          </w:tcPr>
          <w:p w14:paraId="41E7B73B" w14:textId="77777777" w:rsidR="0088655A" w:rsidRPr="005B5418" w:rsidRDefault="0088655A" w:rsidP="001C373E">
            <w:pPr>
              <w:pStyle w:val="FAM-Table-outline"/>
              <w:numPr>
                <w:ilvl w:val="0"/>
                <w:numId w:val="0"/>
              </w:numPr>
              <w:spacing w:line="240" w:lineRule="auto"/>
              <w:ind w:left="576" w:hanging="576"/>
              <w:rPr>
                <w:rFonts w:eastAsia="Arial Unicode MS" w:cs="Arial"/>
                <w:i/>
                <w:szCs w:val="22"/>
              </w:rPr>
            </w:pPr>
            <w:r w:rsidRPr="005B5418">
              <w:rPr>
                <w:rFonts w:eastAsia="Arial Unicode MS" w:cs="Arial"/>
                <w:i/>
                <w:szCs w:val="22"/>
              </w:rPr>
              <w:t>Alternative Methods for Opening Balances</w:t>
            </w:r>
          </w:p>
        </w:tc>
      </w:tr>
      <w:tr w:rsidR="0088655A" w:rsidRPr="005B5418" w14:paraId="49C9B0A4"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02F7FA3D"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t>If the entity is applying SFFAS 50, does the reporting entity apply an alternative valuation method only in establishing opening balances for the reporting period that the entity, taken as a whole, makes an unreserved assertion that its financial statements, or internal use software line item, are presented fairly in accordance with GAAP? (SFFAS 10, para. 36a)</w:t>
            </w:r>
          </w:p>
        </w:tc>
        <w:tc>
          <w:tcPr>
            <w:tcW w:w="963" w:type="dxa"/>
            <w:shd w:val="clear" w:color="auto" w:fill="auto"/>
          </w:tcPr>
          <w:p w14:paraId="7E4798B3"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1BBA011F" w14:textId="77777777" w:rsidR="0088655A" w:rsidRPr="005B5418" w:rsidRDefault="0088655A" w:rsidP="001C373E">
            <w:pPr>
              <w:pStyle w:val="BodyTextIndent"/>
              <w:spacing w:before="60" w:after="60"/>
              <w:rPr>
                <w:rFonts w:cs="Arial"/>
                <w:lang w:val="pt-BR"/>
              </w:rPr>
            </w:pPr>
          </w:p>
        </w:tc>
      </w:tr>
      <w:tr w:rsidR="0088655A" w:rsidRPr="005B5418" w14:paraId="118783E9"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598A6E20"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lastRenderedPageBreak/>
              <w:t>Does the reporting entity also apply an alternative valuation method to correct subsequently discovered errors in PP&amp;E that were valued under an alternative method? (SFFAS 10, para. 36a)</w:t>
            </w:r>
          </w:p>
        </w:tc>
        <w:tc>
          <w:tcPr>
            <w:tcW w:w="963" w:type="dxa"/>
            <w:shd w:val="clear" w:color="auto" w:fill="auto"/>
          </w:tcPr>
          <w:p w14:paraId="2EAFA6B4"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239B2281" w14:textId="77777777" w:rsidR="0088655A" w:rsidRPr="005B5418" w:rsidRDefault="0088655A" w:rsidP="001C373E">
            <w:pPr>
              <w:pStyle w:val="BodyTextIndent"/>
              <w:spacing w:before="60" w:after="60"/>
              <w:rPr>
                <w:rFonts w:cs="Arial"/>
                <w:lang w:val="pt-BR"/>
              </w:rPr>
            </w:pPr>
          </w:p>
        </w:tc>
      </w:tr>
      <w:tr w:rsidR="0088655A" w:rsidRPr="005B5418" w14:paraId="20457E0A"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16DC3B58" w14:textId="77777777" w:rsidR="0088655A" w:rsidRPr="005B5418" w:rsidRDefault="0088655A" w:rsidP="001C373E">
            <w:pPr>
              <w:pStyle w:val="FAM-Table-outline"/>
              <w:widowControl/>
              <w:numPr>
                <w:ilvl w:val="0"/>
                <w:numId w:val="5"/>
              </w:numPr>
              <w:tabs>
                <w:tab w:val="clear" w:pos="666"/>
                <w:tab w:val="num" w:pos="576"/>
              </w:tabs>
              <w:adjustRightInd/>
              <w:spacing w:line="240" w:lineRule="auto"/>
              <w:ind w:left="576"/>
              <w:textAlignment w:val="auto"/>
              <w:rPr>
                <w:rFonts w:cs="Arial"/>
              </w:rPr>
            </w:pPr>
            <w:r w:rsidRPr="005B5418">
              <w:rPr>
                <w:rFonts w:cs="Arial"/>
              </w:rPr>
              <w:t>If applicable, does the reporting entity apply an alternative valuation method only once for the software line item after a period during which existing systems could not provide the information necessary for producing such GAAP-based financial statements without the use of the alternative valuation method? (SFFAS 10, para. 36b)</w:t>
            </w:r>
          </w:p>
        </w:tc>
        <w:tc>
          <w:tcPr>
            <w:tcW w:w="963" w:type="dxa"/>
            <w:shd w:val="clear" w:color="auto" w:fill="auto"/>
          </w:tcPr>
          <w:p w14:paraId="19DD4D34"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59E77A23" w14:textId="77777777" w:rsidR="0088655A" w:rsidRPr="005B5418" w:rsidRDefault="0088655A" w:rsidP="001C373E">
            <w:pPr>
              <w:pStyle w:val="BodyTextIndent"/>
              <w:spacing w:before="60" w:after="60"/>
              <w:rPr>
                <w:rFonts w:cs="Arial"/>
                <w:lang w:val="pt-BR"/>
              </w:rPr>
            </w:pPr>
          </w:p>
        </w:tc>
      </w:tr>
      <w:tr w:rsidR="0088655A" w:rsidRPr="005B5418" w14:paraId="2F1D579F" w14:textId="77777777" w:rsidTr="001C373E">
        <w:tblPrEx>
          <w:tblCellMar>
            <w:left w:w="115" w:type="dxa"/>
            <w:right w:w="115" w:type="dxa"/>
          </w:tblCellMar>
          <w:tblLook w:val="0000" w:firstRow="0" w:lastRow="0" w:firstColumn="0" w:lastColumn="0" w:noHBand="0" w:noVBand="0"/>
        </w:tblPrEx>
        <w:trPr>
          <w:gridAfter w:val="1"/>
          <w:wAfter w:w="19" w:type="dxa"/>
          <w:trHeight w:val="4121"/>
        </w:trPr>
        <w:tc>
          <w:tcPr>
            <w:tcW w:w="5398" w:type="dxa"/>
            <w:shd w:val="clear" w:color="auto" w:fill="auto"/>
          </w:tcPr>
          <w:p w14:paraId="2500F9A3" w14:textId="77777777" w:rsidR="0088655A" w:rsidRPr="005B5418" w:rsidRDefault="0088655A" w:rsidP="001C373E">
            <w:pPr>
              <w:pStyle w:val="FAM-Table-outline"/>
              <w:numPr>
                <w:ilvl w:val="0"/>
                <w:numId w:val="5"/>
              </w:numPr>
              <w:spacing w:line="240" w:lineRule="auto"/>
              <w:rPr>
                <w:rFonts w:eastAsia="Arial Unicode MS"/>
              </w:rPr>
            </w:pPr>
            <w:r w:rsidRPr="005B5418">
              <w:rPr>
                <w:rFonts w:eastAsia="Arial Unicode MS"/>
              </w:rPr>
              <w:t>If the entity has multiple component or subcomponent entities selecting different alternative methods, does the reporting entity establish an opening balance based on one, or a combination, of alternative methods that</w:t>
            </w:r>
          </w:p>
          <w:p w14:paraId="317597F1"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apply deemed cost</w:t>
            </w:r>
            <w:r w:rsidRPr="005425ED">
              <w:rPr>
                <w:rFonts w:eastAsia="Arial Unicode MS"/>
                <w:vertAlign w:val="superscript"/>
              </w:rPr>
              <w:footnoteReference w:id="157"/>
            </w:r>
            <w:r w:rsidRPr="005B5418">
              <w:rPr>
                <w:rFonts w:eastAsia="Arial Unicode MS" w:cs="Arial"/>
                <w:szCs w:val="22"/>
              </w:rPr>
              <w:t xml:space="preserve"> as an alternative valuation method for opening balances of internal use software and</w:t>
            </w:r>
          </w:p>
          <w:p w14:paraId="0752B519"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apply prospective capitalization of internal use software? (SFFAS 10, para. 36d(i) and (ii))</w:t>
            </w:r>
          </w:p>
          <w:p w14:paraId="3E06F846" w14:textId="77777777" w:rsidR="0088655A" w:rsidRPr="005B5418" w:rsidRDefault="0088655A" w:rsidP="007A7A92">
            <w:pPr>
              <w:pStyle w:val="FAM-Table-outline2"/>
              <w:numPr>
                <w:ilvl w:val="0"/>
                <w:numId w:val="0"/>
              </w:numPr>
              <w:spacing w:before="0" w:after="0" w:line="240" w:lineRule="auto"/>
              <w:rPr>
                <w:rFonts w:cs="Arial"/>
              </w:rPr>
            </w:pPr>
          </w:p>
        </w:tc>
        <w:tc>
          <w:tcPr>
            <w:tcW w:w="963" w:type="dxa"/>
            <w:shd w:val="clear" w:color="auto" w:fill="auto"/>
          </w:tcPr>
          <w:p w14:paraId="2C6F5D10"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4751FB2A" w14:textId="77777777" w:rsidR="0088655A" w:rsidRPr="005B5418" w:rsidRDefault="0088655A" w:rsidP="001C373E">
            <w:pPr>
              <w:pStyle w:val="BodyTextIndent"/>
              <w:spacing w:before="60" w:after="60"/>
              <w:rPr>
                <w:rFonts w:cs="Arial"/>
                <w:lang w:val="pt-BR"/>
              </w:rPr>
            </w:pPr>
          </w:p>
        </w:tc>
      </w:tr>
      <w:tr w:rsidR="0088655A" w:rsidRPr="005B5418" w14:paraId="1CF8F10D"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13B72EAE" w14:textId="77777777" w:rsidR="0088655A" w:rsidRPr="005B5418" w:rsidRDefault="0088655A" w:rsidP="001C373E">
            <w:pPr>
              <w:pStyle w:val="FAM-Table-outline"/>
              <w:numPr>
                <w:ilvl w:val="0"/>
                <w:numId w:val="5"/>
              </w:numPr>
              <w:spacing w:line="240" w:lineRule="auto"/>
              <w:rPr>
                <w:rFonts w:eastAsia="Arial Unicode MS"/>
              </w:rPr>
            </w:pPr>
            <w:r w:rsidRPr="005B5418">
              <w:rPr>
                <w:rFonts w:eastAsia="Arial Unicode MS"/>
              </w:rPr>
              <w:t xml:space="preserve">If the reporting entity elects the prospective treatment, does the reporting entity choose acceptable alternative methods at an opening balance date that either </w:t>
            </w:r>
          </w:p>
          <w:p w14:paraId="75867A5C" w14:textId="1E9CF471"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exclude all internal use software, </w:t>
            </w:r>
            <w:r w:rsidR="00092D2B" w:rsidRPr="005B5418">
              <w:rPr>
                <w:rFonts w:eastAsia="Arial Unicode MS" w:cs="Arial"/>
                <w:szCs w:val="22"/>
              </w:rPr>
              <w:t>including software</w:t>
            </w:r>
            <w:r w:rsidRPr="005B5418">
              <w:rPr>
                <w:rFonts w:eastAsia="Arial Unicode MS" w:cs="Arial"/>
                <w:szCs w:val="22"/>
              </w:rPr>
              <w:t xml:space="preserve"> under development at the opening balance date, from the opening balance or</w:t>
            </w:r>
          </w:p>
          <w:p w14:paraId="4311219E"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exclude internal use software in service from the opening balance, but include amounts related to internal use software under development at the opening </w:t>
            </w:r>
            <w:r w:rsidRPr="005B5418">
              <w:rPr>
                <w:rFonts w:eastAsia="Arial Unicode MS" w:cs="Arial"/>
                <w:szCs w:val="22"/>
              </w:rPr>
              <w:lastRenderedPageBreak/>
              <w:t>balance date? (SFFAS 10, para. 36d(ii)(a) and (b))</w:t>
            </w:r>
          </w:p>
          <w:p w14:paraId="03439088" w14:textId="77777777" w:rsidR="0088655A" w:rsidRPr="005B5418" w:rsidRDefault="0088655A" w:rsidP="001C373E">
            <w:pPr>
              <w:pStyle w:val="FAM-Table-outline"/>
              <w:widowControl/>
              <w:numPr>
                <w:ilvl w:val="0"/>
                <w:numId w:val="0"/>
              </w:numPr>
              <w:adjustRightInd/>
              <w:spacing w:line="240" w:lineRule="auto"/>
              <w:ind w:left="666"/>
              <w:textAlignment w:val="auto"/>
              <w:rPr>
                <w:rFonts w:cs="Arial"/>
              </w:rPr>
            </w:pPr>
          </w:p>
        </w:tc>
        <w:tc>
          <w:tcPr>
            <w:tcW w:w="963" w:type="dxa"/>
            <w:shd w:val="clear" w:color="auto" w:fill="auto"/>
          </w:tcPr>
          <w:p w14:paraId="520C549F"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3E173FD7" w14:textId="77777777" w:rsidR="0088655A" w:rsidRPr="005B5418" w:rsidRDefault="0088655A" w:rsidP="001C373E">
            <w:pPr>
              <w:pStyle w:val="BodyTextIndent"/>
              <w:spacing w:before="60" w:after="60"/>
              <w:rPr>
                <w:rFonts w:cs="Arial"/>
                <w:lang w:val="pt-BR"/>
              </w:rPr>
            </w:pPr>
          </w:p>
        </w:tc>
      </w:tr>
      <w:tr w:rsidR="0088655A" w:rsidRPr="005B5418" w14:paraId="60B5E714"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15444050" w14:textId="77777777" w:rsidR="0088655A" w:rsidRPr="005B5418" w:rsidRDefault="0088655A" w:rsidP="001C373E">
            <w:pPr>
              <w:pStyle w:val="FAM-Table-outline"/>
              <w:numPr>
                <w:ilvl w:val="0"/>
                <w:numId w:val="5"/>
              </w:numPr>
              <w:spacing w:line="240" w:lineRule="auto"/>
              <w:rPr>
                <w:rFonts w:eastAsia="Arial Unicode MS"/>
              </w:rPr>
            </w:pPr>
            <w:r w:rsidRPr="005B5418">
              <w:rPr>
                <w:rFonts w:cs="Arial"/>
              </w:rPr>
              <w:t>If applicable, does the reporting entity recognize internal use software development in opening balances based on the recognition and measurement of internal use software as contained in paragraphs 15–27 of SFFAS 10, (see questions related to SFFAS 10, paras. 15–27 above) or on the alternative valuation method (deemed cost)? (SFFAS 10, para. 36d. (ii)(b))</w:t>
            </w:r>
          </w:p>
        </w:tc>
        <w:tc>
          <w:tcPr>
            <w:tcW w:w="963" w:type="dxa"/>
            <w:shd w:val="clear" w:color="auto" w:fill="auto"/>
          </w:tcPr>
          <w:p w14:paraId="76640690"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765CC9C8" w14:textId="77777777" w:rsidR="0088655A" w:rsidRPr="005B5418" w:rsidRDefault="0088655A" w:rsidP="001C373E">
            <w:pPr>
              <w:pStyle w:val="BodyTextIndent"/>
              <w:spacing w:before="60" w:after="60"/>
              <w:rPr>
                <w:rFonts w:cs="Arial"/>
                <w:lang w:val="pt-BR"/>
              </w:rPr>
            </w:pPr>
          </w:p>
        </w:tc>
      </w:tr>
      <w:tr w:rsidR="0088655A" w:rsidRPr="005B5418" w14:paraId="3BD8A356"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3D6ED9FC" w14:textId="77777777" w:rsidR="0088655A" w:rsidRPr="005B5418" w:rsidRDefault="0088655A" w:rsidP="001C373E">
            <w:pPr>
              <w:pStyle w:val="FAM-Table-outline"/>
              <w:numPr>
                <w:ilvl w:val="0"/>
                <w:numId w:val="5"/>
              </w:numPr>
              <w:spacing w:line="240" w:lineRule="auto"/>
              <w:rPr>
                <w:rFonts w:eastAsia="Arial Unicode MS"/>
              </w:rPr>
            </w:pPr>
            <w:r w:rsidRPr="005B5418">
              <w:rPr>
                <w:rFonts w:cs="Arial"/>
              </w:rPr>
              <w:t>Is the reporting entity consistent with applying a particular alternative method for establishing an opening balance for internal use software within each individual subcomponent entity prior to consolidation into the larger component entity? (SFFAS 10, para. 36(d))</w:t>
            </w:r>
          </w:p>
        </w:tc>
        <w:tc>
          <w:tcPr>
            <w:tcW w:w="963" w:type="dxa"/>
            <w:shd w:val="clear" w:color="auto" w:fill="auto"/>
          </w:tcPr>
          <w:p w14:paraId="60AD6BB7"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780A3D25" w14:textId="77777777" w:rsidR="0088655A" w:rsidRPr="005B5418" w:rsidRDefault="0088655A" w:rsidP="001C373E">
            <w:pPr>
              <w:pStyle w:val="BodyTextIndent"/>
              <w:spacing w:before="60" w:after="60"/>
              <w:rPr>
                <w:rFonts w:cs="Arial"/>
                <w:lang w:val="pt-BR"/>
              </w:rPr>
            </w:pPr>
          </w:p>
        </w:tc>
      </w:tr>
      <w:tr w:rsidR="0088655A" w:rsidRPr="005B5418" w14:paraId="4EE9A6AE" w14:textId="77777777" w:rsidTr="001C373E">
        <w:tblPrEx>
          <w:tblCellMar>
            <w:left w:w="115" w:type="dxa"/>
            <w:right w:w="115" w:type="dxa"/>
          </w:tblCellMar>
          <w:tblLook w:val="0000" w:firstRow="0" w:lastRow="0" w:firstColumn="0" w:lastColumn="0" w:noHBand="0" w:noVBand="0"/>
        </w:tblPrEx>
        <w:trPr>
          <w:gridAfter w:val="1"/>
          <w:wAfter w:w="19" w:type="dxa"/>
          <w:trHeight w:val="377"/>
        </w:trPr>
        <w:tc>
          <w:tcPr>
            <w:tcW w:w="9581" w:type="dxa"/>
            <w:gridSpan w:val="3"/>
            <w:shd w:val="clear" w:color="auto" w:fill="auto"/>
          </w:tcPr>
          <w:p w14:paraId="00FEED7E" w14:textId="77777777" w:rsidR="0088655A" w:rsidRPr="005B5418" w:rsidRDefault="0088655A" w:rsidP="001C373E">
            <w:pPr>
              <w:pStyle w:val="BodyTextIndent"/>
              <w:spacing w:before="60" w:after="60"/>
              <w:rPr>
                <w:rFonts w:cs="Arial"/>
                <w:lang w:val="pt-BR"/>
              </w:rPr>
            </w:pPr>
            <w:r w:rsidRPr="005B5418">
              <w:rPr>
                <w:rFonts w:cs="Arial"/>
                <w:b/>
              </w:rPr>
              <w:t>Disclosure</w:t>
            </w:r>
          </w:p>
        </w:tc>
      </w:tr>
      <w:tr w:rsidR="0088655A" w:rsidRPr="005B5418" w14:paraId="496DCBA2"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74AC4BFB" w14:textId="77777777" w:rsidR="0088655A" w:rsidRPr="005B5418" w:rsidRDefault="0088655A" w:rsidP="001C373E">
            <w:pPr>
              <w:pStyle w:val="FAM-Table-outline"/>
              <w:widowControl/>
              <w:numPr>
                <w:ilvl w:val="0"/>
                <w:numId w:val="13"/>
              </w:numPr>
              <w:adjustRightInd/>
              <w:spacing w:line="240" w:lineRule="auto"/>
              <w:textAlignment w:val="auto"/>
              <w:rPr>
                <w:rFonts w:cs="Arial"/>
              </w:rPr>
            </w:pPr>
            <w:r w:rsidRPr="005B5418">
              <w:rPr>
                <w:rFonts w:cs="Arial"/>
              </w:rPr>
              <w:t>Does entity disclosure of capitalized software include</w:t>
            </w:r>
          </w:p>
          <w:p w14:paraId="10EBE1A2"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cost, associated amortization, and book value;</w:t>
            </w:r>
          </w:p>
          <w:p w14:paraId="443BCAA9"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the estimated useful life for each major class of software; and </w:t>
            </w:r>
          </w:p>
          <w:p w14:paraId="44DA81D2"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the method(s) of amortization?</w:t>
            </w:r>
          </w:p>
          <w:p w14:paraId="0DB3399F" w14:textId="77777777" w:rsidR="0088655A" w:rsidRPr="005B5418" w:rsidRDefault="0088655A" w:rsidP="001C373E">
            <w:pPr>
              <w:pStyle w:val="FAM-Table-outline"/>
              <w:numPr>
                <w:ilvl w:val="0"/>
                <w:numId w:val="0"/>
              </w:numPr>
              <w:spacing w:line="240" w:lineRule="auto"/>
              <w:ind w:left="666" w:hanging="576"/>
              <w:rPr>
                <w:rFonts w:eastAsia="Arial Unicode MS"/>
              </w:rPr>
            </w:pPr>
            <w:r w:rsidRPr="005B5418">
              <w:rPr>
                <w:rFonts w:eastAsia="Arial Unicode MS"/>
              </w:rPr>
              <w:br/>
              <w:t>(SFFAS 10, para. 35; SFFAS 6, para. 45)</w:t>
            </w:r>
          </w:p>
        </w:tc>
        <w:tc>
          <w:tcPr>
            <w:tcW w:w="963" w:type="dxa"/>
            <w:shd w:val="clear" w:color="auto" w:fill="auto"/>
          </w:tcPr>
          <w:p w14:paraId="2FB6448E"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7E70D379" w14:textId="77777777" w:rsidR="0088655A" w:rsidRPr="005B5418" w:rsidRDefault="0088655A" w:rsidP="001C373E">
            <w:pPr>
              <w:pStyle w:val="BodyTextIndent"/>
              <w:spacing w:before="60" w:after="60"/>
              <w:rPr>
                <w:rFonts w:cs="Arial"/>
                <w:lang w:val="pt-BR"/>
              </w:rPr>
            </w:pPr>
          </w:p>
        </w:tc>
      </w:tr>
      <w:tr w:rsidR="0088655A" w:rsidRPr="005B5418" w14:paraId="48113E47"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1429D74D" w14:textId="77777777" w:rsidR="0088655A" w:rsidRPr="005B5418" w:rsidRDefault="0088655A" w:rsidP="001C373E">
            <w:pPr>
              <w:pStyle w:val="FAM-Table-outline"/>
              <w:widowControl/>
              <w:numPr>
                <w:ilvl w:val="0"/>
                <w:numId w:val="13"/>
              </w:numPr>
              <w:adjustRightInd/>
              <w:spacing w:line="240" w:lineRule="auto"/>
              <w:textAlignment w:val="auto"/>
              <w:rPr>
                <w:rFonts w:cs="Arial"/>
              </w:rPr>
            </w:pPr>
            <w:r w:rsidRPr="005B5418">
              <w:rPr>
                <w:rFonts w:cs="Arial"/>
              </w:rPr>
              <w:t>If, during any of the periods presented, the entity initially elected to apply an alternative valuation method (i.e., deemed cost) in establishing opening balances for one or more line items related to internal use software, did the entity</w:t>
            </w:r>
          </w:p>
          <w:p w14:paraId="24356976" w14:textId="77777777" w:rsidR="0088655A" w:rsidRPr="005B5418" w:rsidRDefault="0088655A" w:rsidP="001C373E">
            <w:pPr>
              <w:pStyle w:val="FAM-Table-outline2"/>
              <w:numPr>
                <w:ilvl w:val="1"/>
                <w:numId w:val="1"/>
              </w:numPr>
              <w:spacing w:line="240" w:lineRule="auto"/>
              <w:ind w:left="1059" w:hanging="429"/>
              <w:rPr>
                <w:rFonts w:eastAsia="Arial Unicode MS"/>
              </w:rPr>
            </w:pPr>
            <w:r w:rsidRPr="005B5418">
              <w:rPr>
                <w:rFonts w:eastAsia="Arial Unicode MS"/>
              </w:rPr>
              <w:t>disclose that it elected to apply an alternative valuation method;</w:t>
            </w:r>
          </w:p>
          <w:p w14:paraId="301B8818" w14:textId="77777777" w:rsidR="0088655A" w:rsidRPr="005B5418" w:rsidRDefault="0088655A" w:rsidP="001C373E">
            <w:pPr>
              <w:pStyle w:val="FAM-Table-outline2"/>
              <w:numPr>
                <w:ilvl w:val="1"/>
                <w:numId w:val="1"/>
              </w:numPr>
              <w:spacing w:line="240" w:lineRule="auto"/>
              <w:ind w:left="1059" w:hanging="429"/>
              <w:rPr>
                <w:rFonts w:eastAsia="Arial Unicode MS"/>
              </w:rPr>
            </w:pPr>
            <w:r w:rsidRPr="005B5418">
              <w:rPr>
                <w:rFonts w:eastAsia="Arial Unicode MS"/>
              </w:rPr>
              <w:t>describe the method; and</w:t>
            </w:r>
          </w:p>
          <w:p w14:paraId="2B40CB59" w14:textId="77777777" w:rsidR="0088655A" w:rsidRPr="005B5418" w:rsidRDefault="0088655A" w:rsidP="001C373E">
            <w:pPr>
              <w:pStyle w:val="FAM-Table-outline2"/>
              <w:numPr>
                <w:ilvl w:val="1"/>
                <w:numId w:val="1"/>
              </w:numPr>
              <w:spacing w:line="240" w:lineRule="auto"/>
              <w:ind w:left="1059" w:hanging="429"/>
              <w:rPr>
                <w:rFonts w:eastAsia="Arial Unicode MS"/>
              </w:rPr>
            </w:pPr>
            <w:r w:rsidRPr="005B5418">
              <w:rPr>
                <w:rFonts w:eastAsia="Arial Unicode MS"/>
              </w:rPr>
              <w:t xml:space="preserve">treat the election as a change in accounting principle by reporting the change in accordance with SFFAS 21, paragraph 13? (SFFAS 10, paras. 36(f)(i) </w:t>
            </w:r>
            <w:r w:rsidRPr="005B5418">
              <w:rPr>
                <w:rFonts w:eastAsia="Arial Unicode MS"/>
              </w:rPr>
              <w:lastRenderedPageBreak/>
              <w:t>and</w:t>
            </w:r>
            <w:r w:rsidRPr="005B5418">
              <w:rPr>
                <w:rFonts w:cs="Arial"/>
              </w:rPr>
              <w:t xml:space="preserve"> 36(c))</w:t>
            </w:r>
          </w:p>
          <w:p w14:paraId="6FC5EBDF" w14:textId="77777777" w:rsidR="0088655A" w:rsidRPr="005B5418" w:rsidRDefault="0088655A" w:rsidP="001C373E">
            <w:pPr>
              <w:pStyle w:val="FAM-Table-outline"/>
              <w:numPr>
                <w:ilvl w:val="0"/>
                <w:numId w:val="0"/>
              </w:numPr>
              <w:spacing w:line="240" w:lineRule="auto"/>
              <w:ind w:left="666"/>
              <w:rPr>
                <w:rFonts w:eastAsia="Arial Unicode MS"/>
              </w:rPr>
            </w:pPr>
          </w:p>
        </w:tc>
        <w:tc>
          <w:tcPr>
            <w:tcW w:w="963" w:type="dxa"/>
            <w:shd w:val="clear" w:color="auto" w:fill="auto"/>
          </w:tcPr>
          <w:p w14:paraId="16F6C259"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138A9F62" w14:textId="77777777" w:rsidR="0088655A" w:rsidRPr="005B5418" w:rsidRDefault="0088655A" w:rsidP="001C373E">
            <w:pPr>
              <w:pStyle w:val="BodyTextIndent"/>
              <w:spacing w:before="60" w:after="60"/>
              <w:rPr>
                <w:rFonts w:cs="Arial"/>
                <w:lang w:val="pt-BR"/>
              </w:rPr>
            </w:pPr>
          </w:p>
        </w:tc>
      </w:tr>
      <w:tr w:rsidR="0088655A" w:rsidRPr="005B5418" w14:paraId="1F1E87B4"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588F152A" w14:textId="77777777" w:rsidR="0088655A" w:rsidRPr="005B5418" w:rsidRDefault="0088655A" w:rsidP="001C373E">
            <w:pPr>
              <w:pStyle w:val="FAM-Table-outline"/>
              <w:widowControl/>
              <w:numPr>
                <w:ilvl w:val="0"/>
                <w:numId w:val="13"/>
              </w:numPr>
              <w:adjustRightInd/>
              <w:spacing w:line="240" w:lineRule="auto"/>
              <w:textAlignment w:val="auto"/>
              <w:rPr>
                <w:rFonts w:cs="Arial"/>
              </w:rPr>
            </w:pPr>
            <w:r w:rsidRPr="005B5418">
              <w:rPr>
                <w:rFonts w:cs="Arial"/>
              </w:rPr>
              <w:t>If, during any of the periods presented, the entity initially elected to prospectively capitalize one or more line items in establishing opening balances for internal use software, did the entity</w:t>
            </w:r>
          </w:p>
          <w:p w14:paraId="042BD144"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disclose that it elected to apply an alternative method;</w:t>
            </w:r>
          </w:p>
          <w:p w14:paraId="2007CB7D"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describe the method used; and</w:t>
            </w:r>
          </w:p>
          <w:p w14:paraId="66162D36" w14:textId="77777777" w:rsidR="0088655A" w:rsidRPr="005B5418" w:rsidRDefault="0088655A"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treat the election as a change in accounting principle by reporting the change in accordance with SFFAS 21, paragraph 13? (SFFAS 10, paras. 36(f)(ii) and 36(c))</w:t>
            </w:r>
          </w:p>
          <w:p w14:paraId="7BD1504C" w14:textId="77777777" w:rsidR="0088655A" w:rsidRPr="005B5418" w:rsidRDefault="0088655A" w:rsidP="001C373E">
            <w:pPr>
              <w:pStyle w:val="FAM-Table-outline"/>
              <w:widowControl/>
              <w:numPr>
                <w:ilvl w:val="0"/>
                <w:numId w:val="0"/>
              </w:numPr>
              <w:adjustRightInd/>
              <w:spacing w:line="240" w:lineRule="auto"/>
              <w:ind w:left="666"/>
              <w:textAlignment w:val="auto"/>
              <w:rPr>
                <w:rFonts w:cs="Arial"/>
              </w:rPr>
            </w:pPr>
          </w:p>
        </w:tc>
        <w:tc>
          <w:tcPr>
            <w:tcW w:w="963" w:type="dxa"/>
            <w:shd w:val="clear" w:color="auto" w:fill="auto"/>
          </w:tcPr>
          <w:p w14:paraId="28027217"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00DFA737" w14:textId="77777777" w:rsidR="0088655A" w:rsidRPr="005B5418" w:rsidRDefault="0088655A" w:rsidP="001C373E">
            <w:pPr>
              <w:pStyle w:val="BodyTextIndent"/>
              <w:spacing w:before="60" w:after="60"/>
              <w:rPr>
                <w:rFonts w:cs="Arial"/>
                <w:lang w:val="pt-BR"/>
              </w:rPr>
            </w:pPr>
          </w:p>
        </w:tc>
      </w:tr>
      <w:tr w:rsidR="0088655A" w:rsidRPr="005B5418" w14:paraId="0D960229" w14:textId="77777777" w:rsidTr="001C373E">
        <w:tblPrEx>
          <w:tblCellMar>
            <w:left w:w="115" w:type="dxa"/>
            <w:right w:w="115" w:type="dxa"/>
          </w:tblCellMar>
          <w:tblLook w:val="0000" w:firstRow="0" w:lastRow="0" w:firstColumn="0" w:lastColumn="0" w:noHBand="0" w:noVBand="0"/>
        </w:tblPrEx>
        <w:trPr>
          <w:gridAfter w:val="1"/>
          <w:wAfter w:w="19" w:type="dxa"/>
          <w:trHeight w:val="719"/>
        </w:trPr>
        <w:tc>
          <w:tcPr>
            <w:tcW w:w="5398" w:type="dxa"/>
            <w:shd w:val="clear" w:color="auto" w:fill="auto"/>
          </w:tcPr>
          <w:p w14:paraId="7148C9FF" w14:textId="77777777" w:rsidR="0088655A" w:rsidRPr="005B5418" w:rsidRDefault="0088655A" w:rsidP="001C373E">
            <w:pPr>
              <w:pStyle w:val="FAM-Table-outline"/>
              <w:widowControl/>
              <w:numPr>
                <w:ilvl w:val="0"/>
                <w:numId w:val="13"/>
              </w:numPr>
              <w:adjustRightInd/>
              <w:spacing w:line="240" w:lineRule="auto"/>
              <w:textAlignment w:val="auto"/>
              <w:rPr>
                <w:rFonts w:cs="Arial"/>
              </w:rPr>
            </w:pPr>
            <w:r w:rsidRPr="005B5418">
              <w:rPr>
                <w:rFonts w:cs="Arial"/>
              </w:rPr>
              <w:t>If different alternative methods are elected by subcomponent entities consolidated into the reporting entity for internal use software, does the entity disclose the alternative method adopted by each significant subcomponent? (SFFAS 10, para. 36(f)(ii)(a))</w:t>
            </w:r>
          </w:p>
        </w:tc>
        <w:tc>
          <w:tcPr>
            <w:tcW w:w="963" w:type="dxa"/>
            <w:shd w:val="clear" w:color="auto" w:fill="auto"/>
          </w:tcPr>
          <w:p w14:paraId="107A3D87" w14:textId="77777777" w:rsidR="0088655A" w:rsidRPr="005B5418" w:rsidRDefault="0088655A" w:rsidP="001C373E">
            <w:pPr>
              <w:pStyle w:val="Table-Cell-CenterBoldBefore6ptAfter6pt"/>
              <w:spacing w:before="60" w:after="60"/>
              <w:rPr>
                <w:rFonts w:cs="Arial"/>
                <w:lang w:val="pt-BR"/>
              </w:rPr>
            </w:pPr>
          </w:p>
        </w:tc>
        <w:tc>
          <w:tcPr>
            <w:tcW w:w="3220" w:type="dxa"/>
            <w:shd w:val="clear" w:color="auto" w:fill="auto"/>
          </w:tcPr>
          <w:p w14:paraId="3C9725E8" w14:textId="77777777" w:rsidR="0088655A" w:rsidRPr="005B5418" w:rsidRDefault="0088655A" w:rsidP="001C373E">
            <w:pPr>
              <w:pStyle w:val="BodyTextIndent"/>
              <w:spacing w:before="60" w:after="60"/>
              <w:rPr>
                <w:rFonts w:cs="Arial"/>
                <w:lang w:val="pt-BR"/>
              </w:rPr>
            </w:pPr>
          </w:p>
        </w:tc>
      </w:tr>
    </w:tbl>
    <w:p w14:paraId="77D8E547" w14:textId="77777777" w:rsidR="00EE25D9" w:rsidRPr="005B5418" w:rsidRDefault="00EE25D9"/>
    <w:p w14:paraId="4B74EB4F" w14:textId="77777777" w:rsidR="009F3048" w:rsidRPr="005B5418" w:rsidRDefault="009F3048" w:rsidP="003B61E9">
      <w:pPr>
        <w:spacing w:line="240" w:lineRule="auto"/>
        <w:rPr>
          <w:rFonts w:cs="Arial"/>
        </w:rPr>
      </w:pPr>
      <w:bookmarkStart w:id="167" w:name="_II.3.8.10_General_Property,"/>
      <w:bookmarkEnd w:id="167"/>
    </w:p>
    <w:p w14:paraId="5F741814" w14:textId="77777777" w:rsidR="009F3048" w:rsidRPr="005B5418" w:rsidRDefault="009F3048"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65"/>
        <w:gridCol w:w="3211"/>
      </w:tblGrid>
      <w:tr w:rsidR="009F3048" w:rsidRPr="005B5418" w14:paraId="5A356C6D" w14:textId="77777777" w:rsidTr="00B927B0">
        <w:trPr>
          <w:tblHeader/>
        </w:trPr>
        <w:tc>
          <w:tcPr>
            <w:tcW w:w="5400" w:type="dxa"/>
            <w:tcBorders>
              <w:top w:val="single" w:sz="4" w:space="0" w:color="auto"/>
              <w:left w:val="single" w:sz="4" w:space="0" w:color="auto"/>
              <w:bottom w:val="single" w:sz="4" w:space="0" w:color="auto"/>
              <w:right w:val="single" w:sz="4" w:space="0" w:color="auto"/>
            </w:tcBorders>
          </w:tcPr>
          <w:p w14:paraId="03CCA411" w14:textId="77777777" w:rsidR="009F3048" w:rsidRPr="005B5418" w:rsidRDefault="009F3048" w:rsidP="008848DA">
            <w:pPr>
              <w:pStyle w:val="Heading4"/>
              <w:spacing w:before="60" w:after="60" w:line="240" w:lineRule="auto"/>
              <w:jc w:val="left"/>
              <w:rPr>
                <w:b/>
                <w:u w:val="none"/>
              </w:rPr>
            </w:pPr>
            <w:bookmarkStart w:id="168" w:name="_II.3.8.11_Stewardship_PP&amp;E"/>
            <w:bookmarkEnd w:id="168"/>
            <w:r w:rsidRPr="005B5418">
              <w:rPr>
                <w:b/>
                <w:u w:val="none"/>
              </w:rPr>
              <w:lastRenderedPageBreak/>
              <w:br w:type="page"/>
            </w:r>
            <w:bookmarkStart w:id="169" w:name="_Ref392094460"/>
            <w:bookmarkStart w:id="170" w:name="_Toc394667901"/>
            <w:bookmarkStart w:id="171" w:name="_Ref399501182"/>
            <w:bookmarkStart w:id="172" w:name="_Ref400010344"/>
            <w:bookmarkStart w:id="173" w:name="_Ref384816077"/>
            <w:r w:rsidRPr="005B5418">
              <w:rPr>
                <w:b/>
                <w:u w:val="none"/>
              </w:rPr>
              <w:t xml:space="preserve">II.3.8.11 </w:t>
            </w:r>
            <w:bookmarkEnd w:id="169"/>
            <w:bookmarkEnd w:id="170"/>
            <w:bookmarkEnd w:id="171"/>
            <w:r w:rsidRPr="005B5418">
              <w:rPr>
                <w:b/>
                <w:u w:val="none"/>
              </w:rPr>
              <w:t>Stewardship P</w:t>
            </w:r>
            <w:r w:rsidR="008D04D7" w:rsidRPr="005B5418">
              <w:rPr>
                <w:b/>
                <w:u w:val="none"/>
              </w:rPr>
              <w:t xml:space="preserve">roperty, </w:t>
            </w:r>
            <w:r w:rsidRPr="005B5418">
              <w:rPr>
                <w:b/>
                <w:u w:val="none"/>
              </w:rPr>
              <w:t>P</w:t>
            </w:r>
            <w:r w:rsidR="008D04D7" w:rsidRPr="005B5418">
              <w:rPr>
                <w:b/>
                <w:u w:val="none"/>
              </w:rPr>
              <w:t xml:space="preserve">lant, and </w:t>
            </w:r>
            <w:r w:rsidRPr="005B5418">
              <w:rPr>
                <w:b/>
                <w:u w:val="none"/>
              </w:rPr>
              <w:t>E</w:t>
            </w:r>
            <w:bookmarkEnd w:id="172"/>
            <w:bookmarkEnd w:id="173"/>
            <w:r w:rsidR="008D04D7" w:rsidRPr="005B5418">
              <w:rPr>
                <w:b/>
                <w:u w:val="none"/>
              </w:rPr>
              <w:t>quipment</w:t>
            </w:r>
          </w:p>
        </w:tc>
        <w:tc>
          <w:tcPr>
            <w:tcW w:w="965" w:type="dxa"/>
            <w:tcBorders>
              <w:top w:val="single" w:sz="4" w:space="0" w:color="auto"/>
              <w:left w:val="single" w:sz="4" w:space="0" w:color="auto"/>
              <w:bottom w:val="single" w:sz="4" w:space="0" w:color="auto"/>
              <w:right w:val="single" w:sz="4" w:space="0" w:color="auto"/>
            </w:tcBorders>
          </w:tcPr>
          <w:p w14:paraId="5CBEC9C2" w14:textId="77777777" w:rsidR="009F3048" w:rsidRPr="005B5418" w:rsidRDefault="009F3048" w:rsidP="00B927B0">
            <w:pPr>
              <w:pStyle w:val="TableCellCenter"/>
              <w:jc w:val="left"/>
            </w:pPr>
            <w:r w:rsidRPr="005B5418">
              <w:t>Yes, No, or N/A</w:t>
            </w:r>
          </w:p>
        </w:tc>
        <w:tc>
          <w:tcPr>
            <w:tcW w:w="3211" w:type="dxa"/>
            <w:tcBorders>
              <w:top w:val="single" w:sz="4" w:space="0" w:color="auto"/>
              <w:left w:val="single" w:sz="4" w:space="0" w:color="auto"/>
              <w:bottom w:val="single" w:sz="4" w:space="0" w:color="auto"/>
              <w:right w:val="single" w:sz="4" w:space="0" w:color="auto"/>
            </w:tcBorders>
          </w:tcPr>
          <w:p w14:paraId="1E4F106A" w14:textId="39D0DA9C" w:rsidR="009F3048" w:rsidRPr="005B5418" w:rsidRDefault="009F3048" w:rsidP="001E0EB5">
            <w:pPr>
              <w:pStyle w:val="TableCellCenter"/>
              <w:jc w:val="left"/>
            </w:pPr>
            <w:r w:rsidRPr="005B5418">
              <w:t xml:space="preserve">Explanation </w:t>
            </w:r>
            <w:r w:rsidR="001E0EB5" w:rsidRPr="005B5418">
              <w:t xml:space="preserve">and </w:t>
            </w:r>
            <w:r w:rsidRPr="005B5418">
              <w:t>Reference</w:t>
            </w:r>
          </w:p>
        </w:tc>
      </w:tr>
      <w:tr w:rsidR="009F3048" w:rsidRPr="005B5418" w14:paraId="597D4F2A" w14:textId="77777777" w:rsidTr="00113F40">
        <w:trPr>
          <w:cantSplit/>
        </w:trPr>
        <w:tc>
          <w:tcPr>
            <w:tcW w:w="9576" w:type="dxa"/>
            <w:gridSpan w:val="3"/>
          </w:tcPr>
          <w:p w14:paraId="4E8D7B19" w14:textId="4CA1960B" w:rsidR="009F3048" w:rsidRPr="005B5418" w:rsidRDefault="009F3048" w:rsidP="008848DA">
            <w:pPr>
              <w:pStyle w:val="Table-Note"/>
              <w:spacing w:before="60" w:after="60" w:line="240" w:lineRule="auto"/>
              <w:ind w:left="-23"/>
              <w:jc w:val="left"/>
              <w:rPr>
                <w:rFonts w:cs="Arial"/>
                <w:i w:val="0"/>
                <w:sz w:val="22"/>
                <w:szCs w:val="22"/>
              </w:rPr>
            </w:pPr>
            <w:r w:rsidRPr="005B5418">
              <w:rPr>
                <w:rFonts w:cs="Arial"/>
                <w:i w:val="0"/>
                <w:sz w:val="22"/>
                <w:szCs w:val="22"/>
              </w:rPr>
              <w:t>Stewardship PP&amp;E includes heritage assets and stewardship land. PP&amp;E are classified as heritage assets if they have (1) historical or natural significance; (2) cultural, educational, or artistic importance; or (3) significant architectural characteristic. Multi</w:t>
            </w:r>
            <w:r w:rsidR="00831FD8" w:rsidRPr="005B5418">
              <w:rPr>
                <w:rFonts w:cs="Arial"/>
                <w:i w:val="0"/>
                <w:sz w:val="22"/>
                <w:szCs w:val="22"/>
              </w:rPr>
              <w:t>-</w:t>
            </w:r>
            <w:r w:rsidRPr="005B5418">
              <w:rPr>
                <w:rFonts w:cs="Arial"/>
                <w:i w:val="0"/>
                <w:sz w:val="22"/>
                <w:szCs w:val="22"/>
              </w:rPr>
              <w:t>use heritage assets are heritage assets that are predominately used in general government operations (e.g., buildings</w:t>
            </w:r>
            <w:r w:rsidR="00DF5D7E" w:rsidRPr="005B5418">
              <w:rPr>
                <w:rFonts w:cs="Arial"/>
                <w:i w:val="0"/>
                <w:sz w:val="22"/>
                <w:szCs w:val="22"/>
              </w:rPr>
              <w:t>,</w:t>
            </w:r>
            <w:r w:rsidRPr="005B5418">
              <w:rPr>
                <w:rFonts w:cs="Arial"/>
                <w:i w:val="0"/>
                <w:sz w:val="22"/>
                <w:szCs w:val="22"/>
              </w:rPr>
              <w:t xml:space="preserve"> such as the main Treasury building, which is used as an office building). (SFFAS 29, par</w:t>
            </w:r>
            <w:r w:rsidR="00DF5D7E" w:rsidRPr="005B5418">
              <w:rPr>
                <w:rFonts w:cs="Arial"/>
                <w:i w:val="0"/>
                <w:sz w:val="22"/>
                <w:szCs w:val="22"/>
              </w:rPr>
              <w:t>as</w:t>
            </w:r>
            <w:r w:rsidRPr="005B5418">
              <w:rPr>
                <w:rFonts w:cs="Arial"/>
                <w:i w:val="0"/>
                <w:sz w:val="22"/>
                <w:szCs w:val="22"/>
              </w:rPr>
              <w:t>. 15</w:t>
            </w:r>
            <w:r w:rsidR="00EF6341" w:rsidRPr="005B5418">
              <w:rPr>
                <w:rFonts w:cs="Arial"/>
                <w:i w:val="0"/>
                <w:sz w:val="22"/>
                <w:szCs w:val="22"/>
              </w:rPr>
              <w:t xml:space="preserve">, </w:t>
            </w:r>
            <w:r w:rsidR="00E324BF" w:rsidRPr="005B5418">
              <w:rPr>
                <w:rFonts w:cs="Arial"/>
                <w:i w:val="0"/>
                <w:sz w:val="22"/>
                <w:szCs w:val="22"/>
              </w:rPr>
              <w:t xml:space="preserve">18, </w:t>
            </w:r>
            <w:r w:rsidR="00114F87" w:rsidRPr="005B5418">
              <w:rPr>
                <w:rFonts w:cs="Arial"/>
                <w:i w:val="0"/>
                <w:sz w:val="22"/>
                <w:szCs w:val="22"/>
              </w:rPr>
              <w:t>and</w:t>
            </w:r>
            <w:r w:rsidR="00E324BF" w:rsidRPr="005B5418">
              <w:rPr>
                <w:rFonts w:cs="Arial"/>
                <w:i w:val="0"/>
                <w:sz w:val="22"/>
                <w:szCs w:val="22"/>
              </w:rPr>
              <w:t xml:space="preserve"> 22</w:t>
            </w:r>
            <w:r w:rsidRPr="005B5418">
              <w:rPr>
                <w:rFonts w:cs="Arial"/>
                <w:i w:val="0"/>
                <w:sz w:val="22"/>
                <w:szCs w:val="22"/>
              </w:rPr>
              <w:t>)</w:t>
            </w:r>
          </w:p>
          <w:p w14:paraId="24B83E55" w14:textId="3DAD84A8" w:rsidR="009F3048" w:rsidRPr="005B5418" w:rsidRDefault="009F3048" w:rsidP="008848DA">
            <w:pPr>
              <w:pStyle w:val="Table-Note"/>
              <w:spacing w:before="60" w:after="60" w:line="240" w:lineRule="auto"/>
              <w:ind w:left="-23"/>
              <w:jc w:val="left"/>
              <w:rPr>
                <w:rFonts w:cs="Arial"/>
                <w:i w:val="0"/>
                <w:sz w:val="22"/>
                <w:szCs w:val="22"/>
              </w:rPr>
            </w:pPr>
            <w:r w:rsidRPr="005B5418">
              <w:rPr>
                <w:rFonts w:cs="Arial"/>
                <w:i w:val="0"/>
                <w:sz w:val="22"/>
                <w:szCs w:val="22"/>
              </w:rPr>
              <w:t xml:space="preserve">Stewardship land is land and land rights owned by the federal government but not acquired for or in connection with items of </w:t>
            </w:r>
            <w:r w:rsidR="000A0C1F" w:rsidRPr="005B5418">
              <w:rPr>
                <w:rFonts w:cs="Arial"/>
                <w:i w:val="0"/>
                <w:sz w:val="22"/>
                <w:szCs w:val="22"/>
              </w:rPr>
              <w:t>PP&amp;E</w:t>
            </w:r>
            <w:r w:rsidRPr="005B5418">
              <w:rPr>
                <w:rFonts w:cs="Arial"/>
                <w:i w:val="0"/>
                <w:sz w:val="22"/>
                <w:szCs w:val="22"/>
              </w:rPr>
              <w:t>. (SFFAS 29, par</w:t>
            </w:r>
            <w:r w:rsidR="00DF5D7E" w:rsidRPr="005B5418">
              <w:rPr>
                <w:rFonts w:cs="Arial"/>
                <w:i w:val="0"/>
                <w:sz w:val="22"/>
                <w:szCs w:val="22"/>
              </w:rPr>
              <w:t>a</w:t>
            </w:r>
            <w:r w:rsidRPr="005B5418">
              <w:rPr>
                <w:rFonts w:cs="Arial"/>
                <w:i w:val="0"/>
                <w:sz w:val="22"/>
                <w:szCs w:val="22"/>
              </w:rPr>
              <w:t>. 33)</w:t>
            </w:r>
          </w:p>
          <w:p w14:paraId="78B7FE51" w14:textId="77777777" w:rsidR="00C01233" w:rsidRPr="005B5418" w:rsidRDefault="00C01233" w:rsidP="008848DA">
            <w:pPr>
              <w:pStyle w:val="Table-Note"/>
              <w:spacing w:before="60" w:after="60" w:line="240" w:lineRule="auto"/>
              <w:ind w:left="-23"/>
              <w:jc w:val="left"/>
              <w:rPr>
                <w:rFonts w:cs="Arial"/>
                <w:i w:val="0"/>
                <w:sz w:val="22"/>
                <w:szCs w:val="22"/>
              </w:rPr>
            </w:pPr>
            <w:r w:rsidRPr="005B5418">
              <w:rPr>
                <w:rFonts w:cs="Arial"/>
                <w:i w:val="0"/>
                <w:sz w:val="22"/>
                <w:szCs w:val="22"/>
              </w:rPr>
              <w:t>Also</w:t>
            </w:r>
            <w:r w:rsidR="00DF5D7E" w:rsidRPr="005B5418">
              <w:rPr>
                <w:rFonts w:cs="Arial"/>
                <w:i w:val="0"/>
                <w:sz w:val="22"/>
                <w:szCs w:val="22"/>
              </w:rPr>
              <w:t>,</w:t>
            </w:r>
            <w:r w:rsidRPr="005B5418">
              <w:rPr>
                <w:rFonts w:cs="Arial"/>
                <w:i w:val="0"/>
                <w:sz w:val="22"/>
                <w:szCs w:val="22"/>
              </w:rPr>
              <w:t xml:space="preserve"> see A-136, section II.3.8.11.</w:t>
            </w:r>
          </w:p>
          <w:p w14:paraId="4B3C0AF6" w14:textId="5162D7CF" w:rsidR="00E04637" w:rsidRPr="005B5418" w:rsidRDefault="00E04637" w:rsidP="00FC3CE9">
            <w:pPr>
              <w:pStyle w:val="Table-Note"/>
              <w:spacing w:before="60" w:after="60" w:line="240" w:lineRule="auto"/>
              <w:ind w:left="-23"/>
              <w:jc w:val="left"/>
              <w:rPr>
                <w:rFonts w:cs="Arial"/>
                <w:i w:val="0"/>
                <w:sz w:val="22"/>
                <w:szCs w:val="22"/>
              </w:rPr>
            </w:pPr>
            <w:r w:rsidRPr="005B5418">
              <w:rPr>
                <w:rFonts w:cs="Arial"/>
                <w:i w:val="0"/>
                <w:color w:val="auto"/>
                <w:sz w:val="22"/>
                <w:szCs w:val="22"/>
              </w:rPr>
              <w:t xml:space="preserve">SFFAS 59, </w:t>
            </w:r>
            <w:r w:rsidRPr="005B5418">
              <w:rPr>
                <w:rFonts w:cs="Arial"/>
                <w:color w:val="auto"/>
                <w:sz w:val="22"/>
                <w:szCs w:val="22"/>
              </w:rPr>
              <w:t>Accounting and Reporting of Government Land</w:t>
            </w:r>
            <w:r w:rsidRPr="005B5418">
              <w:rPr>
                <w:rFonts w:cs="Arial"/>
                <w:i w:val="0"/>
                <w:color w:val="auto"/>
                <w:sz w:val="22"/>
                <w:szCs w:val="22"/>
              </w:rPr>
              <w:t xml:space="preserve">, amends SFFAS 6 and SFFAS 29, among other standards, requires that certain information be presented as RSI for FYs 2022 through 2025 and transition to note disclosures in FY 2026. </w:t>
            </w:r>
            <w:r w:rsidRPr="005B5418">
              <w:rPr>
                <w:rFonts w:cs="Arial"/>
                <w:i w:val="0"/>
                <w:sz w:val="22"/>
                <w:szCs w:val="22"/>
              </w:rPr>
              <w:t>Existing display</w:t>
            </w:r>
            <w:r w:rsidR="00FC3CE9" w:rsidRPr="005B5418">
              <w:rPr>
                <w:rFonts w:cs="Arial"/>
                <w:i w:val="0"/>
                <w:sz w:val="22"/>
                <w:szCs w:val="22"/>
              </w:rPr>
              <w:t xml:space="preserve"> (balance sheet reference)</w:t>
            </w:r>
            <w:r w:rsidRPr="005B5418">
              <w:rPr>
                <w:rFonts w:cs="Arial"/>
                <w:i w:val="0"/>
                <w:sz w:val="22"/>
                <w:szCs w:val="22"/>
              </w:rPr>
              <w:t xml:space="preserve"> and disclosure for stewardship land should continue through fiscal year 2025.</w:t>
            </w:r>
            <w:r w:rsidR="00FC3CE9" w:rsidRPr="005B5418">
              <w:rPr>
                <w:rFonts w:cs="Arial"/>
                <w:i w:val="0"/>
                <w:sz w:val="22"/>
                <w:szCs w:val="22"/>
              </w:rPr>
              <w:t xml:space="preserve"> (SFFAS 59, para. 15)</w:t>
            </w:r>
          </w:p>
        </w:tc>
      </w:tr>
      <w:tr w:rsidR="0024041F" w:rsidRPr="005B5418" w14:paraId="5F7DBA86" w14:textId="77777777" w:rsidTr="00B927B0">
        <w:trPr>
          <w:cantSplit/>
          <w:trHeight w:val="1169"/>
        </w:trPr>
        <w:tc>
          <w:tcPr>
            <w:tcW w:w="5400" w:type="dxa"/>
          </w:tcPr>
          <w:p w14:paraId="3752E942" w14:textId="31FBFF70" w:rsidR="0024041F" w:rsidRPr="005B5418" w:rsidRDefault="00C36759" w:rsidP="00343610">
            <w:pPr>
              <w:pStyle w:val="FAM-Table-outline"/>
              <w:widowControl/>
              <w:numPr>
                <w:ilvl w:val="0"/>
                <w:numId w:val="14"/>
              </w:numPr>
              <w:adjustRightInd/>
              <w:spacing w:line="240" w:lineRule="auto"/>
              <w:textAlignment w:val="auto"/>
              <w:rPr>
                <w:rFonts w:eastAsia="Arial Unicode MS"/>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726BDE" w:rsidRPr="005B5418">
              <w:rPr>
                <w:rFonts w:eastAsia="Arial Unicode MS" w:cs="Arial"/>
                <w:szCs w:val="22"/>
              </w:rPr>
              <w:t>.</w:t>
            </w:r>
            <w:r w:rsidRPr="005B5418">
              <w:rPr>
                <w:rFonts w:eastAsia="Arial Unicode MS" w:cs="Arial"/>
                <w:szCs w:val="22"/>
              </w:rPr>
              <w:t>)</w:t>
            </w:r>
          </w:p>
        </w:tc>
        <w:tc>
          <w:tcPr>
            <w:tcW w:w="965" w:type="dxa"/>
          </w:tcPr>
          <w:p w14:paraId="02CB4B24" w14:textId="77777777" w:rsidR="0024041F" w:rsidRPr="005B5418" w:rsidRDefault="0024041F" w:rsidP="003B61E9">
            <w:pPr>
              <w:pStyle w:val="Table-Cell-CenterBoldBefore6ptAfter6pt"/>
              <w:rPr>
                <w:rFonts w:cs="Arial"/>
              </w:rPr>
            </w:pPr>
          </w:p>
        </w:tc>
        <w:tc>
          <w:tcPr>
            <w:tcW w:w="3211" w:type="dxa"/>
          </w:tcPr>
          <w:p w14:paraId="4C0E6677" w14:textId="77777777" w:rsidR="0024041F" w:rsidRPr="005B5418" w:rsidRDefault="0024041F" w:rsidP="003B61E9">
            <w:pPr>
              <w:spacing w:line="240" w:lineRule="auto"/>
              <w:rPr>
                <w:rFonts w:cs="Arial"/>
              </w:rPr>
            </w:pPr>
          </w:p>
        </w:tc>
      </w:tr>
      <w:tr w:rsidR="0024041F" w:rsidRPr="005B5418" w14:paraId="6CAAB205" w14:textId="77777777" w:rsidTr="0038293D">
        <w:trPr>
          <w:cantSplit/>
          <w:trHeight w:val="449"/>
        </w:trPr>
        <w:tc>
          <w:tcPr>
            <w:tcW w:w="9576" w:type="dxa"/>
            <w:gridSpan w:val="3"/>
          </w:tcPr>
          <w:p w14:paraId="7569889C" w14:textId="77777777" w:rsidR="0024041F" w:rsidRPr="005B5418" w:rsidRDefault="0024041F" w:rsidP="008848DA">
            <w:pPr>
              <w:spacing w:before="60" w:after="60" w:line="240" w:lineRule="auto"/>
              <w:rPr>
                <w:rFonts w:ascii="Arial" w:hAnsi="Arial" w:cs="Arial"/>
                <w:b/>
              </w:rPr>
            </w:pPr>
            <w:r w:rsidRPr="005B5418">
              <w:rPr>
                <w:rFonts w:ascii="Arial" w:hAnsi="Arial" w:cs="Arial"/>
                <w:b/>
              </w:rPr>
              <w:t>Accounting</w:t>
            </w:r>
          </w:p>
        </w:tc>
      </w:tr>
      <w:tr w:rsidR="00E324BF" w:rsidRPr="005B5418" w14:paraId="29D5C033" w14:textId="77777777" w:rsidTr="0038293D">
        <w:trPr>
          <w:cantSplit/>
          <w:trHeight w:val="1520"/>
        </w:trPr>
        <w:tc>
          <w:tcPr>
            <w:tcW w:w="5400" w:type="dxa"/>
          </w:tcPr>
          <w:p w14:paraId="6B7C52A4" w14:textId="7589AEBC" w:rsidR="00E324BF" w:rsidRPr="005B5418" w:rsidRDefault="00E324BF" w:rsidP="00343610">
            <w:pPr>
              <w:pStyle w:val="FAM-Table-outline"/>
              <w:widowControl/>
              <w:numPr>
                <w:ilvl w:val="0"/>
                <w:numId w:val="14"/>
              </w:numPr>
              <w:adjustRightInd/>
              <w:spacing w:line="240" w:lineRule="auto"/>
              <w:textAlignment w:val="auto"/>
              <w:rPr>
                <w:rFonts w:cs="Arial"/>
              </w:rPr>
            </w:pPr>
            <w:r w:rsidRPr="005B5418">
              <w:rPr>
                <w:rFonts w:eastAsia="Arial Unicode MS"/>
              </w:rPr>
              <w:t>Is the cost of acquisition, improvement, reconstruction</w:t>
            </w:r>
            <w:r w:rsidR="009F102A" w:rsidRPr="005B5418">
              <w:rPr>
                <w:rFonts w:eastAsia="Arial Unicode MS"/>
              </w:rPr>
              <w:t>,</w:t>
            </w:r>
            <w:r w:rsidRPr="005B5418">
              <w:rPr>
                <w:rFonts w:eastAsia="Arial Unicode MS"/>
              </w:rPr>
              <w:t xml:space="preserve"> or renovation of multi-use heritage asset(s) capitalized as </w:t>
            </w:r>
            <w:r w:rsidR="000A0C1F" w:rsidRPr="005B5418">
              <w:rPr>
                <w:rFonts w:eastAsia="Arial Unicode MS"/>
              </w:rPr>
              <w:t>PP&amp;E</w:t>
            </w:r>
            <w:r w:rsidRPr="005B5418">
              <w:rPr>
                <w:rFonts w:eastAsia="Arial Unicode MS"/>
              </w:rPr>
              <w:t xml:space="preserve"> and depreciated over its estimated useful life? (SFFAS 29, par</w:t>
            </w:r>
            <w:r w:rsidR="009F102A" w:rsidRPr="005B5418">
              <w:rPr>
                <w:rFonts w:eastAsia="Arial Unicode MS"/>
              </w:rPr>
              <w:t>a</w:t>
            </w:r>
            <w:r w:rsidRPr="005B5418">
              <w:rPr>
                <w:rFonts w:eastAsia="Arial Unicode MS"/>
              </w:rPr>
              <w:t>. 22)</w:t>
            </w:r>
          </w:p>
        </w:tc>
        <w:tc>
          <w:tcPr>
            <w:tcW w:w="965" w:type="dxa"/>
          </w:tcPr>
          <w:p w14:paraId="1B7B3BEA" w14:textId="77777777" w:rsidR="00E324BF" w:rsidRPr="005B5418" w:rsidRDefault="00E324BF" w:rsidP="003B61E9">
            <w:pPr>
              <w:pStyle w:val="Table-Cell-CenterBoldBefore6ptAfter6pt"/>
              <w:rPr>
                <w:rFonts w:cs="Arial"/>
              </w:rPr>
            </w:pPr>
          </w:p>
        </w:tc>
        <w:tc>
          <w:tcPr>
            <w:tcW w:w="3211" w:type="dxa"/>
          </w:tcPr>
          <w:p w14:paraId="61B64DDB" w14:textId="77777777" w:rsidR="00E324BF" w:rsidRPr="005B5418" w:rsidRDefault="00E324BF" w:rsidP="003B61E9">
            <w:pPr>
              <w:spacing w:line="240" w:lineRule="auto"/>
              <w:rPr>
                <w:rFonts w:cs="Arial"/>
              </w:rPr>
            </w:pPr>
          </w:p>
        </w:tc>
      </w:tr>
      <w:tr w:rsidR="00E324BF" w:rsidRPr="005B5418" w14:paraId="27BCADDF" w14:textId="77777777" w:rsidTr="0038293D">
        <w:trPr>
          <w:cantSplit/>
          <w:trHeight w:val="1259"/>
        </w:trPr>
        <w:tc>
          <w:tcPr>
            <w:tcW w:w="5400" w:type="dxa"/>
          </w:tcPr>
          <w:p w14:paraId="083B1EC0" w14:textId="1E493305" w:rsidR="00E324BF" w:rsidRPr="005B5418" w:rsidRDefault="00E324BF" w:rsidP="00343610">
            <w:pPr>
              <w:pStyle w:val="FAM-Table-outline"/>
              <w:widowControl/>
              <w:numPr>
                <w:ilvl w:val="0"/>
                <w:numId w:val="14"/>
              </w:numPr>
              <w:adjustRightInd/>
              <w:spacing w:line="240" w:lineRule="auto"/>
              <w:textAlignment w:val="auto"/>
              <w:rPr>
                <w:rFonts w:cs="Arial"/>
              </w:rPr>
            </w:pPr>
            <w:r w:rsidRPr="005B5418">
              <w:rPr>
                <w:rFonts w:eastAsia="Arial Unicode MS"/>
              </w:rPr>
              <w:t xml:space="preserve">Are multi-use heritage assets acquired through donation or devise recognized as </w:t>
            </w:r>
            <w:r w:rsidR="000A0C1F" w:rsidRPr="005B5418">
              <w:rPr>
                <w:rFonts w:eastAsia="Arial Unicode MS"/>
              </w:rPr>
              <w:t>PP&amp;E</w:t>
            </w:r>
            <w:r w:rsidRPr="005B5418">
              <w:rPr>
                <w:rFonts w:eastAsia="Arial Unicode MS"/>
              </w:rPr>
              <w:t xml:space="preserve"> at the assets’ fair value? (SFFAS 29, par</w:t>
            </w:r>
            <w:r w:rsidR="009F102A" w:rsidRPr="005B5418">
              <w:rPr>
                <w:rFonts w:eastAsia="Arial Unicode MS"/>
              </w:rPr>
              <w:t>a</w:t>
            </w:r>
            <w:r w:rsidRPr="005B5418">
              <w:rPr>
                <w:rFonts w:eastAsia="Arial Unicode MS"/>
              </w:rPr>
              <w:t>. 23)</w:t>
            </w:r>
          </w:p>
        </w:tc>
        <w:tc>
          <w:tcPr>
            <w:tcW w:w="965" w:type="dxa"/>
          </w:tcPr>
          <w:p w14:paraId="5F176465" w14:textId="77777777" w:rsidR="00E324BF" w:rsidRPr="005B5418" w:rsidRDefault="00E324BF" w:rsidP="003B61E9">
            <w:pPr>
              <w:pStyle w:val="Table-Cell-CenterBoldBefore6ptAfter6pt"/>
              <w:rPr>
                <w:rFonts w:cs="Arial"/>
              </w:rPr>
            </w:pPr>
          </w:p>
        </w:tc>
        <w:tc>
          <w:tcPr>
            <w:tcW w:w="3211" w:type="dxa"/>
          </w:tcPr>
          <w:p w14:paraId="1F735CD2" w14:textId="77777777" w:rsidR="00E324BF" w:rsidRPr="005B5418" w:rsidRDefault="00E324BF" w:rsidP="003B61E9">
            <w:pPr>
              <w:spacing w:line="240" w:lineRule="auto"/>
              <w:rPr>
                <w:rFonts w:cs="Arial"/>
              </w:rPr>
            </w:pPr>
          </w:p>
        </w:tc>
      </w:tr>
      <w:tr w:rsidR="00E324BF" w:rsidRPr="005B5418" w14:paraId="50343F91" w14:textId="77777777" w:rsidTr="0038293D">
        <w:trPr>
          <w:cantSplit/>
          <w:trHeight w:val="1241"/>
        </w:trPr>
        <w:tc>
          <w:tcPr>
            <w:tcW w:w="5400" w:type="dxa"/>
          </w:tcPr>
          <w:p w14:paraId="0C6705BA" w14:textId="3905280E" w:rsidR="00E324BF" w:rsidRPr="005B5418" w:rsidRDefault="00E324BF" w:rsidP="00343610">
            <w:pPr>
              <w:pStyle w:val="FAM-Table-outline"/>
              <w:widowControl/>
              <w:numPr>
                <w:ilvl w:val="0"/>
                <w:numId w:val="14"/>
              </w:numPr>
              <w:adjustRightInd/>
              <w:spacing w:line="240" w:lineRule="auto"/>
              <w:textAlignment w:val="auto"/>
              <w:rPr>
                <w:rFonts w:cs="Arial"/>
              </w:rPr>
            </w:pPr>
            <w:r w:rsidRPr="005B5418">
              <w:rPr>
                <w:rFonts w:eastAsia="Arial Unicode MS"/>
              </w:rPr>
              <w:t>For multi-use heritage assets acquired through donation or devise, are the asset</w:t>
            </w:r>
            <w:r w:rsidR="000D6CA5" w:rsidRPr="005B5418">
              <w:rPr>
                <w:rFonts w:eastAsia="Arial Unicode MS"/>
              </w:rPr>
              <w:t>s’</w:t>
            </w:r>
            <w:r w:rsidRPr="005B5418">
              <w:rPr>
                <w:rFonts w:eastAsia="Arial Unicode MS"/>
              </w:rPr>
              <w:t xml:space="preserve"> fair value also recognized as “nonexchange revenue,” as defined in SFFAS 7? (SFFAS 29, par</w:t>
            </w:r>
            <w:r w:rsidR="000D6CA5" w:rsidRPr="005B5418">
              <w:rPr>
                <w:rFonts w:eastAsia="Arial Unicode MS"/>
              </w:rPr>
              <w:t>a</w:t>
            </w:r>
            <w:r w:rsidRPr="005B5418">
              <w:rPr>
                <w:rFonts w:eastAsia="Arial Unicode MS"/>
              </w:rPr>
              <w:t>. 23)</w:t>
            </w:r>
          </w:p>
        </w:tc>
        <w:tc>
          <w:tcPr>
            <w:tcW w:w="965" w:type="dxa"/>
          </w:tcPr>
          <w:p w14:paraId="67536F82" w14:textId="77777777" w:rsidR="00E324BF" w:rsidRPr="005B5418" w:rsidRDefault="00E324BF" w:rsidP="003B61E9">
            <w:pPr>
              <w:pStyle w:val="Table-Cell-CenterBoldBefore6ptAfter6pt"/>
              <w:rPr>
                <w:rFonts w:cs="Arial"/>
              </w:rPr>
            </w:pPr>
          </w:p>
        </w:tc>
        <w:tc>
          <w:tcPr>
            <w:tcW w:w="3211" w:type="dxa"/>
          </w:tcPr>
          <w:p w14:paraId="06E9BE40" w14:textId="77777777" w:rsidR="00E324BF" w:rsidRPr="005B5418" w:rsidRDefault="00E324BF" w:rsidP="003B61E9">
            <w:pPr>
              <w:spacing w:line="240" w:lineRule="auto"/>
              <w:rPr>
                <w:rFonts w:cs="Arial"/>
              </w:rPr>
            </w:pPr>
          </w:p>
        </w:tc>
      </w:tr>
      <w:tr w:rsidR="00E2718A" w:rsidRPr="005B5418" w14:paraId="1DE4650D" w14:textId="77777777" w:rsidTr="0038293D">
        <w:trPr>
          <w:cantSplit/>
          <w:trHeight w:val="1430"/>
        </w:trPr>
        <w:tc>
          <w:tcPr>
            <w:tcW w:w="5400" w:type="dxa"/>
          </w:tcPr>
          <w:p w14:paraId="7F777EDB" w14:textId="6E01B882" w:rsidR="00E2718A" w:rsidRPr="005B5418" w:rsidRDefault="00E2718A" w:rsidP="00343610">
            <w:pPr>
              <w:pStyle w:val="FAM-Table-outline"/>
              <w:widowControl/>
              <w:numPr>
                <w:ilvl w:val="0"/>
                <w:numId w:val="14"/>
              </w:numPr>
              <w:adjustRightInd/>
              <w:spacing w:line="240" w:lineRule="auto"/>
              <w:textAlignment w:val="auto"/>
              <w:rPr>
                <w:rFonts w:cs="Arial"/>
              </w:rPr>
            </w:pPr>
            <w:r w:rsidRPr="005B5418">
              <w:rPr>
                <w:rFonts w:eastAsia="Arial Unicode MS"/>
              </w:rPr>
              <w:t>Are costs to acquire, improve, reconstruct, or renovate heritage assets, other than multi</w:t>
            </w:r>
            <w:r w:rsidR="00831FD8" w:rsidRPr="005B5418">
              <w:rPr>
                <w:rFonts w:eastAsia="Arial Unicode MS"/>
              </w:rPr>
              <w:t>-</w:t>
            </w:r>
            <w:r w:rsidRPr="005B5418">
              <w:rPr>
                <w:rFonts w:eastAsia="Arial Unicode MS"/>
              </w:rPr>
              <w:t>use heritage assets, recognized for the period in which the costs are incurred? (SFFAS 29, par</w:t>
            </w:r>
            <w:r w:rsidR="000D6CA5" w:rsidRPr="005B5418">
              <w:rPr>
                <w:rFonts w:eastAsia="Arial Unicode MS"/>
              </w:rPr>
              <w:t>a</w:t>
            </w:r>
            <w:r w:rsidRPr="005B5418">
              <w:rPr>
                <w:rFonts w:eastAsia="Arial Unicode MS"/>
              </w:rPr>
              <w:t>. 19)</w:t>
            </w:r>
          </w:p>
        </w:tc>
        <w:tc>
          <w:tcPr>
            <w:tcW w:w="965" w:type="dxa"/>
          </w:tcPr>
          <w:p w14:paraId="264A87F4" w14:textId="77777777" w:rsidR="00E2718A" w:rsidRPr="005B5418" w:rsidRDefault="00E2718A" w:rsidP="003B61E9">
            <w:pPr>
              <w:pStyle w:val="Table-Cell-CenterBoldBefore6ptAfter6pt"/>
              <w:rPr>
                <w:rFonts w:cs="Arial"/>
              </w:rPr>
            </w:pPr>
          </w:p>
        </w:tc>
        <w:tc>
          <w:tcPr>
            <w:tcW w:w="3211" w:type="dxa"/>
          </w:tcPr>
          <w:p w14:paraId="144E60CD" w14:textId="77777777" w:rsidR="00E2718A" w:rsidRPr="005B5418" w:rsidRDefault="00E2718A" w:rsidP="003B61E9">
            <w:pPr>
              <w:spacing w:line="240" w:lineRule="auto"/>
              <w:rPr>
                <w:rFonts w:cs="Arial"/>
              </w:rPr>
            </w:pPr>
          </w:p>
        </w:tc>
      </w:tr>
      <w:tr w:rsidR="00E2718A" w:rsidRPr="005B5418" w14:paraId="4E9EE9B3" w14:textId="77777777" w:rsidTr="0038293D">
        <w:trPr>
          <w:cantSplit/>
          <w:trHeight w:val="1358"/>
        </w:trPr>
        <w:tc>
          <w:tcPr>
            <w:tcW w:w="5400" w:type="dxa"/>
          </w:tcPr>
          <w:p w14:paraId="5E056FA0" w14:textId="5E6C4382" w:rsidR="00E2718A" w:rsidRPr="005B5418" w:rsidRDefault="00E2718A" w:rsidP="00343610">
            <w:pPr>
              <w:pStyle w:val="FAM-Table-outline"/>
              <w:widowControl/>
              <w:numPr>
                <w:ilvl w:val="0"/>
                <w:numId w:val="14"/>
              </w:numPr>
              <w:adjustRightInd/>
              <w:spacing w:line="240" w:lineRule="auto"/>
              <w:textAlignment w:val="auto"/>
              <w:rPr>
                <w:rFonts w:cs="Arial"/>
              </w:rPr>
            </w:pPr>
            <w:r w:rsidRPr="005B5418">
              <w:rPr>
                <w:rFonts w:eastAsia="Arial Unicode MS"/>
              </w:rPr>
              <w:lastRenderedPageBreak/>
              <w:t>Do the recognized costs of heritage assets also include all costs incurred during the period to bring the item(s) to their current condition? (SFFAS 29, par</w:t>
            </w:r>
            <w:r w:rsidR="000D6CA5" w:rsidRPr="005B5418">
              <w:rPr>
                <w:rFonts w:eastAsia="Arial Unicode MS"/>
              </w:rPr>
              <w:t>a</w:t>
            </w:r>
            <w:r w:rsidRPr="005B5418">
              <w:rPr>
                <w:rFonts w:eastAsia="Arial Unicode MS"/>
              </w:rPr>
              <w:t>. 19)</w:t>
            </w:r>
          </w:p>
        </w:tc>
        <w:tc>
          <w:tcPr>
            <w:tcW w:w="965" w:type="dxa"/>
          </w:tcPr>
          <w:p w14:paraId="1198270B" w14:textId="77777777" w:rsidR="00E2718A" w:rsidRPr="005B5418" w:rsidRDefault="00E2718A" w:rsidP="003B61E9">
            <w:pPr>
              <w:pStyle w:val="Table-Cell-CenterBoldBefore6ptAfter6pt"/>
              <w:rPr>
                <w:rFonts w:cs="Arial"/>
              </w:rPr>
            </w:pPr>
          </w:p>
        </w:tc>
        <w:tc>
          <w:tcPr>
            <w:tcW w:w="3211" w:type="dxa"/>
          </w:tcPr>
          <w:p w14:paraId="151E8347" w14:textId="77777777" w:rsidR="00E2718A" w:rsidRPr="005B5418" w:rsidRDefault="00E2718A" w:rsidP="003B61E9">
            <w:pPr>
              <w:spacing w:line="240" w:lineRule="auto"/>
              <w:rPr>
                <w:rFonts w:cs="Arial"/>
              </w:rPr>
            </w:pPr>
          </w:p>
        </w:tc>
      </w:tr>
      <w:tr w:rsidR="00E2718A" w:rsidRPr="005B5418" w14:paraId="10BF4686" w14:textId="77777777" w:rsidTr="0038293D">
        <w:trPr>
          <w:cantSplit/>
          <w:trHeight w:val="1412"/>
        </w:trPr>
        <w:tc>
          <w:tcPr>
            <w:tcW w:w="5400" w:type="dxa"/>
          </w:tcPr>
          <w:p w14:paraId="417846A1" w14:textId="4C0FAE03" w:rsidR="00E2718A" w:rsidRPr="005B5418" w:rsidRDefault="00E2718A" w:rsidP="00343610">
            <w:pPr>
              <w:pStyle w:val="FAM-Table-outline"/>
              <w:widowControl/>
              <w:numPr>
                <w:ilvl w:val="0"/>
                <w:numId w:val="14"/>
              </w:numPr>
              <w:adjustRightInd/>
              <w:spacing w:line="240" w:lineRule="auto"/>
              <w:textAlignment w:val="auto"/>
              <w:rPr>
                <w:rFonts w:cs="Arial"/>
              </w:rPr>
            </w:pPr>
            <w:r w:rsidRPr="005B5418">
              <w:rPr>
                <w:rFonts w:eastAsia="Arial Unicode MS"/>
              </w:rPr>
              <w:t>Are amounts for heritage assets acquired through donation or devise excluded from the cost of heritage assets</w:t>
            </w:r>
            <w:r w:rsidR="001936ED" w:rsidRPr="005B5418">
              <w:rPr>
                <w:rFonts w:eastAsia="Arial Unicode MS"/>
              </w:rPr>
              <w:t>,</w:t>
            </w:r>
            <w:r w:rsidRPr="005B5418">
              <w:rPr>
                <w:rFonts w:eastAsia="Arial Unicode MS"/>
              </w:rPr>
              <w:t xml:space="preserve"> with the exception of multi-use heritage assets? (SFFAS 29, par</w:t>
            </w:r>
            <w:r w:rsidR="001936ED" w:rsidRPr="005B5418">
              <w:rPr>
                <w:rFonts w:eastAsia="Arial Unicode MS"/>
              </w:rPr>
              <w:t>a</w:t>
            </w:r>
            <w:r w:rsidRPr="005B5418">
              <w:rPr>
                <w:rFonts w:eastAsia="Arial Unicode MS"/>
              </w:rPr>
              <w:t>. 20)</w:t>
            </w:r>
          </w:p>
        </w:tc>
        <w:tc>
          <w:tcPr>
            <w:tcW w:w="965" w:type="dxa"/>
          </w:tcPr>
          <w:p w14:paraId="3E3A56B8" w14:textId="77777777" w:rsidR="00E2718A" w:rsidRPr="005B5418" w:rsidRDefault="00E2718A" w:rsidP="003B61E9">
            <w:pPr>
              <w:pStyle w:val="Table-Cell-CenterBoldBefore6ptAfter6pt"/>
              <w:rPr>
                <w:rFonts w:cs="Arial"/>
              </w:rPr>
            </w:pPr>
          </w:p>
        </w:tc>
        <w:tc>
          <w:tcPr>
            <w:tcW w:w="3211" w:type="dxa"/>
          </w:tcPr>
          <w:p w14:paraId="5F1DAE94" w14:textId="77777777" w:rsidR="00E2718A" w:rsidRPr="005B5418" w:rsidRDefault="00E2718A" w:rsidP="003B61E9">
            <w:pPr>
              <w:spacing w:line="240" w:lineRule="auto"/>
              <w:rPr>
                <w:rFonts w:cs="Arial"/>
              </w:rPr>
            </w:pPr>
          </w:p>
        </w:tc>
      </w:tr>
      <w:tr w:rsidR="00E2718A" w:rsidRPr="005B5418" w14:paraId="5BE3143A" w14:textId="77777777" w:rsidTr="0038293D">
        <w:trPr>
          <w:cantSplit/>
          <w:trHeight w:val="1070"/>
        </w:trPr>
        <w:tc>
          <w:tcPr>
            <w:tcW w:w="5400" w:type="dxa"/>
          </w:tcPr>
          <w:p w14:paraId="15014598" w14:textId="26C2B747" w:rsidR="00E2718A" w:rsidRPr="005B5418" w:rsidRDefault="00E2718A" w:rsidP="00343610">
            <w:pPr>
              <w:pStyle w:val="FAM-Table-outline"/>
              <w:widowControl/>
              <w:numPr>
                <w:ilvl w:val="0"/>
                <w:numId w:val="14"/>
              </w:numPr>
              <w:adjustRightInd/>
              <w:spacing w:line="240" w:lineRule="auto"/>
              <w:textAlignment w:val="auto"/>
              <w:rPr>
                <w:rFonts w:cs="Arial"/>
              </w:rPr>
            </w:pPr>
            <w:r w:rsidRPr="005B5418">
              <w:rPr>
                <w:rFonts w:eastAsia="Arial Unicode MS"/>
              </w:rPr>
              <w:t>Are amounts for stewardship land acquired through donation or devise excluded from the cost of stewardship land? (SFFAS 29, par</w:t>
            </w:r>
            <w:r w:rsidR="001936ED" w:rsidRPr="005B5418">
              <w:rPr>
                <w:rFonts w:eastAsia="Arial Unicode MS"/>
              </w:rPr>
              <w:t>a</w:t>
            </w:r>
            <w:r w:rsidRPr="005B5418">
              <w:rPr>
                <w:rFonts w:eastAsia="Arial Unicode MS"/>
              </w:rPr>
              <w:t>. 38)</w:t>
            </w:r>
          </w:p>
        </w:tc>
        <w:tc>
          <w:tcPr>
            <w:tcW w:w="965" w:type="dxa"/>
          </w:tcPr>
          <w:p w14:paraId="6CD7938F" w14:textId="77777777" w:rsidR="00E2718A" w:rsidRPr="005B5418" w:rsidRDefault="00E2718A" w:rsidP="003B61E9">
            <w:pPr>
              <w:pStyle w:val="Table-Cell-CenterBoldBefore6ptAfter6pt"/>
              <w:rPr>
                <w:rFonts w:cs="Arial"/>
              </w:rPr>
            </w:pPr>
          </w:p>
        </w:tc>
        <w:tc>
          <w:tcPr>
            <w:tcW w:w="3211" w:type="dxa"/>
          </w:tcPr>
          <w:p w14:paraId="2544CFC2" w14:textId="77777777" w:rsidR="00E2718A" w:rsidRPr="005B5418" w:rsidRDefault="00E2718A" w:rsidP="003B61E9">
            <w:pPr>
              <w:spacing w:line="240" w:lineRule="auto"/>
              <w:rPr>
                <w:rFonts w:cs="Arial"/>
              </w:rPr>
            </w:pPr>
          </w:p>
        </w:tc>
      </w:tr>
      <w:tr w:rsidR="00E2718A" w:rsidRPr="005B5418" w14:paraId="5BFDF437" w14:textId="77777777" w:rsidTr="0038293D">
        <w:trPr>
          <w:cantSplit/>
          <w:trHeight w:val="1430"/>
        </w:trPr>
        <w:tc>
          <w:tcPr>
            <w:tcW w:w="5400" w:type="dxa"/>
          </w:tcPr>
          <w:p w14:paraId="318BCB3D" w14:textId="63339CB6" w:rsidR="00E2718A" w:rsidRPr="005B5418" w:rsidRDefault="00E2718A" w:rsidP="00343610">
            <w:pPr>
              <w:pStyle w:val="FAM-Table-outline"/>
              <w:widowControl/>
              <w:numPr>
                <w:ilvl w:val="0"/>
                <w:numId w:val="14"/>
              </w:numPr>
              <w:adjustRightInd/>
              <w:spacing w:line="240" w:lineRule="auto"/>
              <w:textAlignment w:val="auto"/>
              <w:rPr>
                <w:rFonts w:cs="Arial"/>
              </w:rPr>
            </w:pPr>
            <w:r w:rsidRPr="005B5418">
              <w:rPr>
                <w:rFonts w:eastAsia="Arial Unicode MS"/>
              </w:rPr>
              <w:t>Is the cost of acquisition of stewardship land, including all costs to prepare stewardship land for its intended purpose (e.g., razing a building), recognized for the period in which the cost is incurred? (SFFAS 29, par</w:t>
            </w:r>
            <w:r w:rsidR="001936ED" w:rsidRPr="005B5418">
              <w:rPr>
                <w:rFonts w:eastAsia="Arial Unicode MS"/>
              </w:rPr>
              <w:t>a</w:t>
            </w:r>
            <w:r w:rsidRPr="005B5418">
              <w:rPr>
                <w:rFonts w:eastAsia="Arial Unicode MS"/>
              </w:rPr>
              <w:t>. 37)</w:t>
            </w:r>
          </w:p>
        </w:tc>
        <w:tc>
          <w:tcPr>
            <w:tcW w:w="965" w:type="dxa"/>
          </w:tcPr>
          <w:p w14:paraId="5B00B8A7" w14:textId="77777777" w:rsidR="00E2718A" w:rsidRPr="005B5418" w:rsidRDefault="00E2718A" w:rsidP="003B61E9">
            <w:pPr>
              <w:pStyle w:val="Table-Cell-CenterBoldBefore6ptAfter6pt"/>
              <w:rPr>
                <w:rFonts w:cs="Arial"/>
              </w:rPr>
            </w:pPr>
          </w:p>
        </w:tc>
        <w:tc>
          <w:tcPr>
            <w:tcW w:w="3211" w:type="dxa"/>
          </w:tcPr>
          <w:p w14:paraId="45B8C22C" w14:textId="77777777" w:rsidR="00E2718A" w:rsidRPr="005B5418" w:rsidRDefault="00E2718A" w:rsidP="003B61E9">
            <w:pPr>
              <w:spacing w:line="240" w:lineRule="auto"/>
              <w:rPr>
                <w:rFonts w:cs="Arial"/>
              </w:rPr>
            </w:pPr>
          </w:p>
        </w:tc>
      </w:tr>
      <w:tr w:rsidR="00E2718A" w:rsidRPr="005B5418" w14:paraId="76C1F449" w14:textId="77777777" w:rsidTr="00113F40">
        <w:trPr>
          <w:cantSplit/>
          <w:trHeight w:val="2160"/>
        </w:trPr>
        <w:tc>
          <w:tcPr>
            <w:tcW w:w="5400" w:type="dxa"/>
          </w:tcPr>
          <w:p w14:paraId="388EC0D7" w14:textId="1B2CA348" w:rsidR="00E2718A" w:rsidRPr="005B5418" w:rsidRDefault="00E2718A" w:rsidP="00343610">
            <w:pPr>
              <w:pStyle w:val="FAM-Table-outline"/>
              <w:widowControl/>
              <w:numPr>
                <w:ilvl w:val="0"/>
                <w:numId w:val="14"/>
              </w:numPr>
              <w:adjustRightInd/>
              <w:spacing w:line="240" w:lineRule="auto"/>
              <w:textAlignment w:val="auto"/>
              <w:rPr>
                <w:rFonts w:cs="Arial"/>
              </w:rPr>
            </w:pPr>
            <w:r w:rsidRPr="005B5418">
              <w:rPr>
                <w:rFonts w:eastAsia="Arial Unicode MS"/>
              </w:rPr>
              <w:t>If stewardship land is acquired along with existing structures and the structure is deemed a heritage asset that is significant, does the entity treat the acquisition cost as either the cost of stewardship land, heritage asset, or both based on its judgment? (SFFAS 29, par</w:t>
            </w:r>
            <w:r w:rsidR="001936ED" w:rsidRPr="005B5418">
              <w:rPr>
                <w:rFonts w:eastAsia="Arial Unicode MS"/>
              </w:rPr>
              <w:t>a</w:t>
            </w:r>
            <w:r w:rsidRPr="005B5418">
              <w:rPr>
                <w:rFonts w:eastAsia="Arial Unicode MS"/>
              </w:rPr>
              <w:t>. 37a)</w:t>
            </w:r>
          </w:p>
        </w:tc>
        <w:tc>
          <w:tcPr>
            <w:tcW w:w="965" w:type="dxa"/>
          </w:tcPr>
          <w:p w14:paraId="5788D04C" w14:textId="77777777" w:rsidR="00E2718A" w:rsidRPr="005B5418" w:rsidRDefault="00E2718A" w:rsidP="003B61E9">
            <w:pPr>
              <w:pStyle w:val="Table-Cell-CenterBoldBefore6ptAfter6pt"/>
              <w:rPr>
                <w:rFonts w:cs="Arial"/>
              </w:rPr>
            </w:pPr>
          </w:p>
        </w:tc>
        <w:tc>
          <w:tcPr>
            <w:tcW w:w="3211" w:type="dxa"/>
          </w:tcPr>
          <w:p w14:paraId="36ABC56F" w14:textId="77777777" w:rsidR="00E2718A" w:rsidRPr="005B5418" w:rsidRDefault="00E2718A" w:rsidP="003B61E9">
            <w:pPr>
              <w:spacing w:line="240" w:lineRule="auto"/>
              <w:rPr>
                <w:rFonts w:cs="Arial"/>
              </w:rPr>
            </w:pPr>
          </w:p>
        </w:tc>
      </w:tr>
      <w:tr w:rsidR="00E2718A" w:rsidRPr="005B5418" w14:paraId="1642796A" w14:textId="77777777" w:rsidTr="00113F40">
        <w:trPr>
          <w:cantSplit/>
          <w:trHeight w:val="2160"/>
        </w:trPr>
        <w:tc>
          <w:tcPr>
            <w:tcW w:w="5400" w:type="dxa"/>
          </w:tcPr>
          <w:p w14:paraId="09C580DF" w14:textId="6D249AC9" w:rsidR="00E2718A" w:rsidRPr="005B5418" w:rsidRDefault="00E2718A" w:rsidP="00343610">
            <w:pPr>
              <w:pStyle w:val="FAM-Table-outline"/>
              <w:widowControl/>
              <w:numPr>
                <w:ilvl w:val="0"/>
                <w:numId w:val="14"/>
              </w:numPr>
              <w:adjustRightInd/>
              <w:spacing w:line="240" w:lineRule="auto"/>
              <w:textAlignment w:val="auto"/>
              <w:rPr>
                <w:rFonts w:cs="Arial"/>
              </w:rPr>
            </w:pPr>
            <w:r w:rsidRPr="005B5418">
              <w:rPr>
                <w:rFonts w:eastAsia="Arial Unicode MS"/>
              </w:rPr>
              <w:t xml:space="preserve">If stewardship land is acquired along with existing structures and the structure is to be used in operations (e.g., as </w:t>
            </w:r>
            <w:r w:rsidR="000A0C1F" w:rsidRPr="005B5418">
              <w:rPr>
                <w:rFonts w:eastAsia="Arial Unicode MS"/>
              </w:rPr>
              <w:t>PP&amp;E</w:t>
            </w:r>
            <w:r w:rsidRPr="005B5418">
              <w:rPr>
                <w:rFonts w:eastAsia="Arial Unicode MS"/>
              </w:rPr>
              <w:t>)</w:t>
            </w:r>
            <w:r w:rsidR="001936ED" w:rsidRPr="005B5418">
              <w:rPr>
                <w:rFonts w:eastAsia="Arial Unicode MS"/>
              </w:rPr>
              <w:t>,</w:t>
            </w:r>
            <w:r w:rsidRPr="005B5418">
              <w:rPr>
                <w:rFonts w:eastAsia="Arial Unicode MS"/>
              </w:rPr>
              <w:t xml:space="preserve"> but the value of the structure is insignificant or the structure’s acquisition is merely a byproduct of the acquisition of the land, is the cost treated as an acquisition of stewardship land? (SFFAS 29, par</w:t>
            </w:r>
            <w:r w:rsidR="001936ED" w:rsidRPr="005B5418">
              <w:rPr>
                <w:rFonts w:eastAsia="Arial Unicode MS"/>
              </w:rPr>
              <w:t>a</w:t>
            </w:r>
            <w:r w:rsidRPr="005B5418">
              <w:rPr>
                <w:rFonts w:eastAsia="Arial Unicode MS"/>
              </w:rPr>
              <w:t>. 37b)</w:t>
            </w:r>
          </w:p>
        </w:tc>
        <w:tc>
          <w:tcPr>
            <w:tcW w:w="965" w:type="dxa"/>
          </w:tcPr>
          <w:p w14:paraId="78ED914C" w14:textId="77777777" w:rsidR="00E2718A" w:rsidRPr="005B5418" w:rsidRDefault="00E2718A" w:rsidP="003B61E9">
            <w:pPr>
              <w:pStyle w:val="Table-Cell-CenterBoldBefore6ptAfter6pt"/>
              <w:rPr>
                <w:rFonts w:cs="Arial"/>
              </w:rPr>
            </w:pPr>
          </w:p>
        </w:tc>
        <w:tc>
          <w:tcPr>
            <w:tcW w:w="3211" w:type="dxa"/>
          </w:tcPr>
          <w:p w14:paraId="4CEC09D8" w14:textId="77777777" w:rsidR="00E2718A" w:rsidRPr="005B5418" w:rsidRDefault="00E2718A" w:rsidP="003B61E9">
            <w:pPr>
              <w:spacing w:line="240" w:lineRule="auto"/>
              <w:rPr>
                <w:rFonts w:cs="Arial"/>
              </w:rPr>
            </w:pPr>
          </w:p>
        </w:tc>
      </w:tr>
      <w:tr w:rsidR="00E2718A" w:rsidRPr="005B5418" w14:paraId="6DBBA601" w14:textId="77777777" w:rsidTr="00113F40">
        <w:trPr>
          <w:cantSplit/>
          <w:trHeight w:val="2160"/>
        </w:trPr>
        <w:tc>
          <w:tcPr>
            <w:tcW w:w="5400" w:type="dxa"/>
          </w:tcPr>
          <w:p w14:paraId="0F389819" w14:textId="5A2D9CF8" w:rsidR="00E2718A" w:rsidRPr="005B5418" w:rsidRDefault="00E2718A" w:rsidP="00343610">
            <w:pPr>
              <w:pStyle w:val="FAM-Table-outline"/>
              <w:widowControl/>
              <w:numPr>
                <w:ilvl w:val="0"/>
                <w:numId w:val="14"/>
              </w:numPr>
              <w:adjustRightInd/>
              <w:spacing w:line="240" w:lineRule="auto"/>
              <w:textAlignment w:val="auto"/>
              <w:rPr>
                <w:rFonts w:cs="Arial"/>
              </w:rPr>
            </w:pPr>
            <w:r w:rsidRPr="005B5418">
              <w:rPr>
                <w:rFonts w:eastAsia="Arial Unicode MS"/>
              </w:rPr>
              <w:lastRenderedPageBreak/>
              <w:t>If stewardship land is acquired along with</w:t>
            </w:r>
            <w:r w:rsidR="001936ED" w:rsidRPr="005B5418">
              <w:rPr>
                <w:rFonts w:eastAsia="Arial Unicode MS"/>
              </w:rPr>
              <w:t xml:space="preserve"> an</w:t>
            </w:r>
            <w:r w:rsidRPr="005B5418">
              <w:rPr>
                <w:rFonts w:eastAsia="Arial Unicode MS"/>
              </w:rPr>
              <w:t xml:space="preserve"> existing structure and the structure is significant and has an operating use (e.g., a constructed hotel or employee housing block), </w:t>
            </w:r>
            <w:r w:rsidR="001936ED" w:rsidRPr="005B5418">
              <w:rPr>
                <w:rFonts w:eastAsia="Arial Unicode MS"/>
              </w:rPr>
              <w:t xml:space="preserve">does the entity treat </w:t>
            </w:r>
            <w:r w:rsidRPr="005B5418">
              <w:rPr>
                <w:rFonts w:eastAsia="Arial Unicode MS"/>
              </w:rPr>
              <w:t xml:space="preserve">the structure as </w:t>
            </w:r>
            <w:r w:rsidR="000A0C1F" w:rsidRPr="005B5418">
              <w:rPr>
                <w:rFonts w:eastAsia="Arial Unicode MS"/>
              </w:rPr>
              <w:t>PP&amp;E</w:t>
            </w:r>
            <w:r w:rsidRPr="005B5418">
              <w:rPr>
                <w:rFonts w:eastAsia="Arial Unicode MS"/>
              </w:rPr>
              <w:t xml:space="preserve"> by identifying the cost attributable to </w:t>
            </w:r>
            <w:r w:rsidR="000A0C1F" w:rsidRPr="005B5418">
              <w:rPr>
                <w:rFonts w:eastAsia="Arial Unicode MS"/>
              </w:rPr>
              <w:t>PP&amp;E</w:t>
            </w:r>
            <w:r w:rsidRPr="005B5418">
              <w:rPr>
                <w:rFonts w:eastAsia="Arial Unicode MS"/>
              </w:rPr>
              <w:t xml:space="preserve"> and segregat</w:t>
            </w:r>
            <w:r w:rsidR="00A15838" w:rsidRPr="005B5418">
              <w:rPr>
                <w:rFonts w:eastAsia="Arial Unicode MS"/>
              </w:rPr>
              <w:t>ing</w:t>
            </w:r>
            <w:r w:rsidR="001936ED" w:rsidRPr="005B5418">
              <w:rPr>
                <w:rFonts w:eastAsia="Arial Unicode MS"/>
              </w:rPr>
              <w:t xml:space="preserve"> that</w:t>
            </w:r>
            <w:r w:rsidRPr="005B5418">
              <w:rPr>
                <w:rFonts w:eastAsia="Arial Unicode MS"/>
              </w:rPr>
              <w:t xml:space="preserve"> from the cost of the stewardship land acquired? (SFFAS 29, par</w:t>
            </w:r>
            <w:r w:rsidR="001936ED" w:rsidRPr="005B5418">
              <w:rPr>
                <w:rFonts w:eastAsia="Arial Unicode MS"/>
              </w:rPr>
              <w:t>a</w:t>
            </w:r>
            <w:r w:rsidRPr="005B5418">
              <w:rPr>
                <w:rFonts w:eastAsia="Arial Unicode MS"/>
              </w:rPr>
              <w:t>. 37c)</w:t>
            </w:r>
          </w:p>
        </w:tc>
        <w:tc>
          <w:tcPr>
            <w:tcW w:w="965" w:type="dxa"/>
          </w:tcPr>
          <w:p w14:paraId="092FC097" w14:textId="77777777" w:rsidR="00E2718A" w:rsidRPr="005B5418" w:rsidRDefault="00E2718A" w:rsidP="003B61E9">
            <w:pPr>
              <w:pStyle w:val="Table-Cell-CenterBoldBefore6ptAfter6pt"/>
              <w:rPr>
                <w:rFonts w:cs="Arial"/>
              </w:rPr>
            </w:pPr>
          </w:p>
        </w:tc>
        <w:tc>
          <w:tcPr>
            <w:tcW w:w="3211" w:type="dxa"/>
          </w:tcPr>
          <w:p w14:paraId="07FC1B9A" w14:textId="77777777" w:rsidR="00E2718A" w:rsidRPr="005B5418" w:rsidRDefault="00E2718A" w:rsidP="003B61E9">
            <w:pPr>
              <w:spacing w:line="240" w:lineRule="auto"/>
              <w:rPr>
                <w:rFonts w:cs="Arial"/>
              </w:rPr>
            </w:pPr>
          </w:p>
        </w:tc>
      </w:tr>
      <w:tr w:rsidR="0024041F" w:rsidRPr="005B5418" w14:paraId="6BF56D13" w14:textId="77777777" w:rsidTr="0038293D">
        <w:trPr>
          <w:cantSplit/>
          <w:trHeight w:val="341"/>
        </w:trPr>
        <w:tc>
          <w:tcPr>
            <w:tcW w:w="9576" w:type="dxa"/>
            <w:gridSpan w:val="3"/>
          </w:tcPr>
          <w:p w14:paraId="52DC6401" w14:textId="77777777" w:rsidR="0024041F" w:rsidRPr="005B5418" w:rsidRDefault="0024041F" w:rsidP="008848DA">
            <w:pPr>
              <w:spacing w:before="60" w:after="60" w:line="240" w:lineRule="auto"/>
              <w:rPr>
                <w:rFonts w:ascii="Arial" w:hAnsi="Arial" w:cs="Arial"/>
                <w:b/>
              </w:rPr>
            </w:pPr>
            <w:r w:rsidRPr="005B5418">
              <w:rPr>
                <w:rFonts w:ascii="Arial" w:hAnsi="Arial" w:cs="Arial"/>
                <w:b/>
              </w:rPr>
              <w:t>Disclosure</w:t>
            </w:r>
          </w:p>
        </w:tc>
      </w:tr>
      <w:tr w:rsidR="009F3048" w:rsidRPr="005B5418" w14:paraId="66616357" w14:textId="77777777" w:rsidTr="00113F40">
        <w:trPr>
          <w:cantSplit/>
          <w:trHeight w:val="2160"/>
        </w:trPr>
        <w:tc>
          <w:tcPr>
            <w:tcW w:w="5400" w:type="dxa"/>
          </w:tcPr>
          <w:p w14:paraId="416675A0" w14:textId="6F1342C9" w:rsidR="009F3048" w:rsidRPr="005B5418" w:rsidRDefault="009F3048" w:rsidP="00343610">
            <w:pPr>
              <w:pStyle w:val="FAM-Table-outline"/>
              <w:widowControl/>
              <w:numPr>
                <w:ilvl w:val="0"/>
                <w:numId w:val="14"/>
              </w:numPr>
              <w:adjustRightInd/>
              <w:spacing w:line="240" w:lineRule="auto"/>
              <w:textAlignment w:val="auto"/>
              <w:rPr>
                <w:rFonts w:cs="Arial"/>
              </w:rPr>
            </w:pPr>
            <w:r w:rsidRPr="005B5418">
              <w:rPr>
                <w:rFonts w:cs="Arial"/>
              </w:rPr>
              <w:t xml:space="preserve">Does entity disclosure of </w:t>
            </w:r>
            <w:r w:rsidR="005A3C17" w:rsidRPr="005B5418">
              <w:rPr>
                <w:rFonts w:cs="Arial"/>
              </w:rPr>
              <w:t>S</w:t>
            </w:r>
            <w:r w:rsidRPr="005B5418">
              <w:rPr>
                <w:rFonts w:cs="Arial"/>
              </w:rPr>
              <w:t>tewardship PP&amp;E include</w:t>
            </w:r>
          </w:p>
          <w:p w14:paraId="12BB618E" w14:textId="4A7ED914" w:rsidR="009F3048" w:rsidRPr="005B5418" w:rsidRDefault="009F3048"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a statement explaining how the</w:t>
            </w:r>
            <w:r w:rsidR="0033669A" w:rsidRPr="005B5418">
              <w:rPr>
                <w:rFonts w:eastAsia="Arial Unicode MS" w:cs="Arial"/>
                <w:szCs w:val="22"/>
              </w:rPr>
              <w:t xml:space="preserve"> PP&amp;E</w:t>
            </w:r>
            <w:r w:rsidRPr="005B5418">
              <w:rPr>
                <w:rFonts w:eastAsia="Arial Unicode MS" w:cs="Arial"/>
                <w:szCs w:val="22"/>
              </w:rPr>
              <w:t xml:space="preserve"> relate</w:t>
            </w:r>
            <w:r w:rsidR="0033669A" w:rsidRPr="005B5418">
              <w:rPr>
                <w:rFonts w:eastAsia="Arial Unicode MS" w:cs="Arial"/>
                <w:szCs w:val="22"/>
              </w:rPr>
              <w:t>s</w:t>
            </w:r>
            <w:r w:rsidRPr="005B5418">
              <w:rPr>
                <w:rFonts w:eastAsia="Arial Unicode MS" w:cs="Arial"/>
                <w:szCs w:val="22"/>
              </w:rPr>
              <w:t xml:space="preserve"> to the </w:t>
            </w:r>
            <w:r w:rsidR="0033669A" w:rsidRPr="005B5418">
              <w:rPr>
                <w:rFonts w:eastAsia="Arial Unicode MS" w:cs="Arial"/>
                <w:szCs w:val="22"/>
              </w:rPr>
              <w:t xml:space="preserve">entity’s </w:t>
            </w:r>
            <w:r w:rsidRPr="005B5418">
              <w:rPr>
                <w:rFonts w:eastAsia="Arial Unicode MS" w:cs="Arial"/>
                <w:szCs w:val="22"/>
              </w:rPr>
              <w:t>mission and</w:t>
            </w:r>
          </w:p>
          <w:p w14:paraId="399A43AD" w14:textId="56026F8F" w:rsidR="009F3048" w:rsidRPr="005B5418" w:rsidRDefault="009F3048" w:rsidP="005425ED">
            <w:pPr>
              <w:pStyle w:val="FAM-Table-outline2"/>
              <w:numPr>
                <w:ilvl w:val="1"/>
                <w:numId w:val="1"/>
              </w:numPr>
              <w:tabs>
                <w:tab w:val="num" w:pos="576"/>
              </w:tabs>
              <w:spacing w:line="240" w:lineRule="auto"/>
              <w:ind w:left="1155" w:hanging="458"/>
              <w:rPr>
                <w:rFonts w:cs="Arial"/>
              </w:rPr>
            </w:pPr>
            <w:r w:rsidRPr="005B5418">
              <w:rPr>
                <w:rFonts w:eastAsia="Arial Unicode MS" w:cs="Arial"/>
                <w:szCs w:val="22"/>
              </w:rPr>
              <w:t>a description of the entity’s stewardship policies for heritage assets and stewardship land?</w:t>
            </w:r>
            <w:r w:rsidRPr="005B5418">
              <w:rPr>
                <w:rFonts w:eastAsia="Arial Unicode MS" w:cs="Arial"/>
                <w:szCs w:val="22"/>
              </w:rPr>
              <w:br/>
              <w:t>(SFFAS 29, par</w:t>
            </w:r>
            <w:r w:rsidR="0033669A" w:rsidRPr="005B5418">
              <w:rPr>
                <w:rFonts w:eastAsia="Arial Unicode MS" w:cs="Arial"/>
                <w:szCs w:val="22"/>
              </w:rPr>
              <w:t>as</w:t>
            </w:r>
            <w:r w:rsidRPr="005B5418">
              <w:rPr>
                <w:rFonts w:eastAsia="Arial Unicode MS" w:cs="Arial"/>
                <w:szCs w:val="22"/>
              </w:rPr>
              <w:t xml:space="preserve">. 25 </w:t>
            </w:r>
            <w:r w:rsidR="0033669A" w:rsidRPr="005B5418">
              <w:rPr>
                <w:rFonts w:eastAsia="Arial Unicode MS" w:cs="Arial"/>
                <w:szCs w:val="22"/>
              </w:rPr>
              <w:t>and</w:t>
            </w:r>
            <w:r w:rsidRPr="005B5418">
              <w:rPr>
                <w:rFonts w:eastAsia="Arial Unicode MS" w:cs="Arial"/>
                <w:szCs w:val="22"/>
              </w:rPr>
              <w:t xml:space="preserve"> 40)</w:t>
            </w:r>
          </w:p>
        </w:tc>
        <w:tc>
          <w:tcPr>
            <w:tcW w:w="965" w:type="dxa"/>
          </w:tcPr>
          <w:p w14:paraId="6E231B70" w14:textId="77777777" w:rsidR="009F3048" w:rsidRPr="005B5418" w:rsidRDefault="009F3048" w:rsidP="003B61E9">
            <w:pPr>
              <w:pStyle w:val="Table-Cell-CenterBoldBefore6ptAfter6pt"/>
              <w:rPr>
                <w:rFonts w:cs="Arial"/>
              </w:rPr>
            </w:pPr>
          </w:p>
        </w:tc>
        <w:tc>
          <w:tcPr>
            <w:tcW w:w="3211" w:type="dxa"/>
          </w:tcPr>
          <w:p w14:paraId="53E07E7D" w14:textId="77777777" w:rsidR="009F3048" w:rsidRPr="005B5418" w:rsidRDefault="009F3048" w:rsidP="003B61E9">
            <w:pPr>
              <w:spacing w:line="240" w:lineRule="auto"/>
              <w:rPr>
                <w:rFonts w:cs="Arial"/>
              </w:rPr>
            </w:pPr>
          </w:p>
        </w:tc>
      </w:tr>
      <w:tr w:rsidR="009F3048" w:rsidRPr="005B5418" w14:paraId="356169CD" w14:textId="77777777" w:rsidTr="007C0A86">
        <w:trPr>
          <w:cantSplit/>
          <w:trHeight w:val="1313"/>
        </w:trPr>
        <w:tc>
          <w:tcPr>
            <w:tcW w:w="5400" w:type="dxa"/>
          </w:tcPr>
          <w:p w14:paraId="412CE9F4" w14:textId="61437043" w:rsidR="009F3048" w:rsidRPr="005B5418" w:rsidRDefault="009F3048" w:rsidP="00343610">
            <w:pPr>
              <w:pStyle w:val="FAM-Table-outline"/>
              <w:widowControl/>
              <w:numPr>
                <w:ilvl w:val="0"/>
                <w:numId w:val="14"/>
              </w:numPr>
              <w:adjustRightInd/>
              <w:spacing w:line="240" w:lineRule="auto"/>
              <w:textAlignment w:val="auto"/>
              <w:rPr>
                <w:rFonts w:cs="Arial"/>
              </w:rPr>
            </w:pPr>
            <w:r w:rsidRPr="005B5418">
              <w:rPr>
                <w:rFonts w:cs="Arial"/>
              </w:rPr>
              <w:t>Does the entity present a concise description of each major category of heritage asset and stewardship land use in a note to the financial statements? (SFFAS 29, par</w:t>
            </w:r>
            <w:r w:rsidR="0033669A" w:rsidRPr="005B5418">
              <w:rPr>
                <w:rFonts w:cs="Arial"/>
              </w:rPr>
              <w:t>as</w:t>
            </w:r>
            <w:r w:rsidRPr="005B5418">
              <w:rPr>
                <w:rFonts w:cs="Arial"/>
              </w:rPr>
              <w:t xml:space="preserve">. 25 </w:t>
            </w:r>
            <w:r w:rsidR="0033669A" w:rsidRPr="005B5418">
              <w:rPr>
                <w:rFonts w:cs="Arial"/>
              </w:rPr>
              <w:t>and</w:t>
            </w:r>
            <w:r w:rsidRPr="005B5418">
              <w:rPr>
                <w:rFonts w:cs="Arial"/>
              </w:rPr>
              <w:t xml:space="preserve"> 40)</w:t>
            </w:r>
          </w:p>
        </w:tc>
        <w:tc>
          <w:tcPr>
            <w:tcW w:w="965" w:type="dxa"/>
          </w:tcPr>
          <w:p w14:paraId="73181E50" w14:textId="77777777" w:rsidR="009F3048" w:rsidRPr="005B5418" w:rsidRDefault="009F3048" w:rsidP="003B61E9">
            <w:pPr>
              <w:pStyle w:val="Table-Cell-CenterBoldBefore6ptAfter6pt"/>
              <w:rPr>
                <w:rFonts w:cs="Arial"/>
              </w:rPr>
            </w:pPr>
          </w:p>
        </w:tc>
        <w:tc>
          <w:tcPr>
            <w:tcW w:w="3211" w:type="dxa"/>
          </w:tcPr>
          <w:p w14:paraId="7F4FD9BF" w14:textId="77777777" w:rsidR="009F3048" w:rsidRPr="005B5418" w:rsidRDefault="009F3048" w:rsidP="003B61E9">
            <w:pPr>
              <w:spacing w:line="240" w:lineRule="auto"/>
              <w:rPr>
                <w:rFonts w:cs="Arial"/>
              </w:rPr>
            </w:pPr>
          </w:p>
        </w:tc>
      </w:tr>
      <w:tr w:rsidR="009F3048" w:rsidRPr="005B5418" w14:paraId="0AD7E811" w14:textId="77777777" w:rsidTr="00113F40">
        <w:trPr>
          <w:trHeight w:val="377"/>
        </w:trPr>
        <w:tc>
          <w:tcPr>
            <w:tcW w:w="5400" w:type="dxa"/>
          </w:tcPr>
          <w:p w14:paraId="7524A939" w14:textId="47FFA787" w:rsidR="009F3048" w:rsidRPr="005B5418" w:rsidRDefault="009F3048" w:rsidP="00343610">
            <w:pPr>
              <w:pStyle w:val="FAM-Table-outline"/>
              <w:widowControl/>
              <w:numPr>
                <w:ilvl w:val="0"/>
                <w:numId w:val="14"/>
              </w:numPr>
              <w:adjustRightInd/>
              <w:spacing w:line="240" w:lineRule="auto"/>
              <w:textAlignment w:val="auto"/>
              <w:rPr>
                <w:rFonts w:cs="Arial"/>
              </w:rPr>
            </w:pPr>
            <w:r w:rsidRPr="005B5418">
              <w:rPr>
                <w:rFonts w:cs="Arial"/>
              </w:rPr>
              <w:t xml:space="preserve">Does the entity disclose physical unit information for heritage assets and stewardship land use for each major category of </w:t>
            </w:r>
            <w:r w:rsidR="00E51D94" w:rsidRPr="005B5418">
              <w:rPr>
                <w:rFonts w:cs="Arial"/>
              </w:rPr>
              <w:t xml:space="preserve">stewardship </w:t>
            </w:r>
            <w:r w:rsidRPr="005B5418">
              <w:rPr>
                <w:rFonts w:cs="Arial"/>
              </w:rPr>
              <w:t>PP&amp;E</w:t>
            </w:r>
            <w:r w:rsidR="0033669A" w:rsidRPr="005B5418">
              <w:rPr>
                <w:rFonts w:cs="Arial"/>
              </w:rPr>
              <w:t>, including</w:t>
            </w:r>
          </w:p>
          <w:p w14:paraId="1A7CE20D" w14:textId="292F0C99" w:rsidR="009F3048" w:rsidRPr="005B5418" w:rsidRDefault="009F3048"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the number of physical units by major category for which the entity is the steward as of the end of the reporting period (heritage assets should be classified by collection or non-collection type) and </w:t>
            </w:r>
          </w:p>
          <w:p w14:paraId="43F8C764" w14:textId="6BE24561" w:rsidR="009F3048" w:rsidRPr="005B5418" w:rsidRDefault="009F3048" w:rsidP="005425ED">
            <w:pPr>
              <w:pStyle w:val="FAM-Table-outline2"/>
              <w:numPr>
                <w:ilvl w:val="1"/>
                <w:numId w:val="1"/>
              </w:numPr>
              <w:tabs>
                <w:tab w:val="num" w:pos="576"/>
              </w:tabs>
              <w:spacing w:line="240" w:lineRule="auto"/>
              <w:ind w:left="1155" w:hanging="458"/>
              <w:rPr>
                <w:rFonts w:cs="Arial"/>
              </w:rPr>
            </w:pPr>
            <w:r w:rsidRPr="005B5418">
              <w:rPr>
                <w:rFonts w:eastAsia="Arial Unicode MS" w:cs="Arial"/>
                <w:szCs w:val="22"/>
              </w:rPr>
              <w:t>the number of physical units by major category that were acquired and the number of physical units by major category that were withdrawn during the reporting period? (SFFAS 29, par</w:t>
            </w:r>
            <w:r w:rsidR="0033669A" w:rsidRPr="005B5418">
              <w:rPr>
                <w:rFonts w:eastAsia="Arial Unicode MS" w:cs="Arial"/>
                <w:szCs w:val="22"/>
              </w:rPr>
              <w:t>as</w:t>
            </w:r>
            <w:r w:rsidRPr="005B5418">
              <w:rPr>
                <w:rFonts w:eastAsia="Arial Unicode MS" w:cs="Arial"/>
                <w:szCs w:val="22"/>
              </w:rPr>
              <w:t xml:space="preserve">. 25 </w:t>
            </w:r>
            <w:r w:rsidR="0033669A" w:rsidRPr="005B5418">
              <w:rPr>
                <w:rFonts w:eastAsia="Arial Unicode MS" w:cs="Arial"/>
                <w:szCs w:val="22"/>
              </w:rPr>
              <w:t>and</w:t>
            </w:r>
            <w:r w:rsidRPr="005B5418">
              <w:rPr>
                <w:rFonts w:eastAsia="Arial Unicode MS" w:cs="Arial"/>
                <w:szCs w:val="22"/>
              </w:rPr>
              <w:t xml:space="preserve"> 40)</w:t>
            </w:r>
          </w:p>
        </w:tc>
        <w:tc>
          <w:tcPr>
            <w:tcW w:w="965" w:type="dxa"/>
          </w:tcPr>
          <w:p w14:paraId="3A0629C9" w14:textId="77777777" w:rsidR="009F3048" w:rsidRPr="005B5418" w:rsidRDefault="009F3048" w:rsidP="003B61E9">
            <w:pPr>
              <w:pStyle w:val="Table-Cell-CenterBoldBefore6ptAfter6pt"/>
              <w:rPr>
                <w:rFonts w:cs="Arial"/>
              </w:rPr>
            </w:pPr>
          </w:p>
        </w:tc>
        <w:tc>
          <w:tcPr>
            <w:tcW w:w="3211" w:type="dxa"/>
          </w:tcPr>
          <w:p w14:paraId="197DD16C" w14:textId="77777777" w:rsidR="009F3048" w:rsidRPr="005B5418" w:rsidRDefault="009F3048" w:rsidP="003B61E9">
            <w:pPr>
              <w:spacing w:line="240" w:lineRule="auto"/>
              <w:rPr>
                <w:rFonts w:cs="Arial"/>
              </w:rPr>
            </w:pPr>
          </w:p>
        </w:tc>
      </w:tr>
      <w:tr w:rsidR="009F3048" w:rsidRPr="005B5418" w14:paraId="46902338" w14:textId="77777777" w:rsidTr="00113F40">
        <w:trPr>
          <w:cantSplit/>
          <w:trHeight w:val="2160"/>
        </w:trPr>
        <w:tc>
          <w:tcPr>
            <w:tcW w:w="5400" w:type="dxa"/>
          </w:tcPr>
          <w:p w14:paraId="17EE80C3" w14:textId="5F47D765" w:rsidR="009F3048" w:rsidRPr="005B5418" w:rsidRDefault="009F3048" w:rsidP="00343610">
            <w:pPr>
              <w:pStyle w:val="FAM-Table-outline"/>
              <w:widowControl/>
              <w:numPr>
                <w:ilvl w:val="0"/>
                <w:numId w:val="14"/>
              </w:numPr>
              <w:adjustRightInd/>
              <w:spacing w:line="240" w:lineRule="auto"/>
              <w:textAlignment w:val="auto"/>
              <w:rPr>
                <w:rFonts w:cs="Arial"/>
              </w:rPr>
            </w:pPr>
            <w:r w:rsidRPr="005B5418">
              <w:rPr>
                <w:rFonts w:cs="Arial"/>
              </w:rPr>
              <w:lastRenderedPageBreak/>
              <w:t>Does the entity’s disclosure include a description of the methods of acquisition and withdrawal by major category of heritage assets and stewardship land use</w:t>
            </w:r>
            <w:r w:rsidR="0033669A" w:rsidRPr="005B5418">
              <w:rPr>
                <w:rFonts w:cs="Arial"/>
              </w:rPr>
              <w:t>, including</w:t>
            </w:r>
          </w:p>
          <w:p w14:paraId="33CE6F3D" w14:textId="018D1007" w:rsidR="009F3048" w:rsidRPr="005B5418" w:rsidRDefault="009F3048"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the number of physical units of transfers between </w:t>
            </w:r>
            <w:r w:rsidR="00114F87" w:rsidRPr="005B5418">
              <w:rPr>
                <w:rFonts w:eastAsia="Arial Unicode MS" w:cs="Arial"/>
                <w:szCs w:val="22"/>
              </w:rPr>
              <w:t>f</w:t>
            </w:r>
            <w:r w:rsidRPr="005B5418">
              <w:rPr>
                <w:rFonts w:eastAsia="Arial Unicode MS" w:cs="Arial"/>
                <w:szCs w:val="22"/>
              </w:rPr>
              <w:t>ederal entities and</w:t>
            </w:r>
          </w:p>
          <w:p w14:paraId="118E4C0F" w14:textId="18A06BD0" w:rsidR="009F3048" w:rsidRPr="005B5418" w:rsidRDefault="009F3048" w:rsidP="005425ED">
            <w:pPr>
              <w:pStyle w:val="FAM-Table-outline2"/>
              <w:numPr>
                <w:ilvl w:val="1"/>
                <w:numId w:val="1"/>
              </w:numPr>
              <w:tabs>
                <w:tab w:val="num" w:pos="576"/>
              </w:tabs>
              <w:spacing w:line="240" w:lineRule="auto"/>
              <w:ind w:left="1155" w:hanging="458"/>
              <w:rPr>
                <w:rFonts w:cs="Arial"/>
              </w:rPr>
            </w:pPr>
            <w:r w:rsidRPr="005B5418">
              <w:rPr>
                <w:rFonts w:eastAsia="Arial Unicode MS" w:cs="Arial"/>
                <w:szCs w:val="22"/>
              </w:rPr>
              <w:t>the number of physical units (if material) and fair value (if known and material) acquired through donation or devise during the reporting period? (SFFAS 29, par</w:t>
            </w:r>
            <w:r w:rsidR="0033669A" w:rsidRPr="005B5418">
              <w:rPr>
                <w:rFonts w:eastAsia="Arial Unicode MS" w:cs="Arial"/>
                <w:szCs w:val="22"/>
              </w:rPr>
              <w:t>as</w:t>
            </w:r>
            <w:r w:rsidRPr="005B5418">
              <w:rPr>
                <w:rFonts w:eastAsia="Arial Unicode MS" w:cs="Arial"/>
                <w:szCs w:val="22"/>
              </w:rPr>
              <w:t xml:space="preserve">. 25 </w:t>
            </w:r>
            <w:r w:rsidR="0033669A" w:rsidRPr="005B5418">
              <w:rPr>
                <w:rFonts w:eastAsia="Arial Unicode MS" w:cs="Arial"/>
                <w:szCs w:val="22"/>
              </w:rPr>
              <w:t>and</w:t>
            </w:r>
            <w:r w:rsidRPr="005B5418">
              <w:rPr>
                <w:rFonts w:eastAsia="Arial Unicode MS" w:cs="Arial"/>
                <w:szCs w:val="22"/>
              </w:rPr>
              <w:t xml:space="preserve"> 40)</w:t>
            </w:r>
          </w:p>
        </w:tc>
        <w:tc>
          <w:tcPr>
            <w:tcW w:w="965" w:type="dxa"/>
          </w:tcPr>
          <w:p w14:paraId="1B088736" w14:textId="77777777" w:rsidR="009F3048" w:rsidRPr="005B5418" w:rsidRDefault="009F3048" w:rsidP="003B61E9">
            <w:pPr>
              <w:pStyle w:val="Table-Cell-CenterBoldBefore6ptAfter6pt"/>
              <w:rPr>
                <w:rFonts w:cs="Arial"/>
              </w:rPr>
            </w:pPr>
          </w:p>
        </w:tc>
        <w:tc>
          <w:tcPr>
            <w:tcW w:w="3211" w:type="dxa"/>
          </w:tcPr>
          <w:p w14:paraId="3137D917" w14:textId="77777777" w:rsidR="009F3048" w:rsidRPr="005B5418" w:rsidRDefault="009F3048" w:rsidP="003B61E9">
            <w:pPr>
              <w:spacing w:line="240" w:lineRule="auto"/>
              <w:rPr>
                <w:rFonts w:cs="Arial"/>
              </w:rPr>
            </w:pPr>
          </w:p>
        </w:tc>
      </w:tr>
      <w:tr w:rsidR="009F3048" w:rsidRPr="005B5418" w14:paraId="5B913D7B" w14:textId="77777777" w:rsidTr="00113F40">
        <w:trPr>
          <w:cantSplit/>
          <w:trHeight w:val="2160"/>
        </w:trPr>
        <w:tc>
          <w:tcPr>
            <w:tcW w:w="5400" w:type="dxa"/>
          </w:tcPr>
          <w:p w14:paraId="22A3E959" w14:textId="5BB57744" w:rsidR="009F3048" w:rsidRPr="005B5418" w:rsidRDefault="009F3048" w:rsidP="00E51D94">
            <w:pPr>
              <w:pStyle w:val="FAM-Table-outline"/>
              <w:widowControl/>
              <w:numPr>
                <w:ilvl w:val="0"/>
                <w:numId w:val="14"/>
              </w:numPr>
              <w:adjustRightInd/>
              <w:spacing w:line="240" w:lineRule="auto"/>
              <w:textAlignment w:val="auto"/>
              <w:rPr>
                <w:rFonts w:cs="Arial"/>
              </w:rPr>
            </w:pPr>
            <w:r w:rsidRPr="005B5418">
              <w:rPr>
                <w:rFonts w:cs="Arial"/>
              </w:rPr>
              <w:t xml:space="preserve">Does the entity disclose that multi-use heritage assets are recognized and presented with </w:t>
            </w:r>
            <w:r w:rsidR="000A0C1F" w:rsidRPr="005B5418">
              <w:rPr>
                <w:rFonts w:cs="Arial"/>
              </w:rPr>
              <w:t>PP&amp;E</w:t>
            </w:r>
            <w:r w:rsidRPr="005B5418">
              <w:rPr>
                <w:rFonts w:cs="Arial"/>
              </w:rPr>
              <w:t xml:space="preserve"> in the basic financial statements and that additional information for the multi-use heritage assets is included with the </w:t>
            </w:r>
            <w:r w:rsidR="00E51D94" w:rsidRPr="005B5418">
              <w:rPr>
                <w:rFonts w:cs="Arial"/>
              </w:rPr>
              <w:t xml:space="preserve">stewardship </w:t>
            </w:r>
            <w:r w:rsidRPr="005B5418">
              <w:rPr>
                <w:rFonts w:cs="Arial"/>
              </w:rPr>
              <w:t>PP&amp;E information? (SFFAS 29, par</w:t>
            </w:r>
            <w:r w:rsidR="00CB4264" w:rsidRPr="005B5418">
              <w:rPr>
                <w:rFonts w:cs="Arial"/>
              </w:rPr>
              <w:t>a</w:t>
            </w:r>
            <w:r w:rsidRPr="005B5418">
              <w:rPr>
                <w:rFonts w:cs="Arial"/>
              </w:rPr>
              <w:t>. 27)</w:t>
            </w:r>
          </w:p>
        </w:tc>
        <w:tc>
          <w:tcPr>
            <w:tcW w:w="965" w:type="dxa"/>
          </w:tcPr>
          <w:p w14:paraId="053BB22F" w14:textId="77777777" w:rsidR="009F3048" w:rsidRPr="005B5418" w:rsidRDefault="009F3048" w:rsidP="003B61E9">
            <w:pPr>
              <w:pStyle w:val="Table-Cell-CenterBoldBefore6ptAfter6pt"/>
              <w:rPr>
                <w:rFonts w:cs="Arial"/>
              </w:rPr>
            </w:pPr>
          </w:p>
        </w:tc>
        <w:tc>
          <w:tcPr>
            <w:tcW w:w="3211" w:type="dxa"/>
          </w:tcPr>
          <w:p w14:paraId="5E2F670D" w14:textId="77777777" w:rsidR="009F3048" w:rsidRPr="005B5418" w:rsidRDefault="009F3048" w:rsidP="003B61E9">
            <w:pPr>
              <w:spacing w:line="240" w:lineRule="auto"/>
              <w:rPr>
                <w:rFonts w:cs="Arial"/>
              </w:rPr>
            </w:pPr>
          </w:p>
        </w:tc>
      </w:tr>
      <w:tr w:rsidR="009F3048" w:rsidRPr="005B5418" w14:paraId="14E0116A" w14:textId="77777777" w:rsidTr="00113F40">
        <w:trPr>
          <w:cantSplit/>
          <w:trHeight w:val="1637"/>
        </w:trPr>
        <w:tc>
          <w:tcPr>
            <w:tcW w:w="5400" w:type="dxa"/>
          </w:tcPr>
          <w:p w14:paraId="6DF076C4" w14:textId="22FE03E7" w:rsidR="009F3048" w:rsidRPr="005B5418" w:rsidRDefault="009F3048" w:rsidP="00E51D94">
            <w:pPr>
              <w:pStyle w:val="FAM-Table-outline"/>
              <w:widowControl/>
              <w:numPr>
                <w:ilvl w:val="0"/>
                <w:numId w:val="14"/>
              </w:numPr>
              <w:adjustRightInd/>
              <w:spacing w:line="240" w:lineRule="auto"/>
              <w:textAlignment w:val="auto"/>
              <w:rPr>
                <w:rFonts w:cs="Arial"/>
              </w:rPr>
            </w:pPr>
            <w:r w:rsidRPr="005B5418">
              <w:rPr>
                <w:rFonts w:cs="Arial"/>
              </w:rPr>
              <w:t>Does the entity’s disclosure include</w:t>
            </w:r>
            <w:r w:rsidR="000E5D1A" w:rsidRPr="005B5418">
              <w:rPr>
                <w:rFonts w:cs="Arial"/>
              </w:rPr>
              <w:t>, as applicable,</w:t>
            </w:r>
            <w:r w:rsidRPr="005B5418">
              <w:rPr>
                <w:rFonts w:cs="Arial"/>
              </w:rPr>
              <w:t xml:space="preserve"> a reference to deferred maintenance and repairs</w:t>
            </w:r>
            <w:r w:rsidR="00874847" w:rsidRPr="005B5418">
              <w:rPr>
                <w:rFonts w:cs="Arial"/>
              </w:rPr>
              <w:t>,</w:t>
            </w:r>
            <w:r w:rsidR="0094458E" w:rsidRPr="005B5418">
              <w:rPr>
                <w:rFonts w:cs="Arial"/>
              </w:rPr>
              <w:t xml:space="preserve"> and</w:t>
            </w:r>
            <w:r w:rsidRPr="005B5418">
              <w:rPr>
                <w:rFonts w:cs="Arial"/>
              </w:rPr>
              <w:t xml:space="preserve"> </w:t>
            </w:r>
            <w:r w:rsidR="00F85CB7" w:rsidRPr="005B5418">
              <w:rPr>
                <w:rFonts w:cs="Arial"/>
              </w:rPr>
              <w:t xml:space="preserve">estimated </w:t>
            </w:r>
            <w:r w:rsidR="007D129B" w:rsidRPr="005B5418">
              <w:rPr>
                <w:rFonts w:cs="Arial"/>
              </w:rPr>
              <w:t xml:space="preserve">land acreage </w:t>
            </w:r>
            <w:r w:rsidRPr="005B5418">
              <w:rPr>
                <w:rFonts w:cs="Arial"/>
              </w:rPr>
              <w:t>information reported in the required supplementary information</w:t>
            </w:r>
            <w:r w:rsidR="001D6F9D" w:rsidRPr="005B5418">
              <w:rPr>
                <w:rFonts w:cs="Arial"/>
              </w:rPr>
              <w:t xml:space="preserve"> for </w:t>
            </w:r>
            <w:r w:rsidR="00E51D94" w:rsidRPr="005B5418">
              <w:rPr>
                <w:rFonts w:cs="Arial"/>
              </w:rPr>
              <w:t xml:space="preserve">stewardship </w:t>
            </w:r>
            <w:r w:rsidR="001D6F9D" w:rsidRPr="005B5418">
              <w:rPr>
                <w:rFonts w:cs="Arial"/>
              </w:rPr>
              <w:t>PP&amp;E</w:t>
            </w:r>
            <w:r w:rsidRPr="005B5418">
              <w:rPr>
                <w:rFonts w:cs="Arial"/>
              </w:rPr>
              <w:t>? (SFFAS 29, par</w:t>
            </w:r>
            <w:r w:rsidR="00CB4264" w:rsidRPr="005B5418">
              <w:rPr>
                <w:rFonts w:cs="Arial"/>
              </w:rPr>
              <w:t>a</w:t>
            </w:r>
            <w:r w:rsidR="001D6F9D" w:rsidRPr="005B5418">
              <w:rPr>
                <w:rFonts w:cs="Arial"/>
              </w:rPr>
              <w:t>s</w:t>
            </w:r>
            <w:r w:rsidRPr="005B5418">
              <w:rPr>
                <w:rFonts w:cs="Arial"/>
              </w:rPr>
              <w:t>.</w:t>
            </w:r>
            <w:r w:rsidR="001D6F9D" w:rsidRPr="005B5418">
              <w:rPr>
                <w:rFonts w:cs="Arial"/>
              </w:rPr>
              <w:t xml:space="preserve"> 26 and</w:t>
            </w:r>
            <w:r w:rsidRPr="005B5418">
              <w:rPr>
                <w:rFonts w:cs="Arial"/>
              </w:rPr>
              <w:t xml:space="preserve"> 41</w:t>
            </w:r>
            <w:r w:rsidR="007D129B" w:rsidRPr="005B5418">
              <w:rPr>
                <w:rFonts w:cs="Arial"/>
              </w:rPr>
              <w:t>; A-136, section II.3.8.11</w:t>
            </w:r>
            <w:r w:rsidRPr="005B5418">
              <w:rPr>
                <w:rFonts w:cs="Arial"/>
              </w:rPr>
              <w:t>)</w:t>
            </w:r>
          </w:p>
        </w:tc>
        <w:tc>
          <w:tcPr>
            <w:tcW w:w="965" w:type="dxa"/>
          </w:tcPr>
          <w:p w14:paraId="3D092A4D" w14:textId="77777777" w:rsidR="009F3048" w:rsidRPr="005B5418" w:rsidRDefault="009F3048" w:rsidP="003B61E9">
            <w:pPr>
              <w:pStyle w:val="Table-Cell-CenterBoldBefore6ptAfter6pt"/>
              <w:rPr>
                <w:rFonts w:cs="Arial"/>
              </w:rPr>
            </w:pPr>
          </w:p>
        </w:tc>
        <w:tc>
          <w:tcPr>
            <w:tcW w:w="3211" w:type="dxa"/>
          </w:tcPr>
          <w:p w14:paraId="23A8916F" w14:textId="77777777" w:rsidR="009F3048" w:rsidRPr="005B5418" w:rsidRDefault="009F3048" w:rsidP="003B61E9">
            <w:pPr>
              <w:spacing w:line="240" w:lineRule="auto"/>
              <w:rPr>
                <w:rFonts w:cs="Arial"/>
              </w:rPr>
            </w:pPr>
          </w:p>
        </w:tc>
      </w:tr>
    </w:tbl>
    <w:p w14:paraId="7308CAEC" w14:textId="77777777" w:rsidR="009F3048" w:rsidRPr="005B5418" w:rsidRDefault="009F3048" w:rsidP="003B61E9">
      <w:pPr>
        <w:spacing w:line="240" w:lineRule="auto"/>
        <w:rPr>
          <w:rFonts w:cs="Arial"/>
        </w:rPr>
      </w:pPr>
    </w:p>
    <w:p w14:paraId="335DC183" w14:textId="77777777" w:rsidR="009F3048" w:rsidRPr="005B5418" w:rsidRDefault="009F3048"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65"/>
        <w:gridCol w:w="3211"/>
      </w:tblGrid>
      <w:tr w:rsidR="009F3048" w:rsidRPr="005B5418" w14:paraId="49493C62" w14:textId="77777777" w:rsidTr="007D5FE7">
        <w:trPr>
          <w:tblHeader/>
        </w:trPr>
        <w:tc>
          <w:tcPr>
            <w:tcW w:w="5400" w:type="dxa"/>
            <w:tcBorders>
              <w:top w:val="single" w:sz="4" w:space="0" w:color="auto"/>
              <w:left w:val="single" w:sz="4" w:space="0" w:color="auto"/>
              <w:bottom w:val="single" w:sz="4" w:space="0" w:color="auto"/>
              <w:right w:val="single" w:sz="4" w:space="0" w:color="auto"/>
            </w:tcBorders>
          </w:tcPr>
          <w:p w14:paraId="2ED58925" w14:textId="30052EDB" w:rsidR="009F3048" w:rsidRPr="005B5418" w:rsidRDefault="009F3048" w:rsidP="008848DA">
            <w:pPr>
              <w:pStyle w:val="Heading4"/>
              <w:spacing w:before="60" w:after="60" w:line="240" w:lineRule="auto"/>
              <w:jc w:val="left"/>
              <w:rPr>
                <w:b/>
                <w:u w:val="none"/>
              </w:rPr>
            </w:pPr>
            <w:bookmarkStart w:id="174" w:name="_II.3.8.12_Other_Assets"/>
            <w:bookmarkStart w:id="175" w:name="_Ref8637697"/>
            <w:bookmarkEnd w:id="174"/>
            <w:r w:rsidRPr="005B5418">
              <w:rPr>
                <w:b/>
                <w:u w:val="none"/>
              </w:rPr>
              <w:lastRenderedPageBreak/>
              <w:t xml:space="preserve">II.3.8.12 </w:t>
            </w:r>
            <w:r w:rsidR="00AE0821" w:rsidRPr="005B5418">
              <w:rPr>
                <w:b/>
                <w:u w:val="none"/>
              </w:rPr>
              <w:t xml:space="preserve">Advances and Prepayments / </w:t>
            </w:r>
            <w:r w:rsidRPr="005B5418">
              <w:rPr>
                <w:b/>
                <w:u w:val="none"/>
              </w:rPr>
              <w:t>Other Assets</w:t>
            </w:r>
            <w:bookmarkEnd w:id="175"/>
          </w:p>
        </w:tc>
        <w:tc>
          <w:tcPr>
            <w:tcW w:w="965" w:type="dxa"/>
            <w:tcBorders>
              <w:top w:val="single" w:sz="4" w:space="0" w:color="auto"/>
              <w:left w:val="single" w:sz="4" w:space="0" w:color="auto"/>
              <w:bottom w:val="single" w:sz="4" w:space="0" w:color="auto"/>
              <w:right w:val="single" w:sz="4" w:space="0" w:color="auto"/>
            </w:tcBorders>
          </w:tcPr>
          <w:p w14:paraId="50FB2004" w14:textId="77777777" w:rsidR="009F3048" w:rsidRPr="005B5418" w:rsidRDefault="009F3048" w:rsidP="008848DA">
            <w:pPr>
              <w:pStyle w:val="TableCellCenter"/>
              <w:spacing w:before="60" w:after="60"/>
              <w:jc w:val="left"/>
            </w:pPr>
            <w:r w:rsidRPr="005B5418">
              <w:t>Yes, No, or N/A</w:t>
            </w:r>
          </w:p>
        </w:tc>
        <w:tc>
          <w:tcPr>
            <w:tcW w:w="3211" w:type="dxa"/>
            <w:tcBorders>
              <w:top w:val="single" w:sz="4" w:space="0" w:color="auto"/>
              <w:left w:val="single" w:sz="4" w:space="0" w:color="auto"/>
              <w:bottom w:val="single" w:sz="4" w:space="0" w:color="auto"/>
              <w:right w:val="single" w:sz="4" w:space="0" w:color="auto"/>
            </w:tcBorders>
          </w:tcPr>
          <w:p w14:paraId="4D080F8C" w14:textId="2EA764BC" w:rsidR="009F3048" w:rsidRPr="005B5418" w:rsidRDefault="009F3048" w:rsidP="008848DA">
            <w:pPr>
              <w:pStyle w:val="TableCellCenter"/>
              <w:spacing w:before="60" w:after="60"/>
              <w:jc w:val="left"/>
              <w:rPr>
                <w:bCs/>
              </w:rPr>
            </w:pPr>
            <w:r w:rsidRPr="005B5418">
              <w:rPr>
                <w:bCs/>
              </w:rPr>
              <w:t xml:space="preserve">Explanation </w:t>
            </w:r>
            <w:r w:rsidR="009F184A" w:rsidRPr="005B5418">
              <w:rPr>
                <w:bCs/>
              </w:rPr>
              <w:t xml:space="preserve">and </w:t>
            </w:r>
            <w:r w:rsidRPr="005B5418">
              <w:rPr>
                <w:bCs/>
              </w:rPr>
              <w:t>Reference</w:t>
            </w:r>
          </w:p>
        </w:tc>
      </w:tr>
      <w:tr w:rsidR="00273627" w:rsidRPr="005B5418" w14:paraId="013632B9" w14:textId="77777777" w:rsidTr="00470826">
        <w:trPr>
          <w:cantSplit/>
          <w:trHeight w:val="3050"/>
        </w:trPr>
        <w:tc>
          <w:tcPr>
            <w:tcW w:w="9576" w:type="dxa"/>
            <w:gridSpan w:val="3"/>
          </w:tcPr>
          <w:p w14:paraId="199E633B" w14:textId="06B9497C" w:rsidR="008B7427" w:rsidRPr="005B5418" w:rsidRDefault="008B7427" w:rsidP="00062302">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This topic includes advances</w:t>
            </w:r>
            <w:r w:rsidR="00661CEE" w:rsidRPr="005B5418">
              <w:rPr>
                <w:rFonts w:eastAsia="Arial Unicode MS" w:cs="Arial"/>
                <w:i w:val="0"/>
                <w:sz w:val="22"/>
                <w:szCs w:val="22"/>
              </w:rPr>
              <w:t xml:space="preserve"> and </w:t>
            </w:r>
            <w:r w:rsidRPr="005B5418">
              <w:rPr>
                <w:rFonts w:eastAsia="Arial Unicode MS" w:cs="Arial"/>
                <w:i w:val="0"/>
                <w:sz w:val="22"/>
                <w:szCs w:val="22"/>
              </w:rPr>
              <w:t>prepayments</w:t>
            </w:r>
            <w:r w:rsidR="00114F87" w:rsidRPr="005B5418">
              <w:rPr>
                <w:rFonts w:eastAsia="Arial Unicode MS" w:cs="Arial"/>
                <w:i w:val="0"/>
                <w:sz w:val="22"/>
                <w:szCs w:val="22"/>
              </w:rPr>
              <w:t>,</w:t>
            </w:r>
            <w:r w:rsidRPr="005B5418">
              <w:rPr>
                <w:rFonts w:eastAsia="Arial Unicode MS" w:cs="Arial"/>
                <w:i w:val="0"/>
                <w:sz w:val="22"/>
                <w:szCs w:val="22"/>
              </w:rPr>
              <w:t xml:space="preserve"> and other assets.</w:t>
            </w:r>
            <w:r w:rsidR="009D4D23" w:rsidRPr="005B5418">
              <w:rPr>
                <w:rFonts w:eastAsia="Arial Unicode MS" w:cs="Arial"/>
                <w:i w:val="0"/>
                <w:sz w:val="22"/>
                <w:szCs w:val="22"/>
              </w:rPr>
              <w:t xml:space="preserve"> </w:t>
            </w:r>
          </w:p>
          <w:p w14:paraId="6C5189ED" w14:textId="5E280F95" w:rsidR="00600E59" w:rsidRPr="005B5418" w:rsidRDefault="00600E59" w:rsidP="00062302">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Advances are cash outlays made by a federal entity to its employees, contractors, grantees, or others to cover the recipient’s anticipated expenses or as advance payments for the costs of goods and services acquired by an entity. (SFFAS 1, par</w:t>
            </w:r>
            <w:r w:rsidR="009F184A" w:rsidRPr="005B5418">
              <w:rPr>
                <w:rFonts w:eastAsia="Arial Unicode MS" w:cs="Arial"/>
                <w:i w:val="0"/>
                <w:sz w:val="22"/>
                <w:szCs w:val="22"/>
              </w:rPr>
              <w:t>a</w:t>
            </w:r>
            <w:r w:rsidRPr="005B5418">
              <w:rPr>
                <w:rFonts w:eastAsia="Arial Unicode MS" w:cs="Arial"/>
                <w:i w:val="0"/>
                <w:sz w:val="22"/>
                <w:szCs w:val="22"/>
              </w:rPr>
              <w:t xml:space="preserve">. 57) </w:t>
            </w:r>
          </w:p>
          <w:p w14:paraId="0F252B7B" w14:textId="32BA7365" w:rsidR="00600E59" w:rsidRPr="005B5418" w:rsidRDefault="00600E59" w:rsidP="00062302">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Prepayments are payments made by a federal entity to cover certain periodic expenses before those expenses are incurred. Progress payments made to a contractor based on a percentage of completion of the contract are not advances or prepayments. (SFFAS 1, par</w:t>
            </w:r>
            <w:r w:rsidR="009F184A" w:rsidRPr="005B5418">
              <w:rPr>
                <w:rFonts w:eastAsia="Arial Unicode MS" w:cs="Arial"/>
                <w:i w:val="0"/>
                <w:sz w:val="22"/>
                <w:szCs w:val="22"/>
              </w:rPr>
              <w:t>a</w:t>
            </w:r>
            <w:r w:rsidRPr="005B5418">
              <w:rPr>
                <w:rFonts w:eastAsia="Arial Unicode MS" w:cs="Arial"/>
                <w:i w:val="0"/>
                <w:sz w:val="22"/>
                <w:szCs w:val="22"/>
              </w:rPr>
              <w:t>. 58)</w:t>
            </w:r>
          </w:p>
          <w:p w14:paraId="482170A1" w14:textId="77777777" w:rsidR="00C10A2F" w:rsidRPr="005B5418" w:rsidRDefault="00C10A2F" w:rsidP="00062302">
            <w:pPr>
              <w:pStyle w:val="Table-Note"/>
              <w:spacing w:before="60" w:after="60" w:line="240" w:lineRule="auto"/>
              <w:ind w:left="0"/>
              <w:jc w:val="left"/>
              <w:rPr>
                <w:rFonts w:eastAsia="Arial Unicode MS" w:cs="Arial"/>
                <w:i w:val="0"/>
                <w:sz w:val="22"/>
                <w:szCs w:val="22"/>
              </w:rPr>
            </w:pPr>
          </w:p>
          <w:p w14:paraId="44A7CB79" w14:textId="065A42DC" w:rsidR="00273627" w:rsidRPr="005B5418" w:rsidRDefault="00273627" w:rsidP="00062302">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 xml:space="preserve">Other assets </w:t>
            </w:r>
            <w:r w:rsidR="0091517B" w:rsidRPr="005B5418">
              <w:rPr>
                <w:rFonts w:eastAsia="Arial Unicode MS" w:cs="Arial"/>
                <w:i w:val="0"/>
                <w:sz w:val="22"/>
                <w:szCs w:val="22"/>
              </w:rPr>
              <w:t xml:space="preserve">are assets not recognized in any </w:t>
            </w:r>
            <w:r w:rsidR="000945A5" w:rsidRPr="005B5418">
              <w:rPr>
                <w:rFonts w:eastAsia="Arial Unicode MS" w:cs="Arial"/>
                <w:i w:val="0"/>
                <w:sz w:val="22"/>
                <w:szCs w:val="22"/>
              </w:rPr>
              <w:t xml:space="preserve">numbered line items </w:t>
            </w:r>
            <w:r w:rsidR="00790A19" w:rsidRPr="005B5418">
              <w:rPr>
                <w:rFonts w:eastAsia="Arial Unicode MS" w:cs="Arial"/>
                <w:i w:val="0"/>
                <w:sz w:val="22"/>
                <w:szCs w:val="22"/>
              </w:rPr>
              <w:t>o</w:t>
            </w:r>
            <w:r w:rsidR="000945A5" w:rsidRPr="005B5418">
              <w:rPr>
                <w:rFonts w:eastAsia="Arial Unicode MS" w:cs="Arial"/>
                <w:i w:val="0"/>
                <w:sz w:val="22"/>
                <w:szCs w:val="22"/>
              </w:rPr>
              <w:t xml:space="preserve">n the Balance Sheet </w:t>
            </w:r>
            <w:r w:rsidR="001B5C17" w:rsidRPr="005B5418">
              <w:rPr>
                <w:rFonts w:eastAsia="Arial Unicode MS" w:cs="Arial"/>
                <w:i w:val="0"/>
                <w:sz w:val="22"/>
                <w:szCs w:val="22"/>
              </w:rPr>
              <w:t>Template</w:t>
            </w:r>
            <w:r w:rsidR="00B644B1" w:rsidRPr="005B5418">
              <w:rPr>
                <w:rFonts w:eastAsia="Arial Unicode MS" w:cs="Arial"/>
                <w:i w:val="0"/>
                <w:sz w:val="22"/>
                <w:szCs w:val="22"/>
              </w:rPr>
              <w:t>, as well as a lessor’s lease receivable</w:t>
            </w:r>
            <w:r w:rsidR="009F184A" w:rsidRPr="005B5418">
              <w:rPr>
                <w:rFonts w:eastAsia="Arial Unicode MS" w:cs="Arial"/>
                <w:i w:val="0"/>
                <w:sz w:val="22"/>
                <w:szCs w:val="22"/>
              </w:rPr>
              <w:t>. These m</w:t>
            </w:r>
            <w:r w:rsidR="0091517B" w:rsidRPr="005B5418">
              <w:rPr>
                <w:rFonts w:eastAsia="Arial Unicode MS" w:cs="Arial"/>
                <w:i w:val="0"/>
                <w:sz w:val="22"/>
                <w:szCs w:val="22"/>
              </w:rPr>
              <w:t>ay include assets described in previous categories that are immaterial to the entity</w:t>
            </w:r>
            <w:r w:rsidR="009F184A" w:rsidRPr="005B5418">
              <w:rPr>
                <w:rFonts w:eastAsia="Arial Unicode MS" w:cs="Arial"/>
                <w:i w:val="0"/>
                <w:sz w:val="22"/>
                <w:szCs w:val="22"/>
              </w:rPr>
              <w:t xml:space="preserve">, for example, </w:t>
            </w:r>
            <w:r w:rsidR="000A0C1F" w:rsidRPr="005B5418">
              <w:rPr>
                <w:rFonts w:eastAsia="Arial Unicode MS" w:cs="Arial"/>
                <w:i w:val="0"/>
                <w:sz w:val="22"/>
                <w:szCs w:val="22"/>
              </w:rPr>
              <w:t>PP&amp;E</w:t>
            </w:r>
            <w:r w:rsidR="0091517B" w:rsidRPr="005B5418">
              <w:rPr>
                <w:rFonts w:eastAsia="Arial Unicode MS" w:cs="Arial"/>
                <w:i w:val="0"/>
                <w:sz w:val="22"/>
                <w:szCs w:val="22"/>
              </w:rPr>
              <w:t xml:space="preserve"> removed from service but not yet disposed. </w:t>
            </w:r>
            <w:r w:rsidRPr="005B5418">
              <w:rPr>
                <w:rFonts w:eastAsia="Arial Unicode MS" w:cs="Arial"/>
                <w:i w:val="0"/>
                <w:sz w:val="22"/>
                <w:szCs w:val="22"/>
              </w:rPr>
              <w:t xml:space="preserve">(A-136, section II.3.2.3) </w:t>
            </w:r>
          </w:p>
          <w:p w14:paraId="2001D432" w14:textId="4224493A" w:rsidR="004711F3" w:rsidRPr="005B5418" w:rsidRDefault="004711F3" w:rsidP="008848DA">
            <w:pPr>
              <w:pStyle w:val="Table-Note"/>
              <w:spacing w:before="60" w:after="60" w:line="240" w:lineRule="auto"/>
              <w:ind w:left="0"/>
              <w:jc w:val="left"/>
              <w:rPr>
                <w:i w:val="0"/>
              </w:rPr>
            </w:pPr>
          </w:p>
        </w:tc>
      </w:tr>
      <w:tr w:rsidR="0024041F" w:rsidRPr="005B5418" w14:paraId="52E38262" w14:textId="77777777" w:rsidTr="00273627">
        <w:trPr>
          <w:cantSplit/>
          <w:trHeight w:val="1025"/>
        </w:trPr>
        <w:tc>
          <w:tcPr>
            <w:tcW w:w="5400" w:type="dxa"/>
          </w:tcPr>
          <w:p w14:paraId="17448B4C" w14:textId="003EECFD" w:rsidR="0024041F" w:rsidRPr="005B5418" w:rsidRDefault="00C36759" w:rsidP="00343610">
            <w:pPr>
              <w:pStyle w:val="FAM-Table-outline"/>
              <w:widowControl/>
              <w:numPr>
                <w:ilvl w:val="0"/>
                <w:numId w:val="15"/>
              </w:numPr>
              <w:adjustRightInd/>
              <w:spacing w:line="240" w:lineRule="auto"/>
              <w:textAlignment w:val="auto"/>
              <w:rPr>
                <w:rFonts w:eastAsia="Arial Unicode MS"/>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F16342" w:rsidRPr="005B5418">
              <w:rPr>
                <w:rFonts w:eastAsia="Arial Unicode MS" w:cs="Arial"/>
                <w:szCs w:val="22"/>
              </w:rPr>
              <w:t>.</w:t>
            </w:r>
            <w:r w:rsidRPr="005B5418">
              <w:rPr>
                <w:rFonts w:eastAsia="Arial Unicode MS" w:cs="Arial"/>
                <w:szCs w:val="22"/>
              </w:rPr>
              <w:t>)</w:t>
            </w:r>
          </w:p>
        </w:tc>
        <w:tc>
          <w:tcPr>
            <w:tcW w:w="965" w:type="dxa"/>
          </w:tcPr>
          <w:p w14:paraId="3BA09CE8" w14:textId="77777777" w:rsidR="0024041F" w:rsidRPr="005B5418" w:rsidRDefault="0024041F" w:rsidP="008848DA">
            <w:pPr>
              <w:pStyle w:val="Table-Cell-CenterBoldBefore6ptAfter6pt"/>
              <w:spacing w:before="60" w:after="60"/>
              <w:rPr>
                <w:rFonts w:cs="Arial"/>
              </w:rPr>
            </w:pPr>
          </w:p>
        </w:tc>
        <w:tc>
          <w:tcPr>
            <w:tcW w:w="3211" w:type="dxa"/>
          </w:tcPr>
          <w:p w14:paraId="1BB03B66" w14:textId="77777777" w:rsidR="0024041F" w:rsidRPr="005B5418" w:rsidRDefault="0024041F" w:rsidP="008848DA">
            <w:pPr>
              <w:pStyle w:val="Table-Cell-Left"/>
              <w:spacing w:before="60" w:after="60" w:line="240" w:lineRule="auto"/>
              <w:rPr>
                <w:rFonts w:cs="Arial"/>
              </w:rPr>
            </w:pPr>
          </w:p>
        </w:tc>
      </w:tr>
      <w:tr w:rsidR="0024041F" w:rsidRPr="005B5418" w14:paraId="15238B4F" w14:textId="77777777" w:rsidTr="0038293D">
        <w:trPr>
          <w:cantSplit/>
          <w:trHeight w:val="332"/>
        </w:trPr>
        <w:tc>
          <w:tcPr>
            <w:tcW w:w="9576" w:type="dxa"/>
            <w:gridSpan w:val="3"/>
          </w:tcPr>
          <w:p w14:paraId="7D0DCAA1" w14:textId="77777777" w:rsidR="0024041F" w:rsidRPr="005B5418" w:rsidRDefault="0024041F" w:rsidP="008848DA">
            <w:pPr>
              <w:spacing w:before="60" w:after="60" w:line="240" w:lineRule="auto"/>
              <w:rPr>
                <w:rFonts w:ascii="Arial" w:hAnsi="Arial" w:cs="Arial"/>
                <w:b/>
              </w:rPr>
            </w:pPr>
            <w:r w:rsidRPr="005B5418">
              <w:rPr>
                <w:rFonts w:ascii="Arial" w:hAnsi="Arial" w:cs="Arial"/>
                <w:b/>
              </w:rPr>
              <w:t>Accounting</w:t>
            </w:r>
          </w:p>
        </w:tc>
      </w:tr>
      <w:tr w:rsidR="00273627" w:rsidRPr="005B5418" w14:paraId="7360980A" w14:textId="77777777" w:rsidTr="0038293D">
        <w:trPr>
          <w:cantSplit/>
          <w:trHeight w:val="1025"/>
        </w:trPr>
        <w:tc>
          <w:tcPr>
            <w:tcW w:w="5400" w:type="dxa"/>
          </w:tcPr>
          <w:p w14:paraId="0FA42341" w14:textId="69800A29" w:rsidR="00273627" w:rsidRPr="005B5418" w:rsidRDefault="00273627" w:rsidP="00343610">
            <w:pPr>
              <w:pStyle w:val="FAM-Table-outline"/>
              <w:widowControl/>
              <w:numPr>
                <w:ilvl w:val="0"/>
                <w:numId w:val="15"/>
              </w:numPr>
              <w:adjustRightInd/>
              <w:spacing w:line="240" w:lineRule="auto"/>
              <w:textAlignment w:val="auto"/>
              <w:rPr>
                <w:rFonts w:cs="Arial"/>
              </w:rPr>
            </w:pPr>
            <w:r w:rsidRPr="005B5418">
              <w:rPr>
                <w:rFonts w:eastAsia="Arial Unicode MS"/>
              </w:rPr>
              <w:t xml:space="preserve">Are amounts of advances or prepayments that are subject to a refund </w:t>
            </w:r>
            <w:r w:rsidR="00094145" w:rsidRPr="005B5418">
              <w:rPr>
                <w:rFonts w:eastAsia="Arial Unicode MS"/>
              </w:rPr>
              <w:t xml:space="preserve">(e.g., travel advances) </w:t>
            </w:r>
            <w:r w:rsidRPr="005B5418">
              <w:rPr>
                <w:rFonts w:eastAsia="Arial Unicode MS"/>
              </w:rPr>
              <w:t>transferred to accounts receivable? (SFFAS 1, par</w:t>
            </w:r>
            <w:r w:rsidR="00CF2E12" w:rsidRPr="005B5418">
              <w:rPr>
                <w:rFonts w:eastAsia="Arial Unicode MS"/>
              </w:rPr>
              <w:t>a</w:t>
            </w:r>
            <w:r w:rsidRPr="005B5418">
              <w:rPr>
                <w:rFonts w:eastAsia="Arial Unicode MS"/>
              </w:rPr>
              <w:t>. 59)</w:t>
            </w:r>
          </w:p>
        </w:tc>
        <w:tc>
          <w:tcPr>
            <w:tcW w:w="965" w:type="dxa"/>
          </w:tcPr>
          <w:p w14:paraId="26E92804" w14:textId="77777777" w:rsidR="00273627" w:rsidRPr="005B5418" w:rsidRDefault="00273627" w:rsidP="008848DA">
            <w:pPr>
              <w:pStyle w:val="Table-Cell-CenterBoldBefore6ptAfter6pt"/>
              <w:spacing w:before="60" w:after="60"/>
              <w:rPr>
                <w:rFonts w:cs="Arial"/>
              </w:rPr>
            </w:pPr>
          </w:p>
        </w:tc>
        <w:tc>
          <w:tcPr>
            <w:tcW w:w="3211" w:type="dxa"/>
          </w:tcPr>
          <w:p w14:paraId="59B0EC28" w14:textId="77777777" w:rsidR="00273627" w:rsidRPr="005B5418" w:rsidRDefault="00273627" w:rsidP="008848DA">
            <w:pPr>
              <w:pStyle w:val="Table-Cell-Left"/>
              <w:spacing w:before="60" w:after="60" w:line="240" w:lineRule="auto"/>
              <w:rPr>
                <w:rFonts w:cs="Arial"/>
              </w:rPr>
            </w:pPr>
          </w:p>
        </w:tc>
      </w:tr>
      <w:tr w:rsidR="00273627" w:rsidRPr="005B5418" w14:paraId="044F4C3B" w14:textId="77777777" w:rsidTr="00113F40">
        <w:trPr>
          <w:cantSplit/>
          <w:trHeight w:val="1547"/>
        </w:trPr>
        <w:tc>
          <w:tcPr>
            <w:tcW w:w="5400" w:type="dxa"/>
          </w:tcPr>
          <w:p w14:paraId="5BB5ABD8" w14:textId="007E0B94" w:rsidR="00273627" w:rsidRPr="005B5418" w:rsidRDefault="00273627" w:rsidP="00343610">
            <w:pPr>
              <w:pStyle w:val="FAM-Table-outline"/>
              <w:widowControl/>
              <w:numPr>
                <w:ilvl w:val="0"/>
                <w:numId w:val="15"/>
              </w:numPr>
              <w:adjustRightInd/>
              <w:spacing w:line="240" w:lineRule="auto"/>
              <w:textAlignment w:val="auto"/>
              <w:rPr>
                <w:rFonts w:cs="Arial"/>
              </w:rPr>
            </w:pPr>
            <w:r w:rsidRPr="005B5418">
              <w:rPr>
                <w:rFonts w:eastAsia="Arial Unicode MS"/>
              </w:rPr>
              <w:t>Are advances and prepayments paid out reported separately as assets and not netted against the liability for advances and prepayments that the entity received? (SFFAS 1, par</w:t>
            </w:r>
            <w:r w:rsidR="00CF2E12" w:rsidRPr="005B5418">
              <w:rPr>
                <w:rFonts w:eastAsia="Arial Unicode MS"/>
              </w:rPr>
              <w:t>a</w:t>
            </w:r>
            <w:r w:rsidRPr="005B5418">
              <w:rPr>
                <w:rFonts w:eastAsia="Arial Unicode MS"/>
              </w:rPr>
              <w:t>. 60)</w:t>
            </w:r>
          </w:p>
        </w:tc>
        <w:tc>
          <w:tcPr>
            <w:tcW w:w="965" w:type="dxa"/>
          </w:tcPr>
          <w:p w14:paraId="638E732E" w14:textId="77777777" w:rsidR="00273627" w:rsidRPr="005B5418" w:rsidRDefault="00273627" w:rsidP="008848DA">
            <w:pPr>
              <w:pStyle w:val="Table-Cell-CenterBoldBefore6ptAfter6pt"/>
              <w:spacing w:before="60" w:after="60"/>
              <w:rPr>
                <w:rFonts w:cs="Arial"/>
              </w:rPr>
            </w:pPr>
          </w:p>
        </w:tc>
        <w:tc>
          <w:tcPr>
            <w:tcW w:w="3211" w:type="dxa"/>
          </w:tcPr>
          <w:p w14:paraId="6AE59342" w14:textId="77777777" w:rsidR="00273627" w:rsidRPr="005B5418" w:rsidRDefault="00273627" w:rsidP="008848DA">
            <w:pPr>
              <w:pStyle w:val="Table-Cell-Left"/>
              <w:spacing w:before="60" w:after="60" w:line="240" w:lineRule="auto"/>
              <w:rPr>
                <w:rFonts w:cs="Arial"/>
              </w:rPr>
            </w:pPr>
          </w:p>
        </w:tc>
      </w:tr>
      <w:tr w:rsidR="00273627" w:rsidRPr="005B5418" w14:paraId="3928489F" w14:textId="77777777" w:rsidTr="00491402">
        <w:trPr>
          <w:cantSplit/>
          <w:trHeight w:val="1088"/>
        </w:trPr>
        <w:tc>
          <w:tcPr>
            <w:tcW w:w="5400" w:type="dxa"/>
          </w:tcPr>
          <w:p w14:paraId="712C33A5" w14:textId="110DA1F4" w:rsidR="00273627" w:rsidRPr="005B5418" w:rsidRDefault="00273627" w:rsidP="00343610">
            <w:pPr>
              <w:pStyle w:val="FAM-Table-outline"/>
              <w:widowControl/>
              <w:numPr>
                <w:ilvl w:val="0"/>
                <w:numId w:val="15"/>
              </w:numPr>
              <w:adjustRightInd/>
              <w:spacing w:line="240" w:lineRule="auto"/>
              <w:textAlignment w:val="auto"/>
              <w:rPr>
                <w:rFonts w:cs="Arial"/>
              </w:rPr>
            </w:pPr>
            <w:r w:rsidRPr="005B5418">
              <w:rPr>
                <w:rFonts w:eastAsia="Arial Unicode MS"/>
              </w:rPr>
              <w:t>Are advances and prepayments that are made to federal entities accounted for separately from those made to non</w:t>
            </w:r>
            <w:r w:rsidR="005A3C17" w:rsidRPr="005B5418">
              <w:rPr>
                <w:rFonts w:eastAsia="Arial Unicode MS"/>
              </w:rPr>
              <w:t>-</w:t>
            </w:r>
            <w:r w:rsidRPr="005B5418">
              <w:rPr>
                <w:rFonts w:eastAsia="Arial Unicode MS"/>
              </w:rPr>
              <w:t>federal entities? (SFFAS 1, par</w:t>
            </w:r>
            <w:r w:rsidR="00CF2E12" w:rsidRPr="005B5418">
              <w:rPr>
                <w:rFonts w:eastAsia="Arial Unicode MS"/>
              </w:rPr>
              <w:t>a</w:t>
            </w:r>
            <w:r w:rsidRPr="005B5418">
              <w:rPr>
                <w:rFonts w:eastAsia="Arial Unicode MS"/>
              </w:rPr>
              <w:t>. 61)</w:t>
            </w:r>
          </w:p>
        </w:tc>
        <w:tc>
          <w:tcPr>
            <w:tcW w:w="965" w:type="dxa"/>
          </w:tcPr>
          <w:p w14:paraId="47C63455" w14:textId="77777777" w:rsidR="00273627" w:rsidRPr="005B5418" w:rsidRDefault="00273627" w:rsidP="008848DA">
            <w:pPr>
              <w:pStyle w:val="Table-Cell-CenterBoldBefore6ptAfter6pt"/>
              <w:spacing w:before="60" w:after="60"/>
              <w:rPr>
                <w:rFonts w:cs="Arial"/>
              </w:rPr>
            </w:pPr>
          </w:p>
        </w:tc>
        <w:tc>
          <w:tcPr>
            <w:tcW w:w="3211" w:type="dxa"/>
          </w:tcPr>
          <w:p w14:paraId="19D2703B" w14:textId="77777777" w:rsidR="00273627" w:rsidRPr="005B5418" w:rsidRDefault="00273627" w:rsidP="008848DA">
            <w:pPr>
              <w:pStyle w:val="Table-Cell-Left"/>
              <w:spacing w:before="60" w:after="60" w:line="240" w:lineRule="auto"/>
              <w:rPr>
                <w:rFonts w:cs="Arial"/>
              </w:rPr>
            </w:pPr>
          </w:p>
        </w:tc>
      </w:tr>
      <w:tr w:rsidR="00065BA2" w:rsidRPr="005B5418" w14:paraId="3F1584CF" w14:textId="77777777" w:rsidTr="0038293D">
        <w:trPr>
          <w:cantSplit/>
          <w:trHeight w:val="458"/>
        </w:trPr>
        <w:tc>
          <w:tcPr>
            <w:tcW w:w="9576" w:type="dxa"/>
            <w:gridSpan w:val="3"/>
          </w:tcPr>
          <w:p w14:paraId="5976D6A6" w14:textId="77777777" w:rsidR="00065BA2" w:rsidRPr="005B5418" w:rsidRDefault="00065BA2" w:rsidP="008848DA">
            <w:pPr>
              <w:spacing w:before="60" w:after="60" w:line="240" w:lineRule="auto"/>
              <w:rPr>
                <w:rFonts w:ascii="Arial" w:hAnsi="Arial" w:cs="Arial"/>
                <w:b/>
              </w:rPr>
            </w:pPr>
            <w:r w:rsidRPr="005B5418">
              <w:rPr>
                <w:rFonts w:ascii="Arial" w:hAnsi="Arial" w:cs="Arial"/>
                <w:b/>
              </w:rPr>
              <w:t>Disclosure</w:t>
            </w:r>
          </w:p>
        </w:tc>
      </w:tr>
      <w:tr w:rsidR="009F3048" w:rsidRPr="005B5418" w14:paraId="33807544" w14:textId="77777777" w:rsidTr="00491402">
        <w:trPr>
          <w:cantSplit/>
          <w:trHeight w:val="917"/>
        </w:trPr>
        <w:tc>
          <w:tcPr>
            <w:tcW w:w="5400" w:type="dxa"/>
          </w:tcPr>
          <w:p w14:paraId="3794BF42" w14:textId="2152AC4E" w:rsidR="009F3048" w:rsidRPr="005B5418" w:rsidRDefault="009F3048" w:rsidP="00343610">
            <w:pPr>
              <w:pStyle w:val="FAM-Table-outline"/>
              <w:widowControl/>
              <w:numPr>
                <w:ilvl w:val="0"/>
                <w:numId w:val="15"/>
              </w:numPr>
              <w:adjustRightInd/>
              <w:spacing w:line="240" w:lineRule="auto"/>
              <w:textAlignment w:val="auto"/>
              <w:rPr>
                <w:rFonts w:cs="Arial"/>
              </w:rPr>
            </w:pPr>
            <w:r w:rsidRPr="005B5418">
              <w:rPr>
                <w:rFonts w:cs="Arial"/>
              </w:rPr>
              <w:t>Does the entity disclose information required to understand the nature of categories of “other” assets? (A-136, section II.3.2.3)</w:t>
            </w:r>
          </w:p>
        </w:tc>
        <w:tc>
          <w:tcPr>
            <w:tcW w:w="965" w:type="dxa"/>
          </w:tcPr>
          <w:p w14:paraId="607A1A72" w14:textId="77777777" w:rsidR="009F3048" w:rsidRPr="005B5418" w:rsidRDefault="009F3048" w:rsidP="008848DA">
            <w:pPr>
              <w:pStyle w:val="Table-Cell-CenterBoldBefore6ptAfter6pt"/>
              <w:spacing w:before="60" w:after="60"/>
              <w:rPr>
                <w:rFonts w:cs="Arial"/>
              </w:rPr>
            </w:pPr>
          </w:p>
        </w:tc>
        <w:tc>
          <w:tcPr>
            <w:tcW w:w="3211" w:type="dxa"/>
          </w:tcPr>
          <w:p w14:paraId="47556E97" w14:textId="77777777" w:rsidR="009F3048" w:rsidRPr="005B5418" w:rsidRDefault="009F3048" w:rsidP="008848DA">
            <w:pPr>
              <w:pStyle w:val="Table-Cell-Left"/>
              <w:spacing w:before="60" w:after="60" w:line="240" w:lineRule="auto"/>
              <w:rPr>
                <w:rFonts w:cs="Arial"/>
              </w:rPr>
            </w:pPr>
          </w:p>
        </w:tc>
      </w:tr>
      <w:tr w:rsidR="009F3048" w:rsidRPr="005B5418" w14:paraId="0D1B3F9B" w14:textId="77777777" w:rsidTr="00113F40">
        <w:trPr>
          <w:cantSplit/>
          <w:trHeight w:val="1340"/>
        </w:trPr>
        <w:tc>
          <w:tcPr>
            <w:tcW w:w="5400" w:type="dxa"/>
          </w:tcPr>
          <w:p w14:paraId="621F8672" w14:textId="04826C4B" w:rsidR="009F3048" w:rsidRPr="005B5418" w:rsidRDefault="009F3048" w:rsidP="00437C09">
            <w:pPr>
              <w:pStyle w:val="FAM-Table-outline"/>
              <w:widowControl/>
              <w:numPr>
                <w:ilvl w:val="0"/>
                <w:numId w:val="15"/>
              </w:numPr>
              <w:adjustRightInd/>
              <w:spacing w:line="240" w:lineRule="auto"/>
              <w:textAlignment w:val="auto"/>
              <w:rPr>
                <w:rFonts w:cs="Arial"/>
              </w:rPr>
            </w:pPr>
            <w:r w:rsidRPr="005B5418">
              <w:rPr>
                <w:rFonts w:cs="Arial"/>
              </w:rPr>
              <w:lastRenderedPageBreak/>
              <w:t xml:space="preserve">Does the entity disclose intragovernmental other assets separately from </w:t>
            </w:r>
            <w:r w:rsidR="001F616D" w:rsidRPr="005B5418">
              <w:rPr>
                <w:rFonts w:cs="Arial"/>
              </w:rPr>
              <w:t>other than intragovernmental assets</w:t>
            </w:r>
            <w:r w:rsidRPr="005B5418">
              <w:rPr>
                <w:rFonts w:cs="Arial"/>
              </w:rPr>
              <w:t>? (A-136, section II.3.8.12)</w:t>
            </w:r>
          </w:p>
        </w:tc>
        <w:tc>
          <w:tcPr>
            <w:tcW w:w="965" w:type="dxa"/>
          </w:tcPr>
          <w:p w14:paraId="6E75ADF6" w14:textId="77777777" w:rsidR="009F3048" w:rsidRPr="005B5418" w:rsidRDefault="009F3048" w:rsidP="008848DA">
            <w:pPr>
              <w:pStyle w:val="Table-Cell-CenterBoldBefore6ptAfter6pt"/>
              <w:spacing w:before="60" w:after="60"/>
              <w:rPr>
                <w:rFonts w:cs="Arial"/>
              </w:rPr>
            </w:pPr>
          </w:p>
        </w:tc>
        <w:tc>
          <w:tcPr>
            <w:tcW w:w="3211" w:type="dxa"/>
          </w:tcPr>
          <w:p w14:paraId="339F9B72" w14:textId="77777777" w:rsidR="009F3048" w:rsidRPr="005B5418" w:rsidRDefault="009F3048" w:rsidP="008848DA">
            <w:pPr>
              <w:pStyle w:val="Table-Cell-Left"/>
              <w:spacing w:before="60" w:after="60" w:line="240" w:lineRule="auto"/>
              <w:rPr>
                <w:rFonts w:cs="Arial"/>
              </w:rPr>
            </w:pPr>
          </w:p>
        </w:tc>
      </w:tr>
      <w:tr w:rsidR="009F3048" w:rsidRPr="005B5418" w14:paraId="418D6D68" w14:textId="77777777" w:rsidTr="00113F40">
        <w:trPr>
          <w:cantSplit/>
          <w:trHeight w:val="1250"/>
        </w:trPr>
        <w:tc>
          <w:tcPr>
            <w:tcW w:w="5400" w:type="dxa"/>
          </w:tcPr>
          <w:p w14:paraId="6963D2F4" w14:textId="23F9045C" w:rsidR="009F3048" w:rsidRPr="005B5418" w:rsidRDefault="009F3048" w:rsidP="00343610">
            <w:pPr>
              <w:pStyle w:val="FAM-Table-outline"/>
              <w:widowControl/>
              <w:numPr>
                <w:ilvl w:val="0"/>
                <w:numId w:val="15"/>
              </w:numPr>
              <w:adjustRightInd/>
              <w:spacing w:line="240" w:lineRule="auto"/>
              <w:textAlignment w:val="auto"/>
              <w:rPr>
                <w:rFonts w:cs="Arial"/>
              </w:rPr>
            </w:pPr>
            <w:r w:rsidRPr="005B5418">
              <w:rPr>
                <w:rFonts w:cs="Arial"/>
              </w:rPr>
              <w:t>Are advances and prepayments shown as assets and disclosed in the notes to the financial statements? (SFFAS 1, par</w:t>
            </w:r>
            <w:r w:rsidR="00413A22" w:rsidRPr="005B5418">
              <w:rPr>
                <w:rFonts w:cs="Arial"/>
              </w:rPr>
              <w:t>a</w:t>
            </w:r>
            <w:r w:rsidRPr="005B5418">
              <w:rPr>
                <w:rFonts w:cs="Arial"/>
              </w:rPr>
              <w:t>. 59; A-136, section II.3.2.3)</w:t>
            </w:r>
          </w:p>
        </w:tc>
        <w:tc>
          <w:tcPr>
            <w:tcW w:w="965" w:type="dxa"/>
          </w:tcPr>
          <w:p w14:paraId="35A0DCF1" w14:textId="77777777" w:rsidR="009F3048" w:rsidRPr="005B5418" w:rsidRDefault="009F3048" w:rsidP="008848DA">
            <w:pPr>
              <w:pStyle w:val="Table-Cell-CenterBoldBefore6ptAfter6pt"/>
              <w:spacing w:before="60" w:after="60"/>
              <w:rPr>
                <w:rFonts w:cs="Arial"/>
              </w:rPr>
            </w:pPr>
          </w:p>
        </w:tc>
        <w:tc>
          <w:tcPr>
            <w:tcW w:w="3211" w:type="dxa"/>
          </w:tcPr>
          <w:p w14:paraId="7748DE84" w14:textId="77777777" w:rsidR="009F3048" w:rsidRPr="005B5418" w:rsidRDefault="009F3048" w:rsidP="008848DA">
            <w:pPr>
              <w:pStyle w:val="Table-Cell-Left"/>
              <w:spacing w:before="60" w:after="60" w:line="240" w:lineRule="auto"/>
              <w:rPr>
                <w:rFonts w:cs="Arial"/>
              </w:rPr>
            </w:pPr>
          </w:p>
        </w:tc>
      </w:tr>
      <w:tr w:rsidR="009F3048" w:rsidRPr="005B5418" w14:paraId="66213BDD" w14:textId="77777777" w:rsidTr="007D5FE7">
        <w:trPr>
          <w:cantSplit/>
          <w:trHeight w:val="1277"/>
        </w:trPr>
        <w:tc>
          <w:tcPr>
            <w:tcW w:w="5400" w:type="dxa"/>
          </w:tcPr>
          <w:p w14:paraId="69AB0792" w14:textId="4B4726D3" w:rsidR="009F3048" w:rsidRPr="005B5418" w:rsidRDefault="009F3048" w:rsidP="00343610">
            <w:pPr>
              <w:pStyle w:val="FAM-Table-outline"/>
              <w:widowControl/>
              <w:numPr>
                <w:ilvl w:val="0"/>
                <w:numId w:val="15"/>
              </w:numPr>
              <w:adjustRightInd/>
              <w:spacing w:line="240" w:lineRule="auto"/>
              <w:textAlignment w:val="auto"/>
              <w:rPr>
                <w:rFonts w:cs="Arial"/>
              </w:rPr>
            </w:pPr>
            <w:r w:rsidRPr="005B5418">
              <w:rPr>
                <w:rFonts w:cs="Arial"/>
              </w:rPr>
              <w:t>Are advances and prepayments that are made to federal entities reported separately from those made to non</w:t>
            </w:r>
            <w:r w:rsidR="005A3C17" w:rsidRPr="005B5418">
              <w:rPr>
                <w:rFonts w:cs="Arial"/>
              </w:rPr>
              <w:t>-</w:t>
            </w:r>
            <w:r w:rsidRPr="005B5418">
              <w:rPr>
                <w:rFonts w:cs="Arial"/>
              </w:rPr>
              <w:t>federal entities? (SFFAS 1, par</w:t>
            </w:r>
            <w:r w:rsidR="00413A22" w:rsidRPr="005B5418">
              <w:rPr>
                <w:rFonts w:cs="Arial"/>
              </w:rPr>
              <w:t>a</w:t>
            </w:r>
            <w:r w:rsidRPr="005B5418">
              <w:rPr>
                <w:rFonts w:cs="Arial"/>
              </w:rPr>
              <w:t>. 61; A-136, section II.3.8.12)</w:t>
            </w:r>
          </w:p>
        </w:tc>
        <w:tc>
          <w:tcPr>
            <w:tcW w:w="965" w:type="dxa"/>
          </w:tcPr>
          <w:p w14:paraId="614E4F3E" w14:textId="77777777" w:rsidR="009F3048" w:rsidRPr="005B5418" w:rsidRDefault="009F3048" w:rsidP="008848DA">
            <w:pPr>
              <w:pStyle w:val="Table-Cell-CenterBoldBefore6ptAfter6pt"/>
              <w:spacing w:before="60" w:after="60"/>
              <w:rPr>
                <w:rFonts w:cs="Arial"/>
              </w:rPr>
            </w:pPr>
          </w:p>
        </w:tc>
        <w:tc>
          <w:tcPr>
            <w:tcW w:w="3211" w:type="dxa"/>
          </w:tcPr>
          <w:p w14:paraId="1442EA3F" w14:textId="77777777" w:rsidR="009F3048" w:rsidRPr="005B5418" w:rsidRDefault="009F3048" w:rsidP="008848DA">
            <w:pPr>
              <w:pStyle w:val="Table-Cell-Left"/>
              <w:spacing w:before="60" w:after="60" w:line="240" w:lineRule="auto"/>
              <w:rPr>
                <w:rFonts w:cs="Arial"/>
              </w:rPr>
            </w:pPr>
          </w:p>
        </w:tc>
      </w:tr>
      <w:tr w:rsidR="00E45A67" w:rsidRPr="005B5418" w14:paraId="2B7898E2" w14:textId="77777777" w:rsidTr="007D5FE7">
        <w:trPr>
          <w:cantSplit/>
          <w:trHeight w:val="1277"/>
        </w:trPr>
        <w:tc>
          <w:tcPr>
            <w:tcW w:w="5400" w:type="dxa"/>
          </w:tcPr>
          <w:p w14:paraId="2B493054" w14:textId="4FC3A10D" w:rsidR="00E45A67" w:rsidRPr="005B5418" w:rsidRDefault="00E45A67" w:rsidP="00343610">
            <w:pPr>
              <w:pStyle w:val="FAM-Table-outline"/>
              <w:widowControl/>
              <w:numPr>
                <w:ilvl w:val="0"/>
                <w:numId w:val="15"/>
              </w:numPr>
              <w:adjustRightInd/>
              <w:spacing w:line="240" w:lineRule="auto"/>
              <w:textAlignment w:val="auto"/>
              <w:rPr>
                <w:rFonts w:cs="Arial"/>
              </w:rPr>
            </w:pPr>
            <w:r w:rsidRPr="005B5418">
              <w:rPr>
                <w:rFonts w:cs="Arial"/>
              </w:rPr>
              <w:t xml:space="preserve">For </w:t>
            </w:r>
            <w:r w:rsidR="00E43A80" w:rsidRPr="005B5418">
              <w:rPr>
                <w:rFonts w:cs="Arial"/>
              </w:rPr>
              <w:t xml:space="preserve">non-federal </w:t>
            </w:r>
            <w:r w:rsidRPr="005B5418">
              <w:rPr>
                <w:rFonts w:cs="Arial"/>
              </w:rPr>
              <w:t>leases</w:t>
            </w:r>
            <w:r w:rsidR="00E173B0" w:rsidRPr="005B5418">
              <w:rPr>
                <w:rFonts w:cs="Arial"/>
              </w:rPr>
              <w:t>,</w:t>
            </w:r>
            <w:r w:rsidR="00A03A42" w:rsidRPr="005B5418">
              <w:rPr>
                <w:rStyle w:val="FootnoteReference"/>
                <w:rFonts w:cs="Arial"/>
              </w:rPr>
              <w:footnoteReference w:id="158"/>
            </w:r>
            <w:r w:rsidRPr="005B5418">
              <w:rPr>
                <w:rFonts w:cs="Arial"/>
              </w:rPr>
              <w:t xml:space="preserve"> do</w:t>
            </w:r>
            <w:r w:rsidR="0021489B" w:rsidRPr="005B5418">
              <w:rPr>
                <w:rFonts w:cs="Arial"/>
              </w:rPr>
              <w:t>es</w:t>
            </w:r>
            <w:r w:rsidRPr="005B5418">
              <w:rPr>
                <w:rFonts w:cs="Arial"/>
              </w:rPr>
              <w:t xml:space="preserve"> </w:t>
            </w:r>
            <w:r w:rsidR="0021489B" w:rsidRPr="005B5418">
              <w:rPr>
                <w:rFonts w:cs="Arial"/>
              </w:rPr>
              <w:t xml:space="preserve">the </w:t>
            </w:r>
            <w:r w:rsidRPr="005B5418">
              <w:rPr>
                <w:rFonts w:cs="Arial"/>
                <w:b/>
                <w:bCs/>
              </w:rPr>
              <w:t xml:space="preserve">lessor </w:t>
            </w:r>
            <w:r w:rsidRPr="005B5418">
              <w:rPr>
                <w:rFonts w:cs="Arial"/>
              </w:rPr>
              <w:t>disclose the lease receivables, including the gross amount of receivables, the estimated allowance for uncollectible accounts, and the net amount and include cross</w:t>
            </w:r>
            <w:r w:rsidR="00E173B0" w:rsidRPr="005B5418">
              <w:rPr>
                <w:rFonts w:cs="Arial"/>
              </w:rPr>
              <w:t>-</w:t>
            </w:r>
            <w:r w:rsidRPr="005B5418">
              <w:rPr>
                <w:rFonts w:cs="Arial"/>
              </w:rPr>
              <w:t xml:space="preserve">references to </w:t>
            </w:r>
            <w:r w:rsidR="00C656CC" w:rsidRPr="005B5418">
              <w:rPr>
                <w:rFonts w:cs="Arial"/>
              </w:rPr>
              <w:t xml:space="preserve">the PP&amp;E, Other Liabilities, and Leases </w:t>
            </w:r>
            <w:r w:rsidR="009C2F20" w:rsidRPr="005B5418">
              <w:rPr>
                <w:rFonts w:cs="Arial"/>
              </w:rPr>
              <w:t>n</w:t>
            </w:r>
            <w:r w:rsidRPr="005B5418">
              <w:rPr>
                <w:rFonts w:cs="Arial"/>
              </w:rPr>
              <w:t>otes, if applicable? (A-136</w:t>
            </w:r>
            <w:r w:rsidR="00E173B0" w:rsidRPr="005B5418">
              <w:rPr>
                <w:rFonts w:cs="Arial"/>
              </w:rPr>
              <w:t>,</w:t>
            </w:r>
            <w:r w:rsidRPr="005B5418">
              <w:rPr>
                <w:rFonts w:cs="Arial"/>
              </w:rPr>
              <w:t xml:space="preserve"> </w:t>
            </w:r>
            <w:r w:rsidR="00E173B0" w:rsidRPr="005B5418">
              <w:rPr>
                <w:rFonts w:cs="Arial"/>
              </w:rPr>
              <w:t>s</w:t>
            </w:r>
            <w:r w:rsidRPr="005B5418">
              <w:rPr>
                <w:rFonts w:cs="Arial"/>
              </w:rPr>
              <w:t>ection II.3.8.</w:t>
            </w:r>
            <w:r w:rsidR="003066FF" w:rsidRPr="005B5418">
              <w:rPr>
                <w:rFonts w:cs="Arial"/>
              </w:rPr>
              <w:t>12</w:t>
            </w:r>
            <w:r w:rsidR="00E173B0" w:rsidRPr="005B5418">
              <w:rPr>
                <w:rFonts w:cs="Arial"/>
              </w:rPr>
              <w:t>;</w:t>
            </w:r>
            <w:r w:rsidRPr="005B5418">
              <w:rPr>
                <w:rFonts w:cs="Arial"/>
              </w:rPr>
              <w:t xml:space="preserve"> </w:t>
            </w:r>
            <w:r w:rsidR="00E173B0" w:rsidRPr="005B5418">
              <w:rPr>
                <w:rFonts w:cs="Arial"/>
              </w:rPr>
              <w:t>a</w:t>
            </w:r>
            <w:r w:rsidRPr="005B5418">
              <w:rPr>
                <w:rFonts w:cs="Arial"/>
              </w:rPr>
              <w:t>lso see</w:t>
            </w:r>
            <w:r w:rsidR="00E173B0" w:rsidRPr="005B5418">
              <w:rPr>
                <w:rFonts w:cs="Arial"/>
              </w:rPr>
              <w:t xml:space="preserve"> section</w:t>
            </w:r>
            <w:r w:rsidRPr="005B5418">
              <w:rPr>
                <w:rFonts w:cs="Arial"/>
              </w:rPr>
              <w:t xml:space="preserve"> II.3.8.19)</w:t>
            </w:r>
          </w:p>
        </w:tc>
        <w:tc>
          <w:tcPr>
            <w:tcW w:w="965" w:type="dxa"/>
          </w:tcPr>
          <w:p w14:paraId="31CFD711" w14:textId="77777777" w:rsidR="00E45A67" w:rsidRPr="005B5418" w:rsidRDefault="00E45A67" w:rsidP="008848DA">
            <w:pPr>
              <w:pStyle w:val="Table-Cell-CenterBoldBefore6ptAfter6pt"/>
              <w:spacing w:before="60" w:after="60"/>
              <w:rPr>
                <w:rFonts w:cs="Arial"/>
              </w:rPr>
            </w:pPr>
          </w:p>
        </w:tc>
        <w:tc>
          <w:tcPr>
            <w:tcW w:w="3211" w:type="dxa"/>
          </w:tcPr>
          <w:p w14:paraId="0D7A64C5" w14:textId="77777777" w:rsidR="00E45A67" w:rsidRPr="005B5418" w:rsidRDefault="00E45A67" w:rsidP="008848DA">
            <w:pPr>
              <w:pStyle w:val="Table-Cell-Left"/>
              <w:spacing w:before="60" w:after="60" w:line="240" w:lineRule="auto"/>
              <w:rPr>
                <w:rFonts w:cs="Arial"/>
              </w:rPr>
            </w:pPr>
          </w:p>
        </w:tc>
      </w:tr>
    </w:tbl>
    <w:p w14:paraId="24028A58" w14:textId="77777777" w:rsidR="009F3048" w:rsidRPr="005B5418" w:rsidRDefault="009F3048" w:rsidP="003B61E9">
      <w:pPr>
        <w:spacing w:line="240" w:lineRule="auto"/>
        <w:rPr>
          <w:rFonts w:cs="Arial"/>
        </w:rPr>
      </w:pPr>
    </w:p>
    <w:p w14:paraId="10820B84" w14:textId="77777777" w:rsidR="009F3048" w:rsidRPr="005B5418" w:rsidRDefault="009F3048"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970"/>
        <w:gridCol w:w="3209"/>
      </w:tblGrid>
      <w:tr w:rsidR="009118E5" w:rsidRPr="005B5418" w14:paraId="1ACFC3BC" w14:textId="77777777" w:rsidTr="007D5FE7">
        <w:trPr>
          <w:tblHeader/>
        </w:trPr>
        <w:tc>
          <w:tcPr>
            <w:tcW w:w="5397" w:type="dxa"/>
            <w:tcBorders>
              <w:top w:val="single" w:sz="4" w:space="0" w:color="auto"/>
              <w:left w:val="single" w:sz="4" w:space="0" w:color="auto"/>
              <w:bottom w:val="single" w:sz="4" w:space="0" w:color="auto"/>
              <w:right w:val="single" w:sz="4" w:space="0" w:color="auto"/>
            </w:tcBorders>
          </w:tcPr>
          <w:p w14:paraId="68008D9C" w14:textId="77777777" w:rsidR="009118E5" w:rsidRPr="005B5418" w:rsidRDefault="009118E5" w:rsidP="008848DA">
            <w:pPr>
              <w:pStyle w:val="Heading4"/>
              <w:spacing w:before="60" w:after="60" w:line="240" w:lineRule="auto"/>
              <w:jc w:val="left"/>
              <w:rPr>
                <w:b/>
                <w:u w:val="none"/>
              </w:rPr>
            </w:pPr>
            <w:bookmarkStart w:id="176" w:name="_II.3.8.13_Liabilities"/>
            <w:bookmarkStart w:id="177" w:name="_Ref8637879"/>
            <w:bookmarkEnd w:id="176"/>
            <w:r w:rsidRPr="005B5418">
              <w:rPr>
                <w:b/>
                <w:u w:val="none"/>
              </w:rPr>
              <w:lastRenderedPageBreak/>
              <w:t xml:space="preserve">II.3.8.13 Liabilities </w:t>
            </w:r>
            <w:bookmarkEnd w:id="177"/>
          </w:p>
        </w:tc>
        <w:tc>
          <w:tcPr>
            <w:tcW w:w="970" w:type="dxa"/>
            <w:tcBorders>
              <w:top w:val="single" w:sz="4" w:space="0" w:color="auto"/>
              <w:left w:val="single" w:sz="4" w:space="0" w:color="auto"/>
              <w:bottom w:val="single" w:sz="4" w:space="0" w:color="auto"/>
              <w:right w:val="single" w:sz="4" w:space="0" w:color="auto"/>
            </w:tcBorders>
          </w:tcPr>
          <w:p w14:paraId="78457E86" w14:textId="77777777" w:rsidR="009118E5" w:rsidRPr="005B5418" w:rsidRDefault="009118E5" w:rsidP="008848DA">
            <w:pPr>
              <w:pStyle w:val="TableCellCenter"/>
              <w:spacing w:before="60" w:after="60"/>
              <w:jc w:val="left"/>
            </w:pPr>
            <w:r w:rsidRPr="005B5418">
              <w:t>Yes, No, or N/A</w:t>
            </w:r>
          </w:p>
        </w:tc>
        <w:tc>
          <w:tcPr>
            <w:tcW w:w="3209" w:type="dxa"/>
            <w:tcBorders>
              <w:top w:val="single" w:sz="4" w:space="0" w:color="auto"/>
              <w:left w:val="single" w:sz="4" w:space="0" w:color="auto"/>
              <w:bottom w:val="single" w:sz="4" w:space="0" w:color="auto"/>
              <w:right w:val="single" w:sz="4" w:space="0" w:color="auto"/>
            </w:tcBorders>
          </w:tcPr>
          <w:p w14:paraId="1D13C741" w14:textId="0D16E43F" w:rsidR="009118E5" w:rsidRPr="005B5418" w:rsidRDefault="009118E5" w:rsidP="008848DA">
            <w:pPr>
              <w:pStyle w:val="TableCellCenter"/>
              <w:spacing w:before="60" w:after="60"/>
              <w:jc w:val="left"/>
            </w:pPr>
            <w:r w:rsidRPr="005B5418">
              <w:t xml:space="preserve">Explanation </w:t>
            </w:r>
            <w:r w:rsidR="005026A5" w:rsidRPr="005B5418">
              <w:t xml:space="preserve">and </w:t>
            </w:r>
            <w:r w:rsidRPr="005B5418">
              <w:t>Reference</w:t>
            </w:r>
          </w:p>
        </w:tc>
      </w:tr>
      <w:tr w:rsidR="009118E5" w:rsidRPr="005B5418" w14:paraId="790366C7" w14:textId="77777777" w:rsidTr="000E64FA">
        <w:tc>
          <w:tcPr>
            <w:tcW w:w="9576" w:type="dxa"/>
            <w:gridSpan w:val="3"/>
          </w:tcPr>
          <w:p w14:paraId="2F94C2D6" w14:textId="50B3BA4D" w:rsidR="009118E5" w:rsidRPr="005B5418" w:rsidRDefault="009118E5" w:rsidP="008848DA">
            <w:pPr>
              <w:pStyle w:val="Table-Note"/>
              <w:spacing w:before="60" w:after="60" w:line="240" w:lineRule="auto"/>
              <w:ind w:left="-23"/>
              <w:jc w:val="left"/>
              <w:rPr>
                <w:rFonts w:cs="Arial"/>
                <w:i w:val="0"/>
                <w:sz w:val="22"/>
                <w:szCs w:val="22"/>
              </w:rPr>
            </w:pPr>
            <w:r w:rsidRPr="005B5418">
              <w:rPr>
                <w:rFonts w:cs="Arial"/>
                <w:i w:val="0"/>
                <w:sz w:val="22"/>
                <w:szCs w:val="22"/>
              </w:rPr>
              <w:t xml:space="preserve">Liabilities of federal </w:t>
            </w:r>
            <w:r w:rsidR="00DD3445" w:rsidRPr="005B5418">
              <w:rPr>
                <w:rFonts w:cs="Arial"/>
                <w:i w:val="0"/>
                <w:sz w:val="22"/>
                <w:szCs w:val="22"/>
              </w:rPr>
              <w:t xml:space="preserve">entities </w:t>
            </w:r>
            <w:r w:rsidRPr="005B5418">
              <w:rPr>
                <w:rFonts w:cs="Arial"/>
                <w:i w:val="0"/>
                <w:sz w:val="22"/>
                <w:szCs w:val="22"/>
              </w:rPr>
              <w:t>are reported under three major categories: (1) liabilities covered by budgetary resources, (2) liabilities not covered by budgetary resources</w:t>
            </w:r>
            <w:r w:rsidR="00E173B0" w:rsidRPr="005B5418">
              <w:rPr>
                <w:rFonts w:cs="Arial"/>
                <w:i w:val="0"/>
                <w:sz w:val="22"/>
                <w:szCs w:val="22"/>
              </w:rPr>
              <w:t>,</w:t>
            </w:r>
            <w:r w:rsidR="000879F3" w:rsidRPr="005B5418">
              <w:rPr>
                <w:rStyle w:val="FootnoteReference"/>
                <w:rFonts w:cs="Arial"/>
                <w:i w:val="0"/>
                <w:sz w:val="22"/>
                <w:szCs w:val="22"/>
              </w:rPr>
              <w:footnoteReference w:id="159"/>
            </w:r>
            <w:r w:rsidRPr="005B5418">
              <w:rPr>
                <w:rFonts w:cs="Arial"/>
                <w:i w:val="0"/>
                <w:sz w:val="22"/>
                <w:szCs w:val="22"/>
              </w:rPr>
              <w:t xml:space="preserve"> and (3) liabilities not requiring budgetary resources. Within each category, liabilities are classified as either (1) intragovernmental liabilities, which are amounts that the federal government or an entity within the federal government owes to other federal entities, or (2) governmental liabilities, which are amounts that the federal government or an entity within the federal government owes to a non-federal entity. (SFFAS 1, par</w:t>
            </w:r>
            <w:r w:rsidR="005026A5" w:rsidRPr="005B5418">
              <w:rPr>
                <w:rFonts w:cs="Arial"/>
                <w:i w:val="0"/>
                <w:sz w:val="22"/>
                <w:szCs w:val="22"/>
              </w:rPr>
              <w:t>a</w:t>
            </w:r>
            <w:r w:rsidRPr="005B5418">
              <w:rPr>
                <w:rFonts w:cs="Arial"/>
                <w:i w:val="0"/>
                <w:sz w:val="22"/>
                <w:szCs w:val="22"/>
              </w:rPr>
              <w:t>. 18</w:t>
            </w:r>
            <w:r w:rsidR="005026A5" w:rsidRPr="005B5418">
              <w:rPr>
                <w:rFonts w:cs="Arial"/>
                <w:i w:val="0"/>
                <w:sz w:val="22"/>
                <w:szCs w:val="22"/>
              </w:rPr>
              <w:t>–</w:t>
            </w:r>
            <w:r w:rsidRPr="005B5418">
              <w:rPr>
                <w:rFonts w:cs="Arial"/>
                <w:i w:val="0"/>
                <w:sz w:val="22"/>
                <w:szCs w:val="22"/>
              </w:rPr>
              <w:t xml:space="preserve">21; SFFAS 5, </w:t>
            </w:r>
            <w:r w:rsidR="00865EF9" w:rsidRPr="005B5418">
              <w:rPr>
                <w:rFonts w:cs="Arial"/>
                <w:i w:val="0"/>
                <w:sz w:val="22"/>
                <w:szCs w:val="22"/>
              </w:rPr>
              <w:t xml:space="preserve">fn </w:t>
            </w:r>
            <w:r w:rsidRPr="005B5418">
              <w:rPr>
                <w:rFonts w:cs="Arial"/>
                <w:i w:val="0"/>
                <w:sz w:val="22"/>
                <w:szCs w:val="22"/>
              </w:rPr>
              <w:t>1 in summary; A-136, section II.3.2.4)</w:t>
            </w:r>
          </w:p>
        </w:tc>
      </w:tr>
      <w:tr w:rsidR="00C36759" w:rsidRPr="005B5418" w14:paraId="05B37A2E" w14:textId="77777777" w:rsidTr="00DC08FB">
        <w:trPr>
          <w:cantSplit/>
          <w:trHeight w:val="1025"/>
        </w:trPr>
        <w:tc>
          <w:tcPr>
            <w:tcW w:w="5400" w:type="dxa"/>
          </w:tcPr>
          <w:p w14:paraId="128AD4BC" w14:textId="0968AB84" w:rsidR="00C36759" w:rsidRPr="005B5418" w:rsidRDefault="00C36759" w:rsidP="00825C76">
            <w:pPr>
              <w:pStyle w:val="FAM-Table-outline"/>
              <w:widowControl/>
              <w:numPr>
                <w:ilvl w:val="0"/>
                <w:numId w:val="63"/>
              </w:numPr>
              <w:adjustRightInd/>
              <w:spacing w:line="240" w:lineRule="auto"/>
              <w:textAlignment w:val="auto"/>
              <w:rPr>
                <w:rFonts w:eastAsia="Arial Unicode MS"/>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5026A5" w:rsidRPr="005B5418">
              <w:rPr>
                <w:rFonts w:eastAsia="Arial Unicode MS" w:cs="Arial"/>
                <w:szCs w:val="22"/>
              </w:rPr>
              <w:t>.</w:t>
            </w:r>
            <w:r w:rsidRPr="005B5418">
              <w:rPr>
                <w:rFonts w:eastAsia="Arial Unicode MS" w:cs="Arial"/>
                <w:szCs w:val="22"/>
              </w:rPr>
              <w:t>)</w:t>
            </w:r>
          </w:p>
        </w:tc>
        <w:tc>
          <w:tcPr>
            <w:tcW w:w="965" w:type="dxa"/>
          </w:tcPr>
          <w:p w14:paraId="730FEE43" w14:textId="77777777" w:rsidR="00C36759" w:rsidRPr="005B5418" w:rsidRDefault="00C36759" w:rsidP="008848DA">
            <w:pPr>
              <w:pStyle w:val="Table-Cell-CenterBoldBefore6ptAfter6pt"/>
              <w:spacing w:before="60" w:after="60"/>
              <w:rPr>
                <w:rFonts w:cs="Arial"/>
              </w:rPr>
            </w:pPr>
          </w:p>
        </w:tc>
        <w:tc>
          <w:tcPr>
            <w:tcW w:w="3211" w:type="dxa"/>
          </w:tcPr>
          <w:p w14:paraId="4534627F" w14:textId="77777777" w:rsidR="00C36759" w:rsidRPr="005B5418" w:rsidRDefault="00C36759" w:rsidP="008848DA">
            <w:pPr>
              <w:pStyle w:val="Table-Cell-Left"/>
              <w:spacing w:before="60" w:after="60" w:line="240" w:lineRule="auto"/>
              <w:rPr>
                <w:rFonts w:cs="Arial"/>
              </w:rPr>
            </w:pPr>
          </w:p>
        </w:tc>
      </w:tr>
      <w:tr w:rsidR="00065BA2" w:rsidRPr="005B5418" w14:paraId="5D3488C9" w14:textId="77777777" w:rsidTr="0038293D">
        <w:trPr>
          <w:cantSplit/>
          <w:trHeight w:val="368"/>
        </w:trPr>
        <w:tc>
          <w:tcPr>
            <w:tcW w:w="9576" w:type="dxa"/>
            <w:gridSpan w:val="3"/>
          </w:tcPr>
          <w:p w14:paraId="5162FA98" w14:textId="77777777" w:rsidR="00065BA2" w:rsidRPr="005B5418" w:rsidRDefault="00065BA2" w:rsidP="008848DA">
            <w:pPr>
              <w:spacing w:before="60" w:after="60" w:line="240" w:lineRule="auto"/>
              <w:rPr>
                <w:rFonts w:ascii="Arial" w:hAnsi="Arial" w:cs="Arial"/>
                <w:b/>
              </w:rPr>
            </w:pPr>
            <w:r w:rsidRPr="005B5418">
              <w:rPr>
                <w:rFonts w:ascii="Arial" w:hAnsi="Arial" w:cs="Arial"/>
                <w:b/>
              </w:rPr>
              <w:t>Disclosure</w:t>
            </w:r>
          </w:p>
        </w:tc>
      </w:tr>
      <w:tr w:rsidR="009118E5" w:rsidRPr="005B5418" w14:paraId="25012257" w14:textId="77777777" w:rsidTr="002554D6">
        <w:trPr>
          <w:trHeight w:val="2969"/>
        </w:trPr>
        <w:tc>
          <w:tcPr>
            <w:tcW w:w="5397" w:type="dxa"/>
          </w:tcPr>
          <w:p w14:paraId="4370729E" w14:textId="19FEFAD6" w:rsidR="009118E5" w:rsidRPr="005B5418" w:rsidRDefault="009118E5" w:rsidP="00825C76">
            <w:pPr>
              <w:pStyle w:val="FAM-Table-outline"/>
              <w:widowControl/>
              <w:numPr>
                <w:ilvl w:val="0"/>
                <w:numId w:val="63"/>
              </w:numPr>
              <w:adjustRightInd/>
              <w:spacing w:line="240" w:lineRule="auto"/>
              <w:textAlignment w:val="auto"/>
              <w:rPr>
                <w:rFonts w:cs="Arial"/>
              </w:rPr>
            </w:pPr>
            <w:r w:rsidRPr="005B5418">
              <w:rPr>
                <w:rFonts w:cs="Arial"/>
              </w:rPr>
              <w:t xml:space="preserve">Do liability line items on the face of the </w:t>
            </w:r>
            <w:r w:rsidR="001B5C17" w:rsidRPr="005B5418">
              <w:rPr>
                <w:rFonts w:cs="Arial"/>
              </w:rPr>
              <w:t>balance sheet</w:t>
            </w:r>
            <w:r w:rsidRPr="005B5418">
              <w:rPr>
                <w:rFonts w:cs="Arial"/>
              </w:rPr>
              <w:t xml:space="preserve"> aggregate the following types and are they separately disclosed in the notes? </w:t>
            </w:r>
          </w:p>
          <w:p w14:paraId="4BE9EAF1" w14:textId="77777777" w:rsidR="009118E5" w:rsidRPr="005B5418" w:rsidRDefault="009118E5"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Liabilities covered by budgetary resources</w:t>
            </w:r>
          </w:p>
          <w:p w14:paraId="67E70DB1" w14:textId="65E99591" w:rsidR="009118E5" w:rsidRPr="005B5418" w:rsidRDefault="00EC77B3" w:rsidP="005425ED">
            <w:pPr>
              <w:pStyle w:val="FAM-Table-outline2"/>
              <w:numPr>
                <w:ilvl w:val="1"/>
                <w:numId w:val="1"/>
              </w:numPr>
              <w:tabs>
                <w:tab w:val="num" w:pos="576"/>
              </w:tabs>
              <w:spacing w:line="240" w:lineRule="auto"/>
              <w:ind w:left="1155" w:hanging="458"/>
              <w:rPr>
                <w:rFonts w:eastAsia="Arial Unicode MS" w:cs="Arial"/>
                <w:szCs w:val="22"/>
              </w:rPr>
            </w:pPr>
            <w:r w:rsidRPr="005B5418">
              <w:rPr>
                <w:rFonts w:eastAsia="Arial Unicode MS" w:cs="Arial"/>
                <w:szCs w:val="22"/>
              </w:rPr>
              <w:t xml:space="preserve">Liabilities </w:t>
            </w:r>
            <w:r w:rsidR="009118E5" w:rsidRPr="005B5418">
              <w:rPr>
                <w:rFonts w:eastAsia="Arial Unicode MS" w:cs="Arial"/>
                <w:szCs w:val="22"/>
              </w:rPr>
              <w:t>not covered by budgetary resources</w:t>
            </w:r>
            <w:r w:rsidR="00E173B0" w:rsidRPr="005B5418">
              <w:rPr>
                <w:rFonts w:eastAsia="Arial Unicode MS" w:cs="Arial"/>
                <w:szCs w:val="22"/>
              </w:rPr>
              <w:t>,</w:t>
            </w:r>
            <w:r w:rsidR="000879F3" w:rsidRPr="005B5418">
              <w:rPr>
                <w:rStyle w:val="FootnoteReference"/>
                <w:rFonts w:eastAsia="Arial Unicode MS"/>
              </w:rPr>
              <w:footnoteReference w:id="160"/>
            </w:r>
            <w:r w:rsidR="009118E5" w:rsidRPr="005B5418">
              <w:rPr>
                <w:rFonts w:eastAsia="Arial Unicode MS" w:cs="Arial"/>
                <w:szCs w:val="22"/>
              </w:rPr>
              <w:t xml:space="preserve"> and </w:t>
            </w:r>
          </w:p>
          <w:p w14:paraId="26053FF4" w14:textId="22969D2C" w:rsidR="009118E5" w:rsidRPr="005B5418" w:rsidRDefault="00EC77B3" w:rsidP="005425ED">
            <w:pPr>
              <w:pStyle w:val="FAM-Table-outline2"/>
              <w:numPr>
                <w:ilvl w:val="1"/>
                <w:numId w:val="1"/>
              </w:numPr>
              <w:tabs>
                <w:tab w:val="num" w:pos="576"/>
              </w:tabs>
              <w:spacing w:line="240" w:lineRule="auto"/>
              <w:ind w:left="1155" w:hanging="458"/>
            </w:pPr>
            <w:r w:rsidRPr="005B5418">
              <w:rPr>
                <w:rFonts w:eastAsia="Arial Unicode MS" w:cs="Arial"/>
                <w:szCs w:val="22"/>
              </w:rPr>
              <w:t xml:space="preserve">Liabilities </w:t>
            </w:r>
            <w:r w:rsidR="009118E5" w:rsidRPr="005B5418">
              <w:rPr>
                <w:rFonts w:eastAsia="Arial Unicode MS" w:cs="Arial"/>
                <w:szCs w:val="22"/>
              </w:rPr>
              <w:t>not requiring budgetary resources</w:t>
            </w:r>
            <w:r w:rsidR="009118E5" w:rsidRPr="005B5418" w:rsidDel="00457EF3">
              <w:rPr>
                <w:rFonts w:eastAsia="Arial Unicode MS" w:cs="Arial"/>
                <w:szCs w:val="22"/>
              </w:rPr>
              <w:t xml:space="preserve"> </w:t>
            </w:r>
            <w:r w:rsidR="009118E5" w:rsidRPr="005B5418">
              <w:rPr>
                <w:rFonts w:eastAsia="Arial Unicode MS" w:cs="Arial"/>
                <w:szCs w:val="22"/>
              </w:rPr>
              <w:t>(SFFAS 1, par</w:t>
            </w:r>
            <w:r w:rsidR="00EA3E90" w:rsidRPr="005B5418">
              <w:rPr>
                <w:rFonts w:eastAsia="Arial Unicode MS" w:cs="Arial"/>
                <w:szCs w:val="22"/>
              </w:rPr>
              <w:t>as</w:t>
            </w:r>
            <w:r w:rsidR="009118E5" w:rsidRPr="005B5418">
              <w:rPr>
                <w:rFonts w:eastAsia="Arial Unicode MS" w:cs="Arial"/>
                <w:szCs w:val="22"/>
              </w:rPr>
              <w:t xml:space="preserve">. 80 </w:t>
            </w:r>
            <w:r w:rsidR="00EA3E90" w:rsidRPr="005B5418">
              <w:rPr>
                <w:rFonts w:eastAsia="Arial Unicode MS" w:cs="Arial"/>
                <w:szCs w:val="22"/>
              </w:rPr>
              <w:t>and</w:t>
            </w:r>
            <w:r w:rsidR="009118E5" w:rsidRPr="005B5418">
              <w:rPr>
                <w:rFonts w:eastAsia="Arial Unicode MS" w:cs="Arial"/>
                <w:szCs w:val="22"/>
              </w:rPr>
              <w:t xml:space="preserve"> 86; A-136, sections, II.3.2.4 </w:t>
            </w:r>
            <w:r w:rsidR="00EA3E90" w:rsidRPr="005B5418">
              <w:rPr>
                <w:rFonts w:eastAsia="Arial Unicode MS" w:cs="Arial"/>
                <w:szCs w:val="22"/>
              </w:rPr>
              <w:t>and</w:t>
            </w:r>
            <w:r w:rsidR="009118E5" w:rsidRPr="005B5418">
              <w:rPr>
                <w:rFonts w:eastAsia="Arial Unicode MS" w:cs="Arial"/>
                <w:szCs w:val="22"/>
              </w:rPr>
              <w:t xml:space="preserve"> II.3.8.13)</w:t>
            </w:r>
          </w:p>
        </w:tc>
        <w:tc>
          <w:tcPr>
            <w:tcW w:w="970" w:type="dxa"/>
          </w:tcPr>
          <w:p w14:paraId="327348C3" w14:textId="77777777" w:rsidR="009118E5" w:rsidRPr="005B5418" w:rsidRDefault="009118E5" w:rsidP="008848DA">
            <w:pPr>
              <w:pStyle w:val="Table-Cell-CenterBoldBefore6ptAfter6pt"/>
              <w:spacing w:before="60" w:after="60"/>
              <w:rPr>
                <w:rFonts w:cs="Arial"/>
              </w:rPr>
            </w:pPr>
          </w:p>
        </w:tc>
        <w:tc>
          <w:tcPr>
            <w:tcW w:w="3209" w:type="dxa"/>
          </w:tcPr>
          <w:p w14:paraId="0BBB2182" w14:textId="77777777" w:rsidR="009118E5" w:rsidRPr="005B5418" w:rsidRDefault="009118E5" w:rsidP="008848DA">
            <w:pPr>
              <w:pStyle w:val="Table-Cell-Left"/>
              <w:spacing w:before="60" w:after="60" w:line="240" w:lineRule="auto"/>
              <w:rPr>
                <w:rFonts w:cs="Arial"/>
              </w:rPr>
            </w:pPr>
          </w:p>
        </w:tc>
      </w:tr>
      <w:tr w:rsidR="009118E5" w:rsidRPr="005B5418" w14:paraId="42D53F87" w14:textId="77777777" w:rsidTr="0038293D">
        <w:trPr>
          <w:trHeight w:val="1250"/>
        </w:trPr>
        <w:tc>
          <w:tcPr>
            <w:tcW w:w="5397" w:type="dxa"/>
          </w:tcPr>
          <w:p w14:paraId="378F1A3B" w14:textId="6B875330" w:rsidR="009118E5" w:rsidRPr="005B5418" w:rsidRDefault="009118E5" w:rsidP="00343610">
            <w:pPr>
              <w:pStyle w:val="FAM-Table-outline"/>
              <w:widowControl/>
              <w:numPr>
                <w:ilvl w:val="0"/>
                <w:numId w:val="15"/>
              </w:numPr>
              <w:adjustRightInd/>
              <w:spacing w:line="240" w:lineRule="auto"/>
              <w:textAlignment w:val="auto"/>
              <w:rPr>
                <w:rFonts w:cs="Arial"/>
              </w:rPr>
            </w:pPr>
            <w:r w:rsidRPr="005B5418">
              <w:rPr>
                <w:rFonts w:cs="Arial"/>
              </w:rPr>
              <w:t>Are amounts and types of intragovernmental liabilities not covered by budgetary resources separately disclosed? (A-136, section II.3.8.13)</w:t>
            </w:r>
          </w:p>
        </w:tc>
        <w:tc>
          <w:tcPr>
            <w:tcW w:w="970" w:type="dxa"/>
          </w:tcPr>
          <w:p w14:paraId="07EE0CDF" w14:textId="77777777" w:rsidR="009118E5" w:rsidRPr="005B5418" w:rsidRDefault="009118E5" w:rsidP="008848DA">
            <w:pPr>
              <w:pStyle w:val="Table-Cell-CenterBoldBefore6ptAfter6pt"/>
              <w:spacing w:before="60" w:after="60"/>
              <w:rPr>
                <w:rFonts w:cs="Arial"/>
              </w:rPr>
            </w:pPr>
          </w:p>
        </w:tc>
        <w:tc>
          <w:tcPr>
            <w:tcW w:w="3209" w:type="dxa"/>
          </w:tcPr>
          <w:p w14:paraId="52708CC5" w14:textId="77777777" w:rsidR="009118E5" w:rsidRPr="005B5418" w:rsidRDefault="009118E5" w:rsidP="008848DA">
            <w:pPr>
              <w:pStyle w:val="Table-Cell-Left"/>
              <w:spacing w:before="60" w:after="60" w:line="240" w:lineRule="auto"/>
              <w:rPr>
                <w:rFonts w:cs="Arial"/>
              </w:rPr>
            </w:pPr>
          </w:p>
        </w:tc>
      </w:tr>
      <w:tr w:rsidR="009118E5" w:rsidRPr="005B5418" w14:paraId="48DEEBE6" w14:textId="77777777" w:rsidTr="000E64FA">
        <w:trPr>
          <w:trHeight w:val="1457"/>
        </w:trPr>
        <w:tc>
          <w:tcPr>
            <w:tcW w:w="5397" w:type="dxa"/>
          </w:tcPr>
          <w:p w14:paraId="09F2EF58" w14:textId="6166EDEA" w:rsidR="009118E5" w:rsidRPr="005B5418" w:rsidRDefault="009118E5" w:rsidP="00343610">
            <w:pPr>
              <w:pStyle w:val="FAM-Table-outline"/>
              <w:widowControl/>
              <w:numPr>
                <w:ilvl w:val="0"/>
                <w:numId w:val="15"/>
              </w:numPr>
              <w:adjustRightInd/>
              <w:spacing w:line="240" w:lineRule="auto"/>
              <w:textAlignment w:val="auto"/>
              <w:rPr>
                <w:rFonts w:cs="Arial"/>
              </w:rPr>
            </w:pPr>
            <w:r w:rsidRPr="005B5418">
              <w:rPr>
                <w:rFonts w:cs="Arial"/>
              </w:rPr>
              <w:t>Is other information needed to understand the nature of liabilities not covered by budgetary resources provided? (A-136, section II.3.8.13)</w:t>
            </w:r>
          </w:p>
        </w:tc>
        <w:tc>
          <w:tcPr>
            <w:tcW w:w="970" w:type="dxa"/>
          </w:tcPr>
          <w:p w14:paraId="47D4B984" w14:textId="77777777" w:rsidR="009118E5" w:rsidRPr="005B5418" w:rsidRDefault="009118E5" w:rsidP="008848DA">
            <w:pPr>
              <w:pStyle w:val="Table-Cell-CenterBoldBefore6ptAfter6pt"/>
              <w:spacing w:before="60" w:after="60"/>
              <w:rPr>
                <w:rFonts w:cs="Arial"/>
              </w:rPr>
            </w:pPr>
          </w:p>
        </w:tc>
        <w:tc>
          <w:tcPr>
            <w:tcW w:w="3209" w:type="dxa"/>
          </w:tcPr>
          <w:p w14:paraId="46DDDFC9" w14:textId="77777777" w:rsidR="009118E5" w:rsidRPr="005B5418" w:rsidRDefault="009118E5" w:rsidP="008848DA">
            <w:pPr>
              <w:pStyle w:val="Table-Cell-Left"/>
              <w:spacing w:before="60" w:after="60" w:line="240" w:lineRule="auto"/>
              <w:rPr>
                <w:rFonts w:cs="Arial"/>
              </w:rPr>
            </w:pPr>
          </w:p>
        </w:tc>
      </w:tr>
      <w:tr w:rsidR="00D46727" w:rsidRPr="005B5418" w14:paraId="7A2D21C3" w14:textId="77777777" w:rsidTr="000E64FA">
        <w:trPr>
          <w:trHeight w:val="1457"/>
        </w:trPr>
        <w:tc>
          <w:tcPr>
            <w:tcW w:w="5397" w:type="dxa"/>
          </w:tcPr>
          <w:p w14:paraId="0F46C1AC" w14:textId="0E4A37D0" w:rsidR="00D46727" w:rsidRPr="005B5418" w:rsidRDefault="00D46727" w:rsidP="00343610">
            <w:pPr>
              <w:pStyle w:val="FAM-Table-outline"/>
              <w:widowControl/>
              <w:numPr>
                <w:ilvl w:val="0"/>
                <w:numId w:val="15"/>
              </w:numPr>
              <w:adjustRightInd/>
              <w:spacing w:line="240" w:lineRule="auto"/>
              <w:textAlignment w:val="auto"/>
              <w:rPr>
                <w:rFonts w:cs="Arial"/>
              </w:rPr>
            </w:pPr>
            <w:r w:rsidRPr="005B5418">
              <w:rPr>
                <w:rFonts w:cs="Arial"/>
              </w:rPr>
              <w:lastRenderedPageBreak/>
              <w:t>Is the amount of other current liabilities (i.e., liabilities required to be paid within a year) that are not covered by budgetary resources disclosed in either the Liabilities Note or Other Liabilities Note? (</w:t>
            </w:r>
            <w:r w:rsidR="0040150B" w:rsidRPr="005B5418">
              <w:rPr>
                <w:rFonts w:cs="Arial"/>
              </w:rPr>
              <w:t xml:space="preserve">SFFAS 1, para. 86; </w:t>
            </w:r>
            <w:r w:rsidRPr="005B5418">
              <w:rPr>
                <w:rFonts w:cs="Arial"/>
              </w:rPr>
              <w:t>A-136, section II.3.8.13)</w:t>
            </w:r>
          </w:p>
        </w:tc>
        <w:tc>
          <w:tcPr>
            <w:tcW w:w="970" w:type="dxa"/>
          </w:tcPr>
          <w:p w14:paraId="28808C2C" w14:textId="77777777" w:rsidR="00D46727" w:rsidRPr="005B5418" w:rsidRDefault="00D46727" w:rsidP="008848DA">
            <w:pPr>
              <w:pStyle w:val="Table-Cell-CenterBoldBefore6ptAfter6pt"/>
              <w:spacing w:before="60" w:after="60"/>
              <w:rPr>
                <w:rFonts w:cs="Arial"/>
              </w:rPr>
            </w:pPr>
          </w:p>
        </w:tc>
        <w:tc>
          <w:tcPr>
            <w:tcW w:w="3209" w:type="dxa"/>
          </w:tcPr>
          <w:p w14:paraId="668E3FA9" w14:textId="77777777" w:rsidR="00D46727" w:rsidRPr="005B5418" w:rsidRDefault="00D46727" w:rsidP="008848DA">
            <w:pPr>
              <w:pStyle w:val="Table-Cell-Left"/>
              <w:spacing w:before="60" w:after="60" w:line="240" w:lineRule="auto"/>
              <w:rPr>
                <w:rFonts w:cs="Arial"/>
              </w:rPr>
            </w:pPr>
          </w:p>
        </w:tc>
      </w:tr>
    </w:tbl>
    <w:p w14:paraId="2B0CB424" w14:textId="77777777" w:rsidR="009118E5" w:rsidRPr="005B5418" w:rsidRDefault="009118E5" w:rsidP="003B61E9">
      <w:pPr>
        <w:spacing w:line="240" w:lineRule="auto"/>
        <w:rPr>
          <w:rFonts w:cs="Arial"/>
        </w:rPr>
      </w:pPr>
    </w:p>
    <w:p w14:paraId="21679DE6" w14:textId="77777777" w:rsidR="009118E5" w:rsidRPr="005B5418" w:rsidRDefault="009118E5"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970"/>
        <w:gridCol w:w="3209"/>
      </w:tblGrid>
      <w:tr w:rsidR="009118E5" w:rsidRPr="005B5418" w14:paraId="37447FD5" w14:textId="77777777" w:rsidTr="00491402">
        <w:trPr>
          <w:tblHeader/>
        </w:trPr>
        <w:tc>
          <w:tcPr>
            <w:tcW w:w="5397" w:type="dxa"/>
            <w:tcBorders>
              <w:top w:val="single" w:sz="4" w:space="0" w:color="auto"/>
              <w:left w:val="single" w:sz="4" w:space="0" w:color="auto"/>
              <w:bottom w:val="single" w:sz="4" w:space="0" w:color="auto"/>
              <w:right w:val="single" w:sz="4" w:space="0" w:color="auto"/>
            </w:tcBorders>
          </w:tcPr>
          <w:p w14:paraId="1F214BB6" w14:textId="4AEE2B6D" w:rsidR="009118E5" w:rsidRPr="005B5418" w:rsidRDefault="009118E5" w:rsidP="00CB5871">
            <w:pPr>
              <w:pStyle w:val="Heading4"/>
              <w:spacing w:before="60" w:after="60" w:line="240" w:lineRule="auto"/>
              <w:jc w:val="left"/>
              <w:rPr>
                <w:b/>
                <w:i/>
                <w:u w:val="none"/>
              </w:rPr>
            </w:pPr>
            <w:bookmarkStart w:id="178" w:name="_II.3.8.14_Debt"/>
            <w:bookmarkStart w:id="179" w:name="_Ref8637909"/>
            <w:bookmarkEnd w:id="178"/>
            <w:r w:rsidRPr="005B5418">
              <w:rPr>
                <w:b/>
                <w:u w:val="none"/>
              </w:rPr>
              <w:lastRenderedPageBreak/>
              <w:t>II.3.8.14</w:t>
            </w:r>
            <w:r w:rsidR="0063099B" w:rsidRPr="005B5418">
              <w:rPr>
                <w:b/>
                <w:u w:val="none"/>
              </w:rPr>
              <w:t>A</w:t>
            </w:r>
            <w:r w:rsidRPr="005B5418">
              <w:rPr>
                <w:b/>
                <w:u w:val="none"/>
              </w:rPr>
              <w:t xml:space="preserve"> </w:t>
            </w:r>
            <w:r w:rsidR="007F454D" w:rsidRPr="005B5418">
              <w:rPr>
                <w:b/>
                <w:u w:val="none"/>
              </w:rPr>
              <w:t xml:space="preserve">Federal </w:t>
            </w:r>
            <w:r w:rsidRPr="005B5418">
              <w:rPr>
                <w:b/>
                <w:u w:val="none"/>
              </w:rPr>
              <w:t>Debt</w:t>
            </w:r>
            <w:bookmarkEnd w:id="179"/>
            <w:r w:rsidRPr="005B5418">
              <w:rPr>
                <w:b/>
                <w:u w:val="none"/>
              </w:rPr>
              <w:t xml:space="preserve"> </w:t>
            </w:r>
            <w:r w:rsidR="007F454D" w:rsidRPr="005B5418">
              <w:rPr>
                <w:b/>
                <w:u w:val="none"/>
              </w:rPr>
              <w:t>and Interest Payable</w:t>
            </w:r>
            <w:r w:rsidR="00437C09" w:rsidRPr="005B5418">
              <w:rPr>
                <w:b/>
                <w:u w:val="none"/>
              </w:rPr>
              <w:t xml:space="preserve"> (14A)</w:t>
            </w:r>
            <w:r w:rsidR="0091281D" w:rsidRPr="005B5418">
              <w:rPr>
                <w:b/>
                <w:u w:val="none"/>
              </w:rPr>
              <w:t xml:space="preserve"> </w:t>
            </w:r>
          </w:p>
        </w:tc>
        <w:tc>
          <w:tcPr>
            <w:tcW w:w="970" w:type="dxa"/>
            <w:tcBorders>
              <w:top w:val="single" w:sz="4" w:space="0" w:color="auto"/>
              <w:left w:val="single" w:sz="4" w:space="0" w:color="auto"/>
              <w:bottom w:val="single" w:sz="4" w:space="0" w:color="auto"/>
              <w:right w:val="single" w:sz="4" w:space="0" w:color="auto"/>
            </w:tcBorders>
          </w:tcPr>
          <w:p w14:paraId="5B623FB6" w14:textId="77777777" w:rsidR="009118E5" w:rsidRPr="005B5418" w:rsidRDefault="009118E5" w:rsidP="00491402">
            <w:pPr>
              <w:pStyle w:val="TableCellCenter"/>
              <w:jc w:val="left"/>
            </w:pPr>
            <w:r w:rsidRPr="005B5418">
              <w:t>Yes, No, or N/A</w:t>
            </w:r>
          </w:p>
        </w:tc>
        <w:tc>
          <w:tcPr>
            <w:tcW w:w="3209" w:type="dxa"/>
            <w:tcBorders>
              <w:top w:val="single" w:sz="4" w:space="0" w:color="auto"/>
              <w:left w:val="single" w:sz="4" w:space="0" w:color="auto"/>
              <w:bottom w:val="single" w:sz="4" w:space="0" w:color="auto"/>
              <w:right w:val="single" w:sz="4" w:space="0" w:color="auto"/>
            </w:tcBorders>
          </w:tcPr>
          <w:p w14:paraId="6333049A" w14:textId="56EFA1F8" w:rsidR="009118E5" w:rsidRPr="005B5418" w:rsidRDefault="009118E5" w:rsidP="00223BCB">
            <w:pPr>
              <w:pStyle w:val="TableCellCenter"/>
              <w:jc w:val="left"/>
              <w:rPr>
                <w:bCs/>
              </w:rPr>
            </w:pPr>
            <w:r w:rsidRPr="005B5418">
              <w:rPr>
                <w:bCs/>
              </w:rPr>
              <w:t xml:space="preserve">Explanation </w:t>
            </w:r>
            <w:r w:rsidR="00223BCB" w:rsidRPr="005B5418">
              <w:rPr>
                <w:bCs/>
              </w:rPr>
              <w:t xml:space="preserve">and </w:t>
            </w:r>
            <w:r w:rsidRPr="005B5418">
              <w:rPr>
                <w:bCs/>
              </w:rPr>
              <w:t>Reference</w:t>
            </w:r>
          </w:p>
        </w:tc>
      </w:tr>
      <w:tr w:rsidR="009118E5" w:rsidRPr="005B5418" w14:paraId="061CCDD7" w14:textId="77777777" w:rsidTr="002A487C">
        <w:trPr>
          <w:cantSplit/>
          <w:trHeight w:val="1817"/>
        </w:trPr>
        <w:tc>
          <w:tcPr>
            <w:tcW w:w="9576" w:type="dxa"/>
            <w:gridSpan w:val="3"/>
          </w:tcPr>
          <w:p w14:paraId="2FEA1262" w14:textId="58A57180" w:rsidR="006560BD" w:rsidRPr="005B5418" w:rsidRDefault="006560BD" w:rsidP="001041DF">
            <w:pPr>
              <w:pStyle w:val="BodyText"/>
              <w:spacing w:before="60" w:after="60" w:line="240" w:lineRule="auto"/>
              <w:jc w:val="left"/>
              <w:rPr>
                <w:sz w:val="22"/>
                <w:szCs w:val="22"/>
              </w:rPr>
            </w:pPr>
            <w:r w:rsidRPr="005B5418">
              <w:rPr>
                <w:b/>
                <w:spacing w:val="-2"/>
                <w:sz w:val="22"/>
                <w:szCs w:val="22"/>
              </w:rPr>
              <w:t>Federal Debt and Interest Payable</w:t>
            </w:r>
            <w:r w:rsidRPr="005B5418">
              <w:rPr>
                <w:sz w:val="22"/>
                <w:szCs w:val="22"/>
              </w:rPr>
              <w:t xml:space="preserve"> is the amount borrowed by an entity that has the authority to issue securities to </w:t>
            </w:r>
            <w:r w:rsidR="00686D3A">
              <w:rPr>
                <w:sz w:val="22"/>
                <w:szCs w:val="22"/>
              </w:rPr>
              <w:t>g</w:t>
            </w:r>
            <w:r w:rsidR="00686D3A" w:rsidRPr="005B5418">
              <w:rPr>
                <w:sz w:val="22"/>
                <w:szCs w:val="22"/>
              </w:rPr>
              <w:t xml:space="preserve">overnment </w:t>
            </w:r>
            <w:r w:rsidRPr="005B5418">
              <w:rPr>
                <w:sz w:val="22"/>
                <w:szCs w:val="22"/>
              </w:rPr>
              <w:t>accounts or the public</w:t>
            </w:r>
            <w:r w:rsidR="00686D3A">
              <w:rPr>
                <w:sz w:val="22"/>
                <w:szCs w:val="22"/>
              </w:rPr>
              <w:t>.</w:t>
            </w:r>
            <w:r w:rsidRPr="005B5418">
              <w:rPr>
                <w:sz w:val="22"/>
                <w:szCs w:val="22"/>
              </w:rPr>
              <w:t xml:space="preserve"> The</w:t>
            </w:r>
            <w:r w:rsidRPr="005B5418">
              <w:rPr>
                <w:spacing w:val="-2"/>
                <w:sz w:val="22"/>
                <w:szCs w:val="22"/>
              </w:rPr>
              <w:t xml:space="preserve"> components</w:t>
            </w:r>
            <w:r w:rsidRPr="005B5418">
              <w:rPr>
                <w:spacing w:val="1"/>
                <w:sz w:val="22"/>
                <w:szCs w:val="22"/>
              </w:rPr>
              <w:t xml:space="preserve"> </w:t>
            </w:r>
            <w:r w:rsidRPr="005B5418">
              <w:rPr>
                <w:sz w:val="22"/>
                <w:szCs w:val="22"/>
              </w:rPr>
              <w:t>of</w:t>
            </w:r>
            <w:r w:rsidRPr="005B5418">
              <w:rPr>
                <w:spacing w:val="-2"/>
                <w:sz w:val="22"/>
                <w:szCs w:val="22"/>
              </w:rPr>
              <w:t xml:space="preserve"> </w:t>
            </w:r>
            <w:r w:rsidR="00686D3A">
              <w:rPr>
                <w:spacing w:val="-2"/>
                <w:sz w:val="22"/>
                <w:szCs w:val="22"/>
              </w:rPr>
              <w:t>f</w:t>
            </w:r>
            <w:r w:rsidR="00686D3A" w:rsidRPr="005B5418">
              <w:rPr>
                <w:spacing w:val="-2"/>
                <w:sz w:val="22"/>
                <w:szCs w:val="22"/>
              </w:rPr>
              <w:t xml:space="preserve">ederal </w:t>
            </w:r>
            <w:r w:rsidRPr="005B5418">
              <w:rPr>
                <w:sz w:val="22"/>
                <w:szCs w:val="22"/>
              </w:rPr>
              <w:t>debt and interest payable must</w:t>
            </w:r>
            <w:r w:rsidRPr="005B5418">
              <w:rPr>
                <w:spacing w:val="1"/>
                <w:sz w:val="22"/>
                <w:szCs w:val="22"/>
              </w:rPr>
              <w:t xml:space="preserve"> </w:t>
            </w:r>
            <w:r w:rsidRPr="005B5418">
              <w:rPr>
                <w:sz w:val="22"/>
                <w:szCs w:val="22"/>
              </w:rPr>
              <w:t>be disclosed</w:t>
            </w:r>
            <w:r w:rsidR="00865EF9" w:rsidRPr="005B5418">
              <w:rPr>
                <w:sz w:val="22"/>
                <w:szCs w:val="22"/>
              </w:rPr>
              <w:t>.</w:t>
            </w:r>
            <w:r w:rsidRPr="005B5418">
              <w:rPr>
                <w:sz w:val="22"/>
                <w:szCs w:val="22"/>
              </w:rPr>
              <w:t xml:space="preserve"> </w:t>
            </w:r>
            <w:r w:rsidR="00EF6341" w:rsidRPr="005B5418">
              <w:rPr>
                <w:sz w:val="22"/>
                <w:szCs w:val="22"/>
              </w:rPr>
              <w:t>(A-136, section II.3.</w:t>
            </w:r>
            <w:r w:rsidR="00FD207A" w:rsidRPr="005B5418">
              <w:rPr>
                <w:sz w:val="22"/>
                <w:szCs w:val="22"/>
              </w:rPr>
              <w:t>2.4</w:t>
            </w:r>
            <w:r w:rsidR="00EF6341" w:rsidRPr="005B5418">
              <w:rPr>
                <w:sz w:val="22"/>
                <w:szCs w:val="22"/>
              </w:rPr>
              <w:t>)</w:t>
            </w:r>
            <w:r w:rsidRPr="005B5418">
              <w:rPr>
                <w:sz w:val="22"/>
                <w:szCs w:val="22"/>
              </w:rPr>
              <w:t>.</w:t>
            </w:r>
          </w:p>
          <w:p w14:paraId="59CC70DD" w14:textId="171445E1" w:rsidR="00CE0379" w:rsidRPr="005B5418" w:rsidRDefault="00CE0379" w:rsidP="00D7798C">
            <w:pPr>
              <w:pStyle w:val="Table-Note"/>
              <w:spacing w:before="60" w:after="60" w:line="240" w:lineRule="auto"/>
              <w:ind w:left="-23"/>
              <w:jc w:val="left"/>
              <w:rPr>
                <w:rFonts w:cs="Arial"/>
                <w:i w:val="0"/>
                <w:sz w:val="22"/>
                <w:szCs w:val="22"/>
              </w:rPr>
            </w:pPr>
            <w:r w:rsidRPr="005B5418">
              <w:rPr>
                <w:rFonts w:cs="Arial"/>
                <w:i w:val="0"/>
                <w:sz w:val="22"/>
                <w:szCs w:val="22"/>
              </w:rPr>
              <w:t>Interest incurred results from borrowing funds from Treasury, the Federal Financing Bank, other federal entities, or the public. (SFFAS 1, para. 81)</w:t>
            </w:r>
          </w:p>
          <w:p w14:paraId="54F996D8" w14:textId="1A23B7B9" w:rsidR="0091281D" w:rsidRPr="005B5418" w:rsidRDefault="0091281D" w:rsidP="002A487C">
            <w:pPr>
              <w:pStyle w:val="Table-Note"/>
              <w:spacing w:before="60" w:after="60" w:line="240" w:lineRule="auto"/>
              <w:ind w:left="-23"/>
              <w:jc w:val="left"/>
              <w:rPr>
                <w:rFonts w:cs="Arial"/>
                <w:i w:val="0"/>
                <w:sz w:val="22"/>
                <w:szCs w:val="22"/>
              </w:rPr>
            </w:pPr>
          </w:p>
        </w:tc>
      </w:tr>
      <w:tr w:rsidR="00065BA2" w:rsidRPr="005B5418" w14:paraId="25C7180F" w14:textId="77777777" w:rsidTr="0038293D">
        <w:trPr>
          <w:cantSplit/>
          <w:trHeight w:val="1277"/>
        </w:trPr>
        <w:tc>
          <w:tcPr>
            <w:tcW w:w="5397" w:type="dxa"/>
          </w:tcPr>
          <w:p w14:paraId="1A115DC4" w14:textId="0EE2781C" w:rsidR="00065BA2" w:rsidRPr="005B5418" w:rsidRDefault="005F3CC0" w:rsidP="00343610">
            <w:pPr>
              <w:pStyle w:val="FAM-Table-outline"/>
              <w:widowControl/>
              <w:numPr>
                <w:ilvl w:val="0"/>
                <w:numId w:val="16"/>
              </w:numPr>
              <w:adjustRightInd/>
              <w:spacing w:line="240" w:lineRule="auto"/>
              <w:textAlignment w:val="auto"/>
              <w:rPr>
                <w:rFonts w:eastAsia="Arial Unicode MS"/>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EA3E90" w:rsidRPr="005B5418">
              <w:rPr>
                <w:rFonts w:eastAsia="Arial Unicode MS" w:cs="Arial"/>
                <w:szCs w:val="22"/>
              </w:rPr>
              <w:t>.</w:t>
            </w:r>
            <w:r w:rsidRPr="005B5418">
              <w:rPr>
                <w:rFonts w:eastAsia="Arial Unicode MS" w:cs="Arial"/>
                <w:szCs w:val="22"/>
              </w:rPr>
              <w:t>)</w:t>
            </w:r>
          </w:p>
        </w:tc>
        <w:tc>
          <w:tcPr>
            <w:tcW w:w="970" w:type="dxa"/>
          </w:tcPr>
          <w:p w14:paraId="2746E592" w14:textId="77777777" w:rsidR="00065BA2" w:rsidRPr="005B5418" w:rsidRDefault="00065BA2" w:rsidP="003B61E9">
            <w:pPr>
              <w:pStyle w:val="Table-Cell-CenterBoldBefore6ptAfter6pt"/>
              <w:rPr>
                <w:rFonts w:cs="Arial"/>
              </w:rPr>
            </w:pPr>
          </w:p>
        </w:tc>
        <w:tc>
          <w:tcPr>
            <w:tcW w:w="3209" w:type="dxa"/>
          </w:tcPr>
          <w:p w14:paraId="65E1E2CF" w14:textId="77777777" w:rsidR="00065BA2" w:rsidRPr="005B5418" w:rsidRDefault="00065BA2" w:rsidP="003B61E9">
            <w:pPr>
              <w:pStyle w:val="Table-Cell-Left"/>
              <w:spacing w:line="240" w:lineRule="auto"/>
              <w:rPr>
                <w:rFonts w:cs="Arial"/>
              </w:rPr>
            </w:pPr>
          </w:p>
        </w:tc>
      </w:tr>
      <w:tr w:rsidR="00065BA2" w:rsidRPr="005B5418" w14:paraId="3B3FB676" w14:textId="77777777" w:rsidTr="0038293D">
        <w:trPr>
          <w:cantSplit/>
          <w:trHeight w:val="260"/>
        </w:trPr>
        <w:tc>
          <w:tcPr>
            <w:tcW w:w="9576" w:type="dxa"/>
            <w:gridSpan w:val="3"/>
          </w:tcPr>
          <w:p w14:paraId="61F2D0C3" w14:textId="77777777" w:rsidR="00065BA2" w:rsidRPr="005B5418" w:rsidRDefault="00065BA2" w:rsidP="008848DA">
            <w:pPr>
              <w:spacing w:before="60" w:after="60" w:line="240" w:lineRule="auto"/>
              <w:rPr>
                <w:rFonts w:ascii="Arial" w:hAnsi="Arial" w:cs="Arial"/>
                <w:b/>
              </w:rPr>
            </w:pPr>
            <w:r w:rsidRPr="005B5418">
              <w:rPr>
                <w:rFonts w:ascii="Arial" w:hAnsi="Arial" w:cs="Arial"/>
                <w:b/>
              </w:rPr>
              <w:t>Accounting</w:t>
            </w:r>
          </w:p>
        </w:tc>
      </w:tr>
      <w:tr w:rsidR="00752BD8" w:rsidRPr="005B5418" w14:paraId="6C5A3A2A" w14:textId="77777777" w:rsidTr="0038293D">
        <w:trPr>
          <w:cantSplit/>
          <w:trHeight w:val="1556"/>
        </w:trPr>
        <w:tc>
          <w:tcPr>
            <w:tcW w:w="5397" w:type="dxa"/>
          </w:tcPr>
          <w:p w14:paraId="16479CBE" w14:textId="04D83035" w:rsidR="00752BD8" w:rsidRPr="005B5418" w:rsidRDefault="00752BD8" w:rsidP="00343610">
            <w:pPr>
              <w:pStyle w:val="FAM-Table-outline"/>
              <w:widowControl/>
              <w:numPr>
                <w:ilvl w:val="0"/>
                <w:numId w:val="16"/>
              </w:numPr>
              <w:adjustRightInd/>
              <w:spacing w:line="240" w:lineRule="auto"/>
              <w:textAlignment w:val="auto"/>
              <w:rPr>
                <w:rFonts w:cs="Arial"/>
              </w:rPr>
            </w:pPr>
            <w:r w:rsidRPr="005B5418">
              <w:rPr>
                <w:rFonts w:eastAsia="Arial Unicode MS"/>
              </w:rPr>
              <w:t>Does the entity accounting for federal debt identify the amount of the outstanding debt liability at any given time and the related interest cost for each accounting period? (SFFAS 5, par</w:t>
            </w:r>
            <w:r w:rsidR="00EA3E90" w:rsidRPr="005B5418">
              <w:rPr>
                <w:rFonts w:eastAsia="Arial Unicode MS"/>
              </w:rPr>
              <w:t>a</w:t>
            </w:r>
            <w:r w:rsidRPr="005B5418">
              <w:rPr>
                <w:rFonts w:eastAsia="Arial Unicode MS"/>
              </w:rPr>
              <w:t>. 48)</w:t>
            </w:r>
          </w:p>
        </w:tc>
        <w:tc>
          <w:tcPr>
            <w:tcW w:w="970" w:type="dxa"/>
          </w:tcPr>
          <w:p w14:paraId="5454F0A0" w14:textId="77777777" w:rsidR="00752BD8" w:rsidRPr="005B5418" w:rsidRDefault="00752BD8" w:rsidP="003B61E9">
            <w:pPr>
              <w:pStyle w:val="Table-Cell-CenterBoldBefore6ptAfter6pt"/>
              <w:rPr>
                <w:rFonts w:cs="Arial"/>
              </w:rPr>
            </w:pPr>
          </w:p>
        </w:tc>
        <w:tc>
          <w:tcPr>
            <w:tcW w:w="3209" w:type="dxa"/>
          </w:tcPr>
          <w:p w14:paraId="59A00E87" w14:textId="77777777" w:rsidR="00752BD8" w:rsidRPr="005B5418" w:rsidRDefault="00752BD8" w:rsidP="003B61E9">
            <w:pPr>
              <w:pStyle w:val="Table-Cell-Left"/>
              <w:spacing w:line="240" w:lineRule="auto"/>
              <w:rPr>
                <w:rFonts w:cs="Arial"/>
              </w:rPr>
            </w:pPr>
          </w:p>
        </w:tc>
      </w:tr>
      <w:tr w:rsidR="00752BD8" w:rsidRPr="005B5418" w14:paraId="7F2AB242" w14:textId="77777777" w:rsidTr="0038293D">
        <w:trPr>
          <w:cantSplit/>
          <w:trHeight w:val="1439"/>
        </w:trPr>
        <w:tc>
          <w:tcPr>
            <w:tcW w:w="5397" w:type="dxa"/>
          </w:tcPr>
          <w:p w14:paraId="5C765764" w14:textId="376FBF55" w:rsidR="00752BD8" w:rsidRPr="005B5418" w:rsidRDefault="00752BD8" w:rsidP="00343610">
            <w:pPr>
              <w:pStyle w:val="FAM-Table-outline"/>
              <w:widowControl/>
              <w:numPr>
                <w:ilvl w:val="0"/>
                <w:numId w:val="16"/>
              </w:numPr>
              <w:adjustRightInd/>
              <w:spacing w:line="240" w:lineRule="auto"/>
              <w:textAlignment w:val="auto"/>
              <w:rPr>
                <w:rFonts w:cs="Arial"/>
              </w:rPr>
            </w:pPr>
            <w:r w:rsidRPr="005B5418">
              <w:rPr>
                <w:rFonts w:eastAsia="Arial Unicode MS"/>
              </w:rPr>
              <w:t>Are fixed-value securities with known redemption or maturity amounts at time of issue valued at their original face (par) value net of any unamortized discount or premium? (SFFAS 5, par</w:t>
            </w:r>
            <w:r w:rsidR="00EA3E90" w:rsidRPr="005B5418">
              <w:rPr>
                <w:rFonts w:eastAsia="Arial Unicode MS"/>
              </w:rPr>
              <w:t>a</w:t>
            </w:r>
            <w:r w:rsidRPr="005B5418">
              <w:rPr>
                <w:rFonts w:eastAsia="Arial Unicode MS"/>
              </w:rPr>
              <w:t>. 50)</w:t>
            </w:r>
          </w:p>
        </w:tc>
        <w:tc>
          <w:tcPr>
            <w:tcW w:w="970" w:type="dxa"/>
          </w:tcPr>
          <w:p w14:paraId="4303742A" w14:textId="77777777" w:rsidR="00752BD8" w:rsidRPr="005B5418" w:rsidRDefault="00752BD8" w:rsidP="003B61E9">
            <w:pPr>
              <w:pStyle w:val="Table-Cell-CenterBoldBefore6ptAfter6pt"/>
              <w:rPr>
                <w:rFonts w:cs="Arial"/>
              </w:rPr>
            </w:pPr>
          </w:p>
        </w:tc>
        <w:tc>
          <w:tcPr>
            <w:tcW w:w="3209" w:type="dxa"/>
          </w:tcPr>
          <w:p w14:paraId="768C4B1E" w14:textId="77777777" w:rsidR="00752BD8" w:rsidRPr="005B5418" w:rsidRDefault="00752BD8" w:rsidP="003B61E9">
            <w:pPr>
              <w:pStyle w:val="Table-Cell-Left"/>
              <w:spacing w:line="240" w:lineRule="auto"/>
              <w:rPr>
                <w:rFonts w:cs="Arial"/>
              </w:rPr>
            </w:pPr>
          </w:p>
        </w:tc>
      </w:tr>
      <w:tr w:rsidR="00752BD8" w:rsidRPr="005B5418" w14:paraId="3F43C5B8" w14:textId="77777777" w:rsidTr="0038293D">
        <w:trPr>
          <w:cantSplit/>
          <w:trHeight w:val="1025"/>
        </w:trPr>
        <w:tc>
          <w:tcPr>
            <w:tcW w:w="5397" w:type="dxa"/>
          </w:tcPr>
          <w:p w14:paraId="240591A1" w14:textId="0552B5C7" w:rsidR="00752BD8" w:rsidRPr="005B5418" w:rsidRDefault="00752BD8" w:rsidP="00343610">
            <w:pPr>
              <w:pStyle w:val="FAM-Table-outline"/>
              <w:widowControl/>
              <w:numPr>
                <w:ilvl w:val="0"/>
                <w:numId w:val="16"/>
              </w:numPr>
              <w:adjustRightInd/>
              <w:spacing w:line="240" w:lineRule="auto"/>
              <w:textAlignment w:val="auto"/>
              <w:rPr>
                <w:rFonts w:cs="Arial"/>
              </w:rPr>
            </w:pPr>
            <w:r w:rsidRPr="005B5418">
              <w:rPr>
                <w:rFonts w:eastAsia="Arial Unicode MS"/>
              </w:rPr>
              <w:t>For fixed-value securities, is the interest method</w:t>
            </w:r>
            <w:r w:rsidR="00642097" w:rsidRPr="005B5418">
              <w:t xml:space="preserve"> </w:t>
            </w:r>
            <w:r w:rsidR="00642097" w:rsidRPr="005B5418">
              <w:rPr>
                <w:rFonts w:eastAsia="Arial Unicode MS"/>
              </w:rPr>
              <w:t>used for amortizing any discount or premium?</w:t>
            </w:r>
            <w:r w:rsidRPr="005B5418">
              <w:rPr>
                <w:rStyle w:val="FootnoteReference"/>
                <w:rFonts w:eastAsia="Arial Unicode MS"/>
              </w:rPr>
              <w:footnoteReference w:id="161"/>
            </w:r>
            <w:r w:rsidRPr="005B5418">
              <w:rPr>
                <w:rFonts w:eastAsia="Arial Unicode MS"/>
              </w:rPr>
              <w:t xml:space="preserve"> (SFFAS 5, par</w:t>
            </w:r>
            <w:r w:rsidR="00EA3E90" w:rsidRPr="005B5418">
              <w:rPr>
                <w:rFonts w:eastAsia="Arial Unicode MS"/>
              </w:rPr>
              <w:t>a</w:t>
            </w:r>
            <w:r w:rsidRPr="005B5418">
              <w:rPr>
                <w:rFonts w:eastAsia="Arial Unicode MS"/>
              </w:rPr>
              <w:t xml:space="preserve">. 51)  </w:t>
            </w:r>
          </w:p>
        </w:tc>
        <w:tc>
          <w:tcPr>
            <w:tcW w:w="970" w:type="dxa"/>
          </w:tcPr>
          <w:p w14:paraId="04B08683" w14:textId="77777777" w:rsidR="00752BD8" w:rsidRPr="005B5418" w:rsidRDefault="00752BD8" w:rsidP="003B61E9">
            <w:pPr>
              <w:pStyle w:val="Table-Cell-CenterBoldBefore6ptAfter6pt"/>
              <w:rPr>
                <w:rFonts w:cs="Arial"/>
              </w:rPr>
            </w:pPr>
          </w:p>
        </w:tc>
        <w:tc>
          <w:tcPr>
            <w:tcW w:w="3209" w:type="dxa"/>
          </w:tcPr>
          <w:p w14:paraId="03250BD6" w14:textId="77777777" w:rsidR="00752BD8" w:rsidRPr="005B5418" w:rsidRDefault="00752BD8" w:rsidP="003B61E9">
            <w:pPr>
              <w:pStyle w:val="Table-Cell-Left"/>
              <w:spacing w:line="240" w:lineRule="auto"/>
              <w:rPr>
                <w:rFonts w:cs="Arial"/>
              </w:rPr>
            </w:pPr>
          </w:p>
        </w:tc>
      </w:tr>
      <w:tr w:rsidR="00752BD8" w:rsidRPr="005B5418" w14:paraId="0A77FB17" w14:textId="77777777" w:rsidTr="00752BD8">
        <w:trPr>
          <w:cantSplit/>
          <w:trHeight w:val="1826"/>
        </w:trPr>
        <w:tc>
          <w:tcPr>
            <w:tcW w:w="5397" w:type="dxa"/>
          </w:tcPr>
          <w:p w14:paraId="2604E76F" w14:textId="458D5AA5" w:rsidR="00752BD8" w:rsidRPr="005B5418" w:rsidRDefault="00752BD8" w:rsidP="00CF6813">
            <w:pPr>
              <w:pStyle w:val="FAM-Table-outline"/>
              <w:spacing w:line="240" w:lineRule="auto"/>
              <w:rPr>
                <w:rFonts w:eastAsia="Arial Unicode MS"/>
              </w:rPr>
            </w:pPr>
            <w:r w:rsidRPr="005B5418">
              <w:rPr>
                <w:rFonts w:eastAsia="Arial Unicode MS"/>
              </w:rPr>
              <w:t xml:space="preserve">If the interest method is not used, is the </w:t>
            </w:r>
            <w:r w:rsidR="00642097" w:rsidRPr="005B5418">
              <w:rPr>
                <w:rFonts w:eastAsia="Arial Unicode MS"/>
              </w:rPr>
              <w:t>straight-</w:t>
            </w:r>
            <w:r w:rsidRPr="005B5418">
              <w:rPr>
                <w:rFonts w:eastAsia="Arial Unicode MS"/>
              </w:rPr>
              <w:t>line method of discount or premium amortization used for</w:t>
            </w:r>
          </w:p>
          <w:p w14:paraId="252F51A9" w14:textId="214A8FEE" w:rsidR="00752BD8" w:rsidRPr="005B5418" w:rsidRDefault="00752BD8"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rPr>
              <w:t>short-term securities with a maturity of 1 year or less and</w:t>
            </w:r>
          </w:p>
          <w:p w14:paraId="235C8D0C" w14:textId="6FDCE087" w:rsidR="00752BD8" w:rsidRPr="005B5418" w:rsidRDefault="00642097"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rPr>
              <w:t>longer-</w:t>
            </w:r>
            <w:r w:rsidR="00752BD8" w:rsidRPr="005B5418">
              <w:rPr>
                <w:rFonts w:eastAsia="Arial Unicode MS"/>
              </w:rPr>
              <w:t xml:space="preserve">term securities, where the difference between the amount of amortization under the interest and straight-line methods is immaterial? </w:t>
            </w:r>
            <w:r w:rsidR="00752BD8" w:rsidRPr="005B5418">
              <w:rPr>
                <w:rFonts w:eastAsia="Arial Unicode MS"/>
              </w:rPr>
              <w:br/>
              <w:t>(SFFAS 5, par</w:t>
            </w:r>
            <w:r w:rsidR="00EA3E90" w:rsidRPr="005B5418">
              <w:rPr>
                <w:rFonts w:eastAsia="Arial Unicode MS"/>
              </w:rPr>
              <w:t>a</w:t>
            </w:r>
            <w:r w:rsidR="00752BD8" w:rsidRPr="005B5418">
              <w:rPr>
                <w:rFonts w:eastAsia="Arial Unicode MS"/>
              </w:rPr>
              <w:t>. 50)</w:t>
            </w:r>
          </w:p>
        </w:tc>
        <w:tc>
          <w:tcPr>
            <w:tcW w:w="970" w:type="dxa"/>
          </w:tcPr>
          <w:p w14:paraId="309BD83B" w14:textId="77777777" w:rsidR="00752BD8" w:rsidRPr="005B5418" w:rsidRDefault="00752BD8" w:rsidP="003B61E9">
            <w:pPr>
              <w:pStyle w:val="Table-Cell-CenterBoldBefore6ptAfter6pt"/>
              <w:rPr>
                <w:rFonts w:cs="Arial"/>
              </w:rPr>
            </w:pPr>
          </w:p>
        </w:tc>
        <w:tc>
          <w:tcPr>
            <w:tcW w:w="3209" w:type="dxa"/>
          </w:tcPr>
          <w:p w14:paraId="65C32539" w14:textId="77777777" w:rsidR="00752BD8" w:rsidRPr="005B5418" w:rsidRDefault="00752BD8" w:rsidP="003B61E9">
            <w:pPr>
              <w:pStyle w:val="Table-Cell-Left"/>
              <w:spacing w:line="240" w:lineRule="auto"/>
              <w:rPr>
                <w:rFonts w:cs="Arial"/>
              </w:rPr>
            </w:pPr>
          </w:p>
        </w:tc>
      </w:tr>
      <w:tr w:rsidR="00752BD8" w:rsidRPr="005B5418" w14:paraId="735A75DC" w14:textId="77777777" w:rsidTr="00752BD8">
        <w:trPr>
          <w:cantSplit/>
          <w:trHeight w:val="1826"/>
        </w:trPr>
        <w:tc>
          <w:tcPr>
            <w:tcW w:w="5397" w:type="dxa"/>
          </w:tcPr>
          <w:p w14:paraId="37E84CBD" w14:textId="12E3605D" w:rsidR="00752BD8" w:rsidRPr="005B5418" w:rsidRDefault="00752BD8" w:rsidP="00343610">
            <w:pPr>
              <w:pStyle w:val="FAM-Table-outline"/>
              <w:widowControl/>
              <w:numPr>
                <w:ilvl w:val="0"/>
                <w:numId w:val="16"/>
              </w:numPr>
              <w:adjustRightInd/>
              <w:spacing w:line="240" w:lineRule="auto"/>
              <w:textAlignment w:val="auto"/>
              <w:rPr>
                <w:rFonts w:cs="Arial"/>
              </w:rPr>
            </w:pPr>
            <w:r w:rsidRPr="005B5418">
              <w:rPr>
                <w:rFonts w:eastAsia="Arial Unicode MS"/>
              </w:rPr>
              <w:lastRenderedPageBreak/>
              <w:t xml:space="preserve">If the entity has issued variable value securities of unknown redemption or maturity values, are they </w:t>
            </w:r>
            <w:r w:rsidR="00B93C5D" w:rsidRPr="005B5418">
              <w:rPr>
                <w:rFonts w:eastAsia="Arial Unicode MS"/>
              </w:rPr>
              <w:t xml:space="preserve">initially </w:t>
            </w:r>
            <w:r w:rsidR="005839AB" w:rsidRPr="005B5418">
              <w:rPr>
                <w:rFonts w:eastAsia="Arial Unicode MS"/>
              </w:rPr>
              <w:t>valued</w:t>
            </w:r>
            <w:r w:rsidRPr="005B5418">
              <w:rPr>
                <w:rFonts w:eastAsia="Arial Unicode MS"/>
              </w:rPr>
              <w:t xml:space="preserve"> and periodically revalued on the basis of the regulations or offering language? (SFFAS 5, par</w:t>
            </w:r>
            <w:r w:rsidR="005D6258" w:rsidRPr="005B5418">
              <w:rPr>
                <w:rFonts w:eastAsia="Arial Unicode MS"/>
              </w:rPr>
              <w:t>a</w:t>
            </w:r>
            <w:r w:rsidRPr="005B5418">
              <w:rPr>
                <w:rFonts w:eastAsia="Arial Unicode MS"/>
              </w:rPr>
              <w:t>. 52)</w:t>
            </w:r>
          </w:p>
        </w:tc>
        <w:tc>
          <w:tcPr>
            <w:tcW w:w="970" w:type="dxa"/>
          </w:tcPr>
          <w:p w14:paraId="65D4CF04" w14:textId="77777777" w:rsidR="00752BD8" w:rsidRPr="005B5418" w:rsidRDefault="00752BD8" w:rsidP="003B61E9">
            <w:pPr>
              <w:pStyle w:val="Table-Cell-CenterBoldBefore6ptAfter6pt"/>
              <w:rPr>
                <w:rFonts w:cs="Arial"/>
              </w:rPr>
            </w:pPr>
          </w:p>
        </w:tc>
        <w:tc>
          <w:tcPr>
            <w:tcW w:w="3209" w:type="dxa"/>
          </w:tcPr>
          <w:p w14:paraId="3016BCEC" w14:textId="77777777" w:rsidR="00752BD8" w:rsidRPr="005B5418" w:rsidRDefault="00752BD8" w:rsidP="003B61E9">
            <w:pPr>
              <w:pStyle w:val="Table-Cell-Left"/>
              <w:spacing w:line="240" w:lineRule="auto"/>
              <w:rPr>
                <w:rFonts w:cs="Arial"/>
              </w:rPr>
            </w:pPr>
          </w:p>
        </w:tc>
      </w:tr>
      <w:tr w:rsidR="00752BD8" w:rsidRPr="005B5418" w14:paraId="6D593404" w14:textId="77777777" w:rsidTr="0038293D">
        <w:trPr>
          <w:cantSplit/>
          <w:trHeight w:val="1331"/>
        </w:trPr>
        <w:tc>
          <w:tcPr>
            <w:tcW w:w="5397" w:type="dxa"/>
          </w:tcPr>
          <w:p w14:paraId="706867BD" w14:textId="12A45F6F" w:rsidR="00752BD8" w:rsidRPr="005B5418" w:rsidRDefault="00752BD8" w:rsidP="00343610">
            <w:pPr>
              <w:pStyle w:val="FAM-Table-outline"/>
              <w:widowControl/>
              <w:numPr>
                <w:ilvl w:val="0"/>
                <w:numId w:val="16"/>
              </w:numPr>
              <w:adjustRightInd/>
              <w:spacing w:line="240" w:lineRule="auto"/>
              <w:textAlignment w:val="auto"/>
              <w:rPr>
                <w:rFonts w:cs="Arial"/>
              </w:rPr>
            </w:pPr>
            <w:r w:rsidRPr="005B5418">
              <w:rPr>
                <w:rFonts w:eastAsia="Arial Unicode MS"/>
              </w:rPr>
              <w:t xml:space="preserve">Are old currencies issued by the federal government and not yet redeemed or written off identified as a </w:t>
            </w:r>
            <w:r w:rsidR="005D6258" w:rsidRPr="005B5418">
              <w:rPr>
                <w:rFonts w:eastAsia="Arial Unicode MS"/>
              </w:rPr>
              <w:t>noninterest-</w:t>
            </w:r>
            <w:r w:rsidRPr="005B5418">
              <w:rPr>
                <w:rFonts w:eastAsia="Arial Unicode MS"/>
              </w:rPr>
              <w:t>bearing federal debt liability at face value? (SFFAS 5, par</w:t>
            </w:r>
            <w:r w:rsidR="005D6258" w:rsidRPr="005B5418">
              <w:rPr>
                <w:rFonts w:eastAsia="Arial Unicode MS"/>
              </w:rPr>
              <w:t>a</w:t>
            </w:r>
            <w:r w:rsidRPr="005B5418">
              <w:rPr>
                <w:rFonts w:eastAsia="Arial Unicode MS"/>
              </w:rPr>
              <w:t>. 55)</w:t>
            </w:r>
          </w:p>
        </w:tc>
        <w:tc>
          <w:tcPr>
            <w:tcW w:w="970" w:type="dxa"/>
          </w:tcPr>
          <w:p w14:paraId="7060B05F" w14:textId="77777777" w:rsidR="00752BD8" w:rsidRPr="005B5418" w:rsidRDefault="00752BD8" w:rsidP="003B61E9">
            <w:pPr>
              <w:pStyle w:val="Table-Cell-CenterBoldBefore6ptAfter6pt"/>
              <w:rPr>
                <w:rFonts w:cs="Arial"/>
              </w:rPr>
            </w:pPr>
          </w:p>
        </w:tc>
        <w:tc>
          <w:tcPr>
            <w:tcW w:w="3209" w:type="dxa"/>
          </w:tcPr>
          <w:p w14:paraId="485B304F" w14:textId="77777777" w:rsidR="00752BD8" w:rsidRPr="005B5418" w:rsidRDefault="00752BD8" w:rsidP="003B61E9">
            <w:pPr>
              <w:pStyle w:val="Table-Cell-Left"/>
              <w:spacing w:line="240" w:lineRule="auto"/>
              <w:rPr>
                <w:rFonts w:cs="Arial"/>
              </w:rPr>
            </w:pPr>
          </w:p>
        </w:tc>
      </w:tr>
      <w:tr w:rsidR="00FF2176" w:rsidRPr="005B5418" w14:paraId="2390AE96" w14:textId="77777777" w:rsidTr="00752BD8">
        <w:trPr>
          <w:cantSplit/>
          <w:trHeight w:val="971"/>
        </w:trPr>
        <w:tc>
          <w:tcPr>
            <w:tcW w:w="5397" w:type="dxa"/>
          </w:tcPr>
          <w:p w14:paraId="430AC096" w14:textId="77777777" w:rsidR="00FF2176" w:rsidRPr="005B5418" w:rsidRDefault="00FF2176" w:rsidP="00343610">
            <w:pPr>
              <w:pStyle w:val="FAM-Table-outline"/>
              <w:numPr>
                <w:ilvl w:val="0"/>
                <w:numId w:val="16"/>
              </w:numPr>
              <w:spacing w:line="240" w:lineRule="auto"/>
              <w:rPr>
                <w:rFonts w:eastAsia="Arial Unicode MS" w:cs="Arial"/>
                <w:szCs w:val="22"/>
              </w:rPr>
            </w:pPr>
            <w:r w:rsidRPr="005B5418">
              <w:rPr>
                <w:rFonts w:eastAsia="Arial Unicode MS" w:cs="Arial"/>
                <w:szCs w:val="22"/>
              </w:rPr>
              <w:t>Does the related interest cost of federal debt include</w:t>
            </w:r>
          </w:p>
          <w:p w14:paraId="0E8B0067" w14:textId="6BAF85FD" w:rsidR="00FF2176" w:rsidRPr="005B5418" w:rsidRDefault="00FF2176"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rPr>
              <w:t>the accrued (prorated) share of the interest incurred during the accounting period,</w:t>
            </w:r>
          </w:p>
          <w:p w14:paraId="059B34F5" w14:textId="67E1E56D" w:rsidR="00FF2176" w:rsidRPr="005B5418" w:rsidRDefault="00FF2176"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rPr>
              <w:t xml:space="preserve">the amortized discounts or premiums for each accounting period for </w:t>
            </w:r>
            <w:r w:rsidR="005D6258" w:rsidRPr="005B5418">
              <w:rPr>
                <w:rFonts w:eastAsia="Arial Unicode MS"/>
              </w:rPr>
              <w:t>fixed-</w:t>
            </w:r>
            <w:r w:rsidRPr="005B5418">
              <w:rPr>
                <w:rFonts w:eastAsia="Arial Unicode MS"/>
              </w:rPr>
              <w:t>value securities, and</w:t>
            </w:r>
          </w:p>
          <w:p w14:paraId="2E4B3DB2" w14:textId="7C0DE722" w:rsidR="00FF2176" w:rsidRPr="005B5418" w:rsidRDefault="00FF2176"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rPr>
              <w:t>the amount of change in the current value for the accounting period for variable value securities? (SFFAS 5, par</w:t>
            </w:r>
            <w:r w:rsidR="00805992" w:rsidRPr="005B5418">
              <w:rPr>
                <w:rFonts w:eastAsia="Arial Unicode MS"/>
              </w:rPr>
              <w:t>a</w:t>
            </w:r>
            <w:r w:rsidRPr="005B5418">
              <w:rPr>
                <w:rFonts w:eastAsia="Arial Unicode MS"/>
              </w:rPr>
              <w:t>. 53)</w:t>
            </w:r>
          </w:p>
        </w:tc>
        <w:tc>
          <w:tcPr>
            <w:tcW w:w="970" w:type="dxa"/>
          </w:tcPr>
          <w:p w14:paraId="178AB354" w14:textId="77777777" w:rsidR="00FF2176" w:rsidRPr="005B5418" w:rsidRDefault="00FF2176" w:rsidP="003B61E9">
            <w:pPr>
              <w:pStyle w:val="Table-Cell-CenterBoldBefore6ptAfter6pt"/>
              <w:rPr>
                <w:rFonts w:cs="Arial"/>
              </w:rPr>
            </w:pPr>
          </w:p>
        </w:tc>
        <w:tc>
          <w:tcPr>
            <w:tcW w:w="3209" w:type="dxa"/>
          </w:tcPr>
          <w:p w14:paraId="3F0E52F1" w14:textId="77777777" w:rsidR="00FF2176" w:rsidRPr="005B5418" w:rsidRDefault="00FF2176" w:rsidP="003B61E9">
            <w:pPr>
              <w:pStyle w:val="Table-Cell-Left"/>
              <w:spacing w:line="240" w:lineRule="auto"/>
              <w:rPr>
                <w:rFonts w:cs="Arial"/>
              </w:rPr>
            </w:pPr>
          </w:p>
        </w:tc>
      </w:tr>
      <w:tr w:rsidR="00FF2176" w:rsidRPr="005B5418" w14:paraId="261E4F30" w14:textId="77777777" w:rsidTr="00752BD8">
        <w:trPr>
          <w:cantSplit/>
          <w:trHeight w:val="971"/>
        </w:trPr>
        <w:tc>
          <w:tcPr>
            <w:tcW w:w="5397" w:type="dxa"/>
          </w:tcPr>
          <w:p w14:paraId="138EDF41" w14:textId="0066F61A" w:rsidR="002A487C" w:rsidRPr="005B5418" w:rsidRDefault="00FF2176" w:rsidP="00470826">
            <w:pPr>
              <w:pStyle w:val="FAM-Table-outline"/>
              <w:widowControl/>
              <w:numPr>
                <w:ilvl w:val="0"/>
                <w:numId w:val="16"/>
              </w:numPr>
              <w:adjustRightInd/>
              <w:spacing w:line="240" w:lineRule="auto"/>
              <w:textAlignment w:val="auto"/>
              <w:rPr>
                <w:rFonts w:eastAsia="Arial Unicode MS"/>
              </w:rPr>
            </w:pPr>
            <w:r w:rsidRPr="005B5418">
              <w:rPr>
                <w:rFonts w:eastAsia="Arial Unicode MS"/>
              </w:rPr>
              <w:t>If securities are retired before maturity, is the difference between the reacquisition price and net carrying value of the extinguished debt recognized in the period of extinguishment as a gain or loss? (SFFAS 5, par</w:t>
            </w:r>
            <w:r w:rsidR="00805992" w:rsidRPr="005B5418">
              <w:rPr>
                <w:rFonts w:eastAsia="Arial Unicode MS"/>
              </w:rPr>
              <w:t>a</w:t>
            </w:r>
            <w:r w:rsidRPr="005B5418">
              <w:rPr>
                <w:rFonts w:eastAsia="Arial Unicode MS"/>
              </w:rPr>
              <w:t>. 54)</w:t>
            </w:r>
          </w:p>
          <w:p w14:paraId="08FBF221" w14:textId="666E94E9"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3B53A63B" w14:textId="262E9D0C"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654BA681" w14:textId="38A55929"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3A5A462C" w14:textId="638B5913"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73E5075D" w14:textId="7314B6F6"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7CBBEB62" w14:textId="6AD60F9D"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3121E7CE" w14:textId="52B6B65D"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467EEE38" w14:textId="1E6A99D4"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7A9C289D" w14:textId="52A828CE"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18324FE3" w14:textId="6337DAEE" w:rsidR="00470826" w:rsidRPr="005B5418" w:rsidRDefault="00470826" w:rsidP="00470826">
            <w:pPr>
              <w:pStyle w:val="FAM-Table-outline"/>
              <w:widowControl/>
              <w:numPr>
                <w:ilvl w:val="0"/>
                <w:numId w:val="0"/>
              </w:numPr>
              <w:adjustRightInd/>
              <w:spacing w:line="240" w:lineRule="auto"/>
              <w:ind w:left="666" w:hanging="576"/>
              <w:textAlignment w:val="auto"/>
              <w:rPr>
                <w:rFonts w:eastAsia="Arial Unicode MS"/>
              </w:rPr>
            </w:pPr>
          </w:p>
          <w:p w14:paraId="70D6D205" w14:textId="77777777" w:rsidR="00470826" w:rsidRPr="005B5418" w:rsidRDefault="00470826" w:rsidP="009D1DBB">
            <w:pPr>
              <w:pStyle w:val="FAM-Table-outline"/>
              <w:widowControl/>
              <w:numPr>
                <w:ilvl w:val="0"/>
                <w:numId w:val="0"/>
              </w:numPr>
              <w:adjustRightInd/>
              <w:spacing w:line="240" w:lineRule="auto"/>
              <w:textAlignment w:val="auto"/>
              <w:rPr>
                <w:rFonts w:eastAsia="Arial Unicode MS"/>
              </w:rPr>
            </w:pPr>
          </w:p>
          <w:p w14:paraId="00866B77" w14:textId="6D2084AD" w:rsidR="002A487C" w:rsidRPr="005B5418" w:rsidRDefault="002A487C" w:rsidP="002A487C">
            <w:pPr>
              <w:pStyle w:val="FAM-Table-outline"/>
              <w:widowControl/>
              <w:numPr>
                <w:ilvl w:val="0"/>
                <w:numId w:val="0"/>
              </w:numPr>
              <w:adjustRightInd/>
              <w:spacing w:line="240" w:lineRule="auto"/>
              <w:ind w:left="666" w:hanging="576"/>
              <w:textAlignment w:val="auto"/>
              <w:rPr>
                <w:rFonts w:eastAsia="Arial Unicode MS"/>
              </w:rPr>
            </w:pPr>
          </w:p>
        </w:tc>
        <w:tc>
          <w:tcPr>
            <w:tcW w:w="970" w:type="dxa"/>
          </w:tcPr>
          <w:p w14:paraId="3FD565D5" w14:textId="77777777" w:rsidR="00FF2176" w:rsidRPr="005B5418" w:rsidRDefault="00FF2176" w:rsidP="003B61E9">
            <w:pPr>
              <w:pStyle w:val="Table-Cell-CenterBoldBefore6ptAfter6pt"/>
              <w:rPr>
                <w:rFonts w:cs="Arial"/>
              </w:rPr>
            </w:pPr>
          </w:p>
        </w:tc>
        <w:tc>
          <w:tcPr>
            <w:tcW w:w="3209" w:type="dxa"/>
          </w:tcPr>
          <w:p w14:paraId="78B07FA8" w14:textId="77777777" w:rsidR="00FF2176" w:rsidRPr="005B5418" w:rsidRDefault="00FF2176" w:rsidP="003B61E9">
            <w:pPr>
              <w:pStyle w:val="Table-Cell-Left"/>
              <w:spacing w:line="240" w:lineRule="auto"/>
              <w:rPr>
                <w:rFonts w:cs="Arial"/>
              </w:rPr>
            </w:pPr>
          </w:p>
        </w:tc>
      </w:tr>
      <w:tr w:rsidR="00065BA2" w:rsidRPr="005B5418" w14:paraId="25CAED63" w14:textId="77777777" w:rsidTr="0038293D">
        <w:trPr>
          <w:cantSplit/>
          <w:trHeight w:val="350"/>
        </w:trPr>
        <w:tc>
          <w:tcPr>
            <w:tcW w:w="9576" w:type="dxa"/>
            <w:gridSpan w:val="3"/>
          </w:tcPr>
          <w:p w14:paraId="73D0A15A" w14:textId="77777777" w:rsidR="00065BA2" w:rsidRPr="005B5418" w:rsidRDefault="00065BA2" w:rsidP="008848DA">
            <w:pPr>
              <w:spacing w:before="60" w:after="60" w:line="240" w:lineRule="auto"/>
              <w:rPr>
                <w:rFonts w:ascii="Arial" w:hAnsi="Arial" w:cs="Arial"/>
                <w:b/>
              </w:rPr>
            </w:pPr>
            <w:r w:rsidRPr="005B5418">
              <w:rPr>
                <w:rFonts w:ascii="Arial" w:hAnsi="Arial" w:cs="Arial"/>
                <w:b/>
              </w:rPr>
              <w:lastRenderedPageBreak/>
              <w:t>Disclosure</w:t>
            </w:r>
          </w:p>
        </w:tc>
      </w:tr>
      <w:tr w:rsidR="009118E5" w:rsidRPr="005B5418" w14:paraId="356776FD" w14:textId="77777777" w:rsidTr="002A487C">
        <w:trPr>
          <w:cantSplit/>
          <w:trHeight w:val="3140"/>
        </w:trPr>
        <w:tc>
          <w:tcPr>
            <w:tcW w:w="5397" w:type="dxa"/>
          </w:tcPr>
          <w:p w14:paraId="7501B3D2" w14:textId="0C35ADF3" w:rsidR="009118E5" w:rsidRPr="005B5418" w:rsidRDefault="009118E5" w:rsidP="00343610">
            <w:pPr>
              <w:pStyle w:val="FAM-Table-outline"/>
              <w:widowControl/>
              <w:numPr>
                <w:ilvl w:val="0"/>
                <w:numId w:val="16"/>
              </w:numPr>
              <w:adjustRightInd/>
              <w:spacing w:line="240" w:lineRule="auto"/>
              <w:textAlignment w:val="auto"/>
              <w:rPr>
                <w:rFonts w:cs="Arial"/>
              </w:rPr>
            </w:pPr>
            <w:r w:rsidRPr="005B5418">
              <w:rPr>
                <w:rFonts w:cs="Arial"/>
              </w:rPr>
              <w:t>Does the agency</w:t>
            </w:r>
            <w:r w:rsidR="00DD3445" w:rsidRPr="005B5418">
              <w:rPr>
                <w:rFonts w:cs="Arial"/>
              </w:rPr>
              <w:t>’s disclosure</w:t>
            </w:r>
            <w:r w:rsidRPr="005B5418">
              <w:rPr>
                <w:rFonts w:cs="Arial"/>
              </w:rPr>
              <w:t xml:space="preserve"> include</w:t>
            </w:r>
            <w:r w:rsidRPr="005B5418">
              <w:rPr>
                <w:rStyle w:val="FootnoteReference"/>
                <w:rFonts w:cs="Arial"/>
              </w:rPr>
              <w:footnoteReference w:id="162"/>
            </w:r>
            <w:r w:rsidRPr="005B5418">
              <w:rPr>
                <w:rFonts w:cs="Arial"/>
              </w:rPr>
              <w:t xml:space="preserve"> </w:t>
            </w:r>
          </w:p>
          <w:p w14:paraId="5D5C7CB8" w14:textId="5E0023E0" w:rsidR="009118E5" w:rsidRPr="005B5418" w:rsidRDefault="009118E5"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rPr>
              <w:t xml:space="preserve">Treasury </w:t>
            </w:r>
            <w:r w:rsidR="0093683B" w:rsidRPr="005B5418">
              <w:rPr>
                <w:rFonts w:eastAsia="Arial Unicode MS"/>
              </w:rPr>
              <w:t>d</w:t>
            </w:r>
            <w:r w:rsidRPr="005B5418">
              <w:rPr>
                <w:rFonts w:eastAsia="Arial Unicode MS"/>
              </w:rPr>
              <w:t>ebt reported by Treasury Only (</w:t>
            </w:r>
            <w:r w:rsidR="00350A6E" w:rsidRPr="005B5418">
              <w:rPr>
                <w:rFonts w:eastAsia="Arial Unicode MS"/>
              </w:rPr>
              <w:t xml:space="preserve">lines </w:t>
            </w:r>
            <w:r w:rsidRPr="005B5418">
              <w:rPr>
                <w:rFonts w:eastAsia="Arial Unicode MS"/>
              </w:rPr>
              <w:t>A(1)</w:t>
            </w:r>
            <w:r w:rsidR="00846035" w:rsidRPr="005B5418">
              <w:rPr>
                <w:rFonts w:eastAsia="Arial Unicode MS"/>
              </w:rPr>
              <w:t xml:space="preserve"> - Intragovernmental</w:t>
            </w:r>
            <w:r w:rsidR="00150EFD" w:rsidRPr="005B5418">
              <w:rPr>
                <w:rFonts w:eastAsia="Arial Unicode MS"/>
              </w:rPr>
              <w:t xml:space="preserve"> </w:t>
            </w:r>
            <w:r w:rsidRPr="005B5418">
              <w:rPr>
                <w:rFonts w:eastAsia="Arial Unicode MS"/>
              </w:rPr>
              <w:t>and A(2)</w:t>
            </w:r>
            <w:r w:rsidR="00EF3BE9" w:rsidRPr="005B5418">
              <w:rPr>
                <w:rFonts w:eastAsia="Arial Unicode MS"/>
              </w:rPr>
              <w:t xml:space="preserve"> –Held by the Public</w:t>
            </w:r>
            <w:r w:rsidRPr="005B5418">
              <w:rPr>
                <w:rFonts w:eastAsia="Arial Unicode MS"/>
              </w:rPr>
              <w:t>)</w:t>
            </w:r>
            <w:r w:rsidR="008B26C3" w:rsidRPr="005B5418">
              <w:rPr>
                <w:rStyle w:val="FootnoteReference"/>
                <w:rFonts w:eastAsia="Arial Unicode MS"/>
              </w:rPr>
              <w:footnoteReference w:id="163"/>
            </w:r>
            <w:r w:rsidRPr="005B5418">
              <w:rPr>
                <w:rFonts w:eastAsia="Arial Unicode MS"/>
              </w:rPr>
              <w:t xml:space="preserve"> </w:t>
            </w:r>
            <w:r w:rsidR="0091281D" w:rsidRPr="005B5418">
              <w:rPr>
                <w:rFonts w:eastAsia="Arial Unicode MS"/>
              </w:rPr>
              <w:t>and</w:t>
            </w:r>
          </w:p>
          <w:p w14:paraId="5CB49BA6" w14:textId="50FAFA51" w:rsidR="0051435A" w:rsidRPr="005B5418" w:rsidDel="00995B68" w:rsidRDefault="00350A6E" w:rsidP="005425ED">
            <w:pPr>
              <w:pStyle w:val="FAM-Table-outline2"/>
              <w:numPr>
                <w:ilvl w:val="1"/>
                <w:numId w:val="1"/>
              </w:numPr>
              <w:tabs>
                <w:tab w:val="num" w:pos="576"/>
              </w:tabs>
              <w:spacing w:line="240" w:lineRule="auto"/>
              <w:ind w:left="1155" w:hanging="458"/>
            </w:pPr>
            <w:r w:rsidRPr="005B5418">
              <w:rPr>
                <w:rFonts w:eastAsia="Arial Unicode MS"/>
              </w:rPr>
              <w:t>a</w:t>
            </w:r>
            <w:r w:rsidR="009118E5" w:rsidRPr="005B5418">
              <w:rPr>
                <w:rFonts w:eastAsia="Arial Unicode MS"/>
              </w:rPr>
              <w:t xml:space="preserve">gency debt issued under special financing authorities (e.g., </w:t>
            </w:r>
            <w:r w:rsidRPr="005B5418">
              <w:rPr>
                <w:rFonts w:eastAsia="Arial Unicode MS"/>
              </w:rPr>
              <w:t>FHA</w:t>
            </w:r>
            <w:r w:rsidR="009118E5" w:rsidRPr="005B5418">
              <w:rPr>
                <w:rFonts w:eastAsia="Arial Unicode MS"/>
              </w:rPr>
              <w:t xml:space="preserve"> debentures and Tennessee Valley Authority bonds)</w:t>
            </w:r>
            <w:r w:rsidR="008B26C3" w:rsidRPr="005B5418">
              <w:rPr>
                <w:rFonts w:eastAsia="Arial Unicode MS"/>
              </w:rPr>
              <w:t xml:space="preserve"> and Federal Financing Bank</w:t>
            </w:r>
            <w:r w:rsidR="00260E02" w:rsidRPr="005B5418">
              <w:rPr>
                <w:rFonts w:eastAsia="Arial Unicode MS"/>
              </w:rPr>
              <w:t xml:space="preserve"> securities issued</w:t>
            </w:r>
            <w:r w:rsidR="009118E5" w:rsidRPr="005B5418">
              <w:rPr>
                <w:rFonts w:eastAsia="Arial Unicode MS"/>
              </w:rPr>
              <w:t>,</w:t>
            </w:r>
            <w:r w:rsidR="00846035" w:rsidRPr="005B5418">
              <w:rPr>
                <w:rFonts w:eastAsia="Arial Unicode MS"/>
              </w:rPr>
              <w:t xml:space="preserve"> </w:t>
            </w:r>
            <w:r w:rsidR="00EF3BE9" w:rsidRPr="005B5418">
              <w:rPr>
                <w:rFonts w:eastAsia="Arial Unicode MS"/>
              </w:rPr>
              <w:t>reported in lines B(1) – Intragovernmental and B(2) – Held by the Public</w:t>
            </w:r>
            <w:r w:rsidR="002A487C" w:rsidRPr="005B5418">
              <w:rPr>
                <w:rFonts w:eastAsia="Arial Unicode MS"/>
              </w:rPr>
              <w:t>?</w:t>
            </w:r>
            <w:r w:rsidR="009118E5" w:rsidRPr="005B5418">
              <w:rPr>
                <w:rFonts w:eastAsia="Arial Unicode MS"/>
              </w:rPr>
              <w:t xml:space="preserve"> (A-136, section II.3.8.14</w:t>
            </w:r>
            <w:r w:rsidR="00CE0379" w:rsidRPr="005B5418">
              <w:rPr>
                <w:rFonts w:eastAsia="Arial Unicode MS"/>
              </w:rPr>
              <w:t>A</w:t>
            </w:r>
            <w:r w:rsidR="009118E5" w:rsidRPr="005B5418">
              <w:rPr>
                <w:rFonts w:eastAsia="Arial Unicode MS"/>
              </w:rPr>
              <w:t>)</w:t>
            </w:r>
          </w:p>
        </w:tc>
        <w:tc>
          <w:tcPr>
            <w:tcW w:w="970" w:type="dxa"/>
          </w:tcPr>
          <w:p w14:paraId="17C4070C" w14:textId="77777777" w:rsidR="009118E5" w:rsidRPr="005B5418" w:rsidRDefault="009118E5" w:rsidP="003B61E9">
            <w:pPr>
              <w:pStyle w:val="Table-Cell-CenterBoldBefore6ptAfter6pt"/>
              <w:rPr>
                <w:rFonts w:cs="Arial"/>
              </w:rPr>
            </w:pPr>
          </w:p>
        </w:tc>
        <w:tc>
          <w:tcPr>
            <w:tcW w:w="3209" w:type="dxa"/>
          </w:tcPr>
          <w:p w14:paraId="564F25BC" w14:textId="77777777" w:rsidR="009118E5" w:rsidRPr="005B5418" w:rsidRDefault="009118E5" w:rsidP="003B61E9">
            <w:pPr>
              <w:pStyle w:val="Table-Cell-Left"/>
              <w:spacing w:line="240" w:lineRule="auto"/>
              <w:rPr>
                <w:rFonts w:cs="Arial"/>
              </w:rPr>
            </w:pPr>
          </w:p>
        </w:tc>
      </w:tr>
      <w:tr w:rsidR="009118E5" w:rsidRPr="005B5418" w14:paraId="1C7CAB12" w14:textId="77777777" w:rsidTr="000E64FA">
        <w:trPr>
          <w:cantSplit/>
          <w:trHeight w:val="1880"/>
        </w:trPr>
        <w:tc>
          <w:tcPr>
            <w:tcW w:w="5397" w:type="dxa"/>
          </w:tcPr>
          <w:p w14:paraId="3F91666E" w14:textId="495408FA" w:rsidR="009118E5" w:rsidRPr="005B5418" w:rsidRDefault="009118E5" w:rsidP="005425ED">
            <w:pPr>
              <w:pStyle w:val="FAM-Table-outline"/>
              <w:numPr>
                <w:ilvl w:val="0"/>
                <w:numId w:val="16"/>
              </w:numPr>
              <w:spacing w:line="240" w:lineRule="auto"/>
              <w:rPr>
                <w:rFonts w:eastAsia="Arial Unicode MS" w:cs="Arial"/>
                <w:szCs w:val="22"/>
              </w:rPr>
            </w:pPr>
            <w:r w:rsidRPr="005B5418">
              <w:rPr>
                <w:rFonts w:eastAsia="Arial Unicode MS" w:cs="Arial"/>
                <w:szCs w:val="22"/>
              </w:rPr>
              <w:t xml:space="preserve">Does the </w:t>
            </w:r>
            <w:r w:rsidR="00E57E43" w:rsidRPr="005B5418">
              <w:rPr>
                <w:rFonts w:eastAsia="Arial Unicode MS" w:cs="Arial"/>
                <w:szCs w:val="22"/>
              </w:rPr>
              <w:t xml:space="preserve">entity’s </w:t>
            </w:r>
            <w:r w:rsidRPr="005B5418">
              <w:rPr>
                <w:rFonts w:eastAsia="Arial Unicode MS" w:cs="Arial"/>
                <w:szCs w:val="22"/>
              </w:rPr>
              <w:t>Other</w:t>
            </w:r>
            <w:r w:rsidR="00E911F7" w:rsidRPr="005B5418">
              <w:rPr>
                <w:rFonts w:eastAsia="Arial Unicode MS" w:cs="Arial"/>
                <w:szCs w:val="22"/>
              </w:rPr>
              <w:t xml:space="preserve"> Federal Debt</w:t>
            </w:r>
            <w:r w:rsidRPr="005B5418">
              <w:rPr>
                <w:rFonts w:eastAsia="Arial Unicode MS" w:cs="Arial"/>
                <w:szCs w:val="22"/>
              </w:rPr>
              <w:t xml:space="preserve"> Information include</w:t>
            </w:r>
          </w:p>
          <w:p w14:paraId="48136DD7" w14:textId="20402D1A" w:rsidR="009118E5" w:rsidRPr="005B5418" w:rsidRDefault="009118E5"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rPr>
              <w:t>the names of t</w:t>
            </w:r>
            <w:r w:rsidR="002A487C" w:rsidRPr="005B5418">
              <w:rPr>
                <w:rFonts w:eastAsia="Arial Unicode MS"/>
              </w:rPr>
              <w:t>he agencies other than Treasury</w:t>
            </w:r>
            <w:r w:rsidRPr="005B5418">
              <w:rPr>
                <w:rFonts w:eastAsia="Arial Unicode MS"/>
              </w:rPr>
              <w:t xml:space="preserve"> to which intragovernmental debt is owed</w:t>
            </w:r>
            <w:r w:rsidR="00651698" w:rsidRPr="005B5418">
              <w:rPr>
                <w:rFonts w:eastAsia="Arial Unicode MS"/>
              </w:rPr>
              <w:t>,</w:t>
            </w:r>
          </w:p>
          <w:p w14:paraId="2C69AFD1" w14:textId="77777777" w:rsidR="009118E5" w:rsidRPr="005B5418" w:rsidRDefault="009118E5" w:rsidP="005425ED">
            <w:pPr>
              <w:pStyle w:val="FAM-Table-outline2"/>
              <w:numPr>
                <w:ilvl w:val="1"/>
                <w:numId w:val="1"/>
              </w:numPr>
              <w:tabs>
                <w:tab w:val="num" w:pos="576"/>
              </w:tabs>
              <w:spacing w:line="240" w:lineRule="auto"/>
              <w:ind w:left="1155" w:hanging="458"/>
              <w:rPr>
                <w:rFonts w:eastAsia="Arial Unicode MS"/>
              </w:rPr>
            </w:pPr>
            <w:r w:rsidRPr="005B5418">
              <w:rPr>
                <w:rFonts w:eastAsia="Arial Unicode MS"/>
              </w:rPr>
              <w:t xml:space="preserve">the amount owed, and </w:t>
            </w:r>
          </w:p>
          <w:p w14:paraId="6D8AAF2D" w14:textId="633E6FF1" w:rsidR="009118E5" w:rsidRPr="005B5418" w:rsidRDefault="009118E5" w:rsidP="005425ED">
            <w:pPr>
              <w:pStyle w:val="FAM-Table-outline2"/>
              <w:numPr>
                <w:ilvl w:val="1"/>
                <w:numId w:val="1"/>
              </w:numPr>
              <w:tabs>
                <w:tab w:val="num" w:pos="576"/>
              </w:tabs>
              <w:spacing w:line="240" w:lineRule="auto"/>
              <w:ind w:left="1155" w:hanging="458"/>
            </w:pPr>
            <w:r w:rsidRPr="005B5418">
              <w:rPr>
                <w:rFonts w:eastAsia="Arial Unicode MS"/>
              </w:rPr>
              <w:t xml:space="preserve">any other information relevant to </w:t>
            </w:r>
            <w:r w:rsidR="001F31A0" w:rsidRPr="005B5418">
              <w:rPr>
                <w:rFonts w:eastAsia="Arial Unicode MS"/>
              </w:rPr>
              <w:t xml:space="preserve">the </w:t>
            </w:r>
            <w:r w:rsidRPr="005B5418">
              <w:rPr>
                <w:rFonts w:eastAsia="Arial Unicode MS"/>
              </w:rPr>
              <w:t>debt</w:t>
            </w:r>
            <w:r w:rsidR="001F31A0" w:rsidRPr="005B5418">
              <w:rPr>
                <w:rFonts w:eastAsia="Arial Unicode MS"/>
              </w:rPr>
              <w:t xml:space="preserve"> securities</w:t>
            </w:r>
            <w:r w:rsidRPr="005B5418">
              <w:rPr>
                <w:rFonts w:eastAsia="Arial Unicode MS"/>
              </w:rPr>
              <w:t xml:space="preserve"> (e.g., redemption or call of debts owed to the public before maturity dates, write-offs of debts owed </w:t>
            </w:r>
            <w:r w:rsidR="00651698" w:rsidRPr="005B5418">
              <w:rPr>
                <w:rFonts w:eastAsia="Arial Unicode MS"/>
              </w:rPr>
              <w:t xml:space="preserve">to </w:t>
            </w:r>
            <w:r w:rsidRPr="005B5418">
              <w:rPr>
                <w:rFonts w:eastAsia="Arial Unicode MS"/>
              </w:rPr>
              <w:t>Treasury or the Federal Financing Bank)? (A-136, section II.3.8.14</w:t>
            </w:r>
            <w:r w:rsidR="00CE0379" w:rsidRPr="005B5418">
              <w:rPr>
                <w:rFonts w:eastAsia="Arial Unicode MS"/>
              </w:rPr>
              <w:t>A</w:t>
            </w:r>
            <w:r w:rsidRPr="005B5418">
              <w:rPr>
                <w:rFonts w:eastAsia="Arial Unicode MS"/>
              </w:rPr>
              <w:t>)</w:t>
            </w:r>
          </w:p>
        </w:tc>
        <w:tc>
          <w:tcPr>
            <w:tcW w:w="970" w:type="dxa"/>
          </w:tcPr>
          <w:p w14:paraId="7C6F51C5" w14:textId="77777777" w:rsidR="009118E5" w:rsidRPr="005B5418" w:rsidRDefault="009118E5" w:rsidP="003B61E9">
            <w:pPr>
              <w:pStyle w:val="Table-Cell-CenterBoldBefore6ptAfter6pt"/>
              <w:rPr>
                <w:rFonts w:cs="Arial"/>
              </w:rPr>
            </w:pPr>
          </w:p>
        </w:tc>
        <w:tc>
          <w:tcPr>
            <w:tcW w:w="3209" w:type="dxa"/>
          </w:tcPr>
          <w:p w14:paraId="55A0FFA8" w14:textId="77777777" w:rsidR="009118E5" w:rsidRPr="005B5418" w:rsidRDefault="009118E5" w:rsidP="003B61E9">
            <w:pPr>
              <w:pStyle w:val="Table-Cell-Left"/>
              <w:spacing w:line="240" w:lineRule="auto"/>
              <w:rPr>
                <w:rFonts w:cs="Arial"/>
              </w:rPr>
            </w:pPr>
          </w:p>
        </w:tc>
      </w:tr>
    </w:tbl>
    <w:p w14:paraId="1C65432A" w14:textId="77777777" w:rsidR="00CB5871" w:rsidRPr="005B5418" w:rsidRDefault="00CB5871">
      <w:r w:rsidRPr="005B5418">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6"/>
        <w:gridCol w:w="970"/>
        <w:gridCol w:w="19"/>
        <w:gridCol w:w="3191"/>
      </w:tblGrid>
      <w:tr w:rsidR="008152C6" w:rsidRPr="005B5418" w14:paraId="69E67B81" w14:textId="77777777" w:rsidTr="00F3192D">
        <w:trPr>
          <w:trHeight w:val="20"/>
        </w:trPr>
        <w:tc>
          <w:tcPr>
            <w:tcW w:w="5396" w:type="dxa"/>
          </w:tcPr>
          <w:p w14:paraId="0E2D4BC6" w14:textId="3F720DDE" w:rsidR="008152C6" w:rsidRPr="005B5418" w:rsidRDefault="00CB5871" w:rsidP="00201D6B">
            <w:pPr>
              <w:pStyle w:val="Heading4"/>
              <w:spacing w:line="240" w:lineRule="auto"/>
              <w:rPr>
                <w:b/>
                <w:u w:val="none"/>
              </w:rPr>
            </w:pPr>
            <w:bookmarkStart w:id="180" w:name="_II.3.8.14B_Debt_(14B)"/>
            <w:bookmarkEnd w:id="180"/>
            <w:r w:rsidRPr="005B5418">
              <w:rPr>
                <w:b/>
                <w:u w:val="none"/>
              </w:rPr>
              <w:lastRenderedPageBreak/>
              <w:t>II.3.8.14</w:t>
            </w:r>
            <w:r w:rsidR="0063099B" w:rsidRPr="005B5418">
              <w:rPr>
                <w:b/>
                <w:u w:val="none"/>
              </w:rPr>
              <w:t>B</w:t>
            </w:r>
            <w:r w:rsidRPr="005B5418">
              <w:rPr>
                <w:b/>
                <w:u w:val="none"/>
              </w:rPr>
              <w:t xml:space="preserve"> Debt (14B)</w:t>
            </w:r>
          </w:p>
        </w:tc>
        <w:tc>
          <w:tcPr>
            <w:tcW w:w="970" w:type="dxa"/>
          </w:tcPr>
          <w:p w14:paraId="7AC0B674" w14:textId="5745BA89" w:rsidR="008152C6" w:rsidRPr="005B5418" w:rsidRDefault="008152C6" w:rsidP="00CB5871">
            <w:pPr>
              <w:pStyle w:val="Table-Cell-CenterBoldBefore6ptAfter6pt"/>
              <w:spacing w:before="0"/>
              <w:jc w:val="left"/>
              <w:rPr>
                <w:rFonts w:cs="Arial"/>
                <w:szCs w:val="22"/>
              </w:rPr>
            </w:pPr>
            <w:r w:rsidRPr="005B5418">
              <w:rPr>
                <w:szCs w:val="22"/>
              </w:rPr>
              <w:t>Yes, No, or N/A</w:t>
            </w:r>
          </w:p>
        </w:tc>
        <w:tc>
          <w:tcPr>
            <w:tcW w:w="3210" w:type="dxa"/>
            <w:gridSpan w:val="2"/>
          </w:tcPr>
          <w:p w14:paraId="4E2483F0" w14:textId="2911EEE4" w:rsidR="008152C6" w:rsidRPr="005B5418" w:rsidRDefault="008152C6" w:rsidP="00CB5871">
            <w:pPr>
              <w:pStyle w:val="Table-Cell-Left"/>
              <w:spacing w:line="240" w:lineRule="auto"/>
              <w:jc w:val="left"/>
              <w:rPr>
                <w:rFonts w:cs="Arial"/>
                <w:b/>
                <w:sz w:val="22"/>
                <w:szCs w:val="22"/>
              </w:rPr>
            </w:pPr>
            <w:r w:rsidRPr="005B5418">
              <w:rPr>
                <w:b/>
                <w:sz w:val="22"/>
                <w:szCs w:val="22"/>
              </w:rPr>
              <w:t>Explanation and Reference</w:t>
            </w:r>
          </w:p>
        </w:tc>
      </w:tr>
      <w:tr w:rsidR="00F3192D" w:rsidRPr="005B5418" w14:paraId="204F2CA1" w14:textId="77777777" w:rsidTr="00151F8C">
        <w:trPr>
          <w:trHeight w:val="20"/>
        </w:trPr>
        <w:tc>
          <w:tcPr>
            <w:tcW w:w="9576" w:type="dxa"/>
            <w:gridSpan w:val="4"/>
          </w:tcPr>
          <w:p w14:paraId="0FFD41E5" w14:textId="1119399B" w:rsidR="00F3192D" w:rsidRPr="005B5418" w:rsidRDefault="00F3192D" w:rsidP="002A487C">
            <w:pPr>
              <w:pStyle w:val="BodyText"/>
              <w:spacing w:line="240" w:lineRule="auto"/>
              <w:jc w:val="left"/>
              <w:rPr>
                <w:sz w:val="22"/>
                <w:szCs w:val="22"/>
              </w:rPr>
            </w:pPr>
            <w:r w:rsidRPr="005B5418">
              <w:rPr>
                <w:b/>
                <w:sz w:val="22"/>
                <w:szCs w:val="22"/>
              </w:rPr>
              <w:t>Debt</w:t>
            </w:r>
            <w:r w:rsidRPr="005B5418">
              <w:rPr>
                <w:sz w:val="22"/>
                <w:szCs w:val="22"/>
              </w:rPr>
              <w:t xml:space="preserve"> is the intragovernmental amount borrowed by reporting entities that do not have the authority to issue securities.</w:t>
            </w:r>
            <w:r w:rsidR="005B4C99" w:rsidRPr="005B5418">
              <w:rPr>
                <w:sz w:val="22"/>
                <w:szCs w:val="22"/>
              </w:rPr>
              <w:t xml:space="preserve"> </w:t>
            </w:r>
            <w:r w:rsidRPr="005B5418">
              <w:rPr>
                <w:sz w:val="22"/>
                <w:szCs w:val="22"/>
              </w:rPr>
              <w:t>The components of debt must be disclosed</w:t>
            </w:r>
            <w:r w:rsidR="00865EF9" w:rsidRPr="005B5418">
              <w:rPr>
                <w:sz w:val="22"/>
                <w:szCs w:val="22"/>
              </w:rPr>
              <w:t>.</w:t>
            </w:r>
            <w:r w:rsidR="005B4C99" w:rsidRPr="005B5418">
              <w:rPr>
                <w:sz w:val="22"/>
                <w:szCs w:val="22"/>
              </w:rPr>
              <w:t xml:space="preserve"> </w:t>
            </w:r>
            <w:r w:rsidRPr="005B5418">
              <w:rPr>
                <w:sz w:val="22"/>
                <w:szCs w:val="22"/>
              </w:rPr>
              <w:t xml:space="preserve">(A-136, section II.3.2.4). </w:t>
            </w:r>
          </w:p>
          <w:p w14:paraId="27CC0007" w14:textId="1DC77B8D" w:rsidR="00F3192D" w:rsidRPr="005B5418" w:rsidRDefault="00DE6278" w:rsidP="002A487C">
            <w:pPr>
              <w:pStyle w:val="BodyText"/>
              <w:spacing w:line="240" w:lineRule="auto"/>
              <w:jc w:val="left"/>
              <w:rPr>
                <w:sz w:val="22"/>
                <w:szCs w:val="22"/>
              </w:rPr>
            </w:pPr>
            <w:r w:rsidRPr="005B5418">
              <w:rPr>
                <w:b/>
                <w:spacing w:val="-1"/>
                <w:sz w:val="22"/>
                <w:szCs w:val="22"/>
              </w:rPr>
              <w:t>D</w:t>
            </w:r>
            <w:r w:rsidR="00F3192D" w:rsidRPr="005B5418">
              <w:rPr>
                <w:b/>
                <w:spacing w:val="-1"/>
                <w:sz w:val="22"/>
                <w:szCs w:val="22"/>
              </w:rPr>
              <w:t>ebt</w:t>
            </w:r>
            <w:r w:rsidR="00F3192D" w:rsidRPr="005B5418">
              <w:rPr>
                <w:spacing w:val="-1"/>
                <w:sz w:val="22"/>
                <w:szCs w:val="22"/>
              </w:rPr>
              <w:t xml:space="preserve"> </w:t>
            </w:r>
            <w:r w:rsidRPr="005B5418">
              <w:rPr>
                <w:spacing w:val="-1"/>
                <w:sz w:val="22"/>
                <w:szCs w:val="22"/>
              </w:rPr>
              <w:t xml:space="preserve">includes </w:t>
            </w:r>
            <w:r w:rsidR="0063099B" w:rsidRPr="005B5418">
              <w:rPr>
                <w:spacing w:val="-1"/>
                <w:sz w:val="22"/>
                <w:szCs w:val="22"/>
              </w:rPr>
              <w:t xml:space="preserve">debt </w:t>
            </w:r>
            <w:r w:rsidR="0024250E" w:rsidRPr="005B5418">
              <w:rPr>
                <w:spacing w:val="-1"/>
                <w:sz w:val="22"/>
                <w:szCs w:val="22"/>
              </w:rPr>
              <w:t>(</w:t>
            </w:r>
            <w:r w:rsidR="00F3192D" w:rsidRPr="005B5418">
              <w:rPr>
                <w:spacing w:val="-1"/>
                <w:sz w:val="22"/>
                <w:szCs w:val="22"/>
              </w:rPr>
              <w:t xml:space="preserve">payment certificates) of the Export Import Bank, and amounts owed </w:t>
            </w:r>
            <w:r w:rsidR="00F3192D" w:rsidRPr="005B5418">
              <w:rPr>
                <w:sz w:val="22"/>
                <w:szCs w:val="22"/>
              </w:rPr>
              <w:t xml:space="preserve">to the Federal Financing Bank, </w:t>
            </w:r>
            <w:r w:rsidR="00F3192D" w:rsidRPr="005B5418">
              <w:rPr>
                <w:spacing w:val="-2"/>
                <w:sz w:val="22"/>
                <w:szCs w:val="22"/>
              </w:rPr>
              <w:t>Treasury other than the Federal Financing Bank,</w:t>
            </w:r>
            <w:r w:rsidR="00F3192D" w:rsidRPr="005B5418">
              <w:rPr>
                <w:sz w:val="22"/>
                <w:szCs w:val="22"/>
              </w:rPr>
              <w:t xml:space="preserve"> other Federal agencies, and the public. It also includes </w:t>
            </w:r>
            <w:r w:rsidR="00F3192D" w:rsidRPr="005B5418">
              <w:rPr>
                <w:spacing w:val="-2"/>
                <w:sz w:val="22"/>
                <w:szCs w:val="22"/>
              </w:rPr>
              <w:t>direct</w:t>
            </w:r>
            <w:r w:rsidR="00F3192D" w:rsidRPr="005B5418">
              <w:rPr>
                <w:sz w:val="22"/>
                <w:szCs w:val="22"/>
              </w:rPr>
              <w:t xml:space="preserve"> </w:t>
            </w:r>
            <w:r w:rsidR="00F3192D" w:rsidRPr="005B5418">
              <w:rPr>
                <w:spacing w:val="-1"/>
                <w:sz w:val="22"/>
                <w:szCs w:val="22"/>
              </w:rPr>
              <w:t>loan</w:t>
            </w:r>
            <w:r w:rsidR="00F3192D" w:rsidRPr="005B5418">
              <w:rPr>
                <w:spacing w:val="2"/>
                <w:sz w:val="22"/>
                <w:szCs w:val="22"/>
              </w:rPr>
              <w:t xml:space="preserve"> </w:t>
            </w:r>
            <w:r w:rsidR="00F3192D" w:rsidRPr="005B5418">
              <w:rPr>
                <w:spacing w:val="-2"/>
                <w:sz w:val="22"/>
                <w:szCs w:val="22"/>
              </w:rPr>
              <w:t>and</w:t>
            </w:r>
            <w:r w:rsidR="00F3192D" w:rsidRPr="005B5418">
              <w:rPr>
                <w:sz w:val="22"/>
                <w:szCs w:val="22"/>
              </w:rPr>
              <w:t xml:space="preserve"> </w:t>
            </w:r>
            <w:r w:rsidR="00F3192D" w:rsidRPr="005B5418">
              <w:rPr>
                <w:spacing w:val="-2"/>
                <w:sz w:val="22"/>
                <w:szCs w:val="22"/>
              </w:rPr>
              <w:t>guaranteed</w:t>
            </w:r>
            <w:r w:rsidR="00F3192D" w:rsidRPr="005B5418">
              <w:rPr>
                <w:sz w:val="22"/>
                <w:szCs w:val="22"/>
              </w:rPr>
              <w:t xml:space="preserve"> </w:t>
            </w:r>
            <w:r w:rsidR="00F3192D" w:rsidRPr="005B5418">
              <w:rPr>
                <w:spacing w:val="-2"/>
                <w:sz w:val="22"/>
                <w:szCs w:val="22"/>
              </w:rPr>
              <w:t>loan</w:t>
            </w:r>
            <w:r w:rsidR="00F3192D" w:rsidRPr="005B5418">
              <w:rPr>
                <w:sz w:val="22"/>
                <w:szCs w:val="22"/>
              </w:rPr>
              <w:t xml:space="preserve"> </w:t>
            </w:r>
            <w:r w:rsidR="00F3192D" w:rsidRPr="005B5418">
              <w:rPr>
                <w:spacing w:val="-2"/>
                <w:sz w:val="22"/>
                <w:szCs w:val="22"/>
              </w:rPr>
              <w:t>financing</w:t>
            </w:r>
            <w:r w:rsidR="00F3192D" w:rsidRPr="005B5418">
              <w:rPr>
                <w:spacing w:val="-1"/>
                <w:sz w:val="22"/>
                <w:szCs w:val="22"/>
              </w:rPr>
              <w:t xml:space="preserve"> account</w:t>
            </w:r>
            <w:r w:rsidR="00F3192D" w:rsidRPr="005B5418">
              <w:rPr>
                <w:spacing w:val="1"/>
                <w:sz w:val="22"/>
                <w:szCs w:val="22"/>
              </w:rPr>
              <w:t xml:space="preserve"> </w:t>
            </w:r>
            <w:r w:rsidR="00F3192D" w:rsidRPr="005B5418">
              <w:rPr>
                <w:spacing w:val="-1"/>
                <w:sz w:val="22"/>
                <w:szCs w:val="22"/>
              </w:rPr>
              <w:t>debt</w:t>
            </w:r>
            <w:r w:rsidR="00F3192D" w:rsidRPr="005B5418">
              <w:rPr>
                <w:sz w:val="22"/>
                <w:szCs w:val="22"/>
              </w:rPr>
              <w:t xml:space="preserve"> (owed to Treasury other than the Federal Financing Bank)</w:t>
            </w:r>
            <w:r w:rsidR="00F3192D" w:rsidRPr="005B5418">
              <w:rPr>
                <w:spacing w:val="-2"/>
                <w:sz w:val="22"/>
                <w:szCs w:val="22"/>
              </w:rPr>
              <w:t>.</w:t>
            </w:r>
          </w:p>
          <w:p w14:paraId="0BC1AE7A" w14:textId="77777777" w:rsidR="00F3192D" w:rsidRPr="005B5418" w:rsidRDefault="00F3192D" w:rsidP="002A487C">
            <w:pPr>
              <w:pStyle w:val="Table-Cell-Left"/>
              <w:spacing w:line="240" w:lineRule="auto"/>
              <w:jc w:val="left"/>
              <w:rPr>
                <w:b/>
                <w:sz w:val="22"/>
                <w:szCs w:val="22"/>
              </w:rPr>
            </w:pPr>
          </w:p>
        </w:tc>
      </w:tr>
      <w:tr w:rsidR="00F3192D" w:rsidRPr="005B5418" w14:paraId="65C2B266" w14:textId="77777777" w:rsidTr="00151F8C">
        <w:trPr>
          <w:trHeight w:val="20"/>
        </w:trPr>
        <w:tc>
          <w:tcPr>
            <w:tcW w:w="9576" w:type="dxa"/>
            <w:gridSpan w:val="4"/>
          </w:tcPr>
          <w:p w14:paraId="52D23832" w14:textId="6D7EDB17" w:rsidR="00F3192D" w:rsidRPr="005B5418" w:rsidRDefault="00F3192D" w:rsidP="00F3192D">
            <w:pPr>
              <w:pStyle w:val="BodyText"/>
              <w:spacing w:line="240" w:lineRule="auto"/>
              <w:rPr>
                <w:b/>
                <w:sz w:val="22"/>
                <w:szCs w:val="22"/>
              </w:rPr>
            </w:pPr>
            <w:r w:rsidRPr="005B5418">
              <w:rPr>
                <w:rFonts w:cs="Arial"/>
                <w:b/>
                <w:sz w:val="22"/>
                <w:szCs w:val="22"/>
              </w:rPr>
              <w:t>Disclosure</w:t>
            </w:r>
          </w:p>
        </w:tc>
      </w:tr>
      <w:tr w:rsidR="00FD4F44" w:rsidRPr="005B5418" w14:paraId="36D88D5D" w14:textId="77777777" w:rsidTr="00F3192D">
        <w:trPr>
          <w:trHeight w:val="20"/>
        </w:trPr>
        <w:tc>
          <w:tcPr>
            <w:tcW w:w="5396" w:type="dxa"/>
          </w:tcPr>
          <w:p w14:paraId="613BB09B" w14:textId="5E2F175D" w:rsidR="00FD4F44" w:rsidRPr="005B5418" w:rsidRDefault="00FD4F44" w:rsidP="0091674B">
            <w:pPr>
              <w:pStyle w:val="FAM-Table-outline"/>
              <w:numPr>
                <w:ilvl w:val="0"/>
                <w:numId w:val="113"/>
              </w:numPr>
              <w:spacing w:line="240" w:lineRule="auto"/>
              <w:rPr>
                <w:rFonts w:eastAsia="Arial Unicode MS"/>
              </w:rPr>
            </w:pPr>
            <w:r w:rsidRPr="005B5418">
              <w:rPr>
                <w:rFonts w:eastAsia="Arial Unicode MS"/>
              </w:rPr>
              <w:t>Does the entity’s disclosure include the i) Beginning Balance, ii) Borrowing,</w:t>
            </w:r>
            <w:r w:rsidR="00FE3AC5" w:rsidRPr="005B5418">
              <w:rPr>
                <w:rFonts w:eastAsia="Arial Unicode MS"/>
              </w:rPr>
              <w:t xml:space="preserve"> iii) Repayment, iv) Interest,</w:t>
            </w:r>
            <w:r w:rsidRPr="005B5418">
              <w:rPr>
                <w:rFonts w:eastAsia="Arial Unicode MS"/>
              </w:rPr>
              <w:t xml:space="preserve"> and </w:t>
            </w:r>
            <w:r w:rsidR="00FE3AC5" w:rsidRPr="005B5418">
              <w:rPr>
                <w:rFonts w:eastAsia="Arial Unicode MS"/>
              </w:rPr>
              <w:t>v</w:t>
            </w:r>
            <w:r w:rsidRPr="005B5418">
              <w:rPr>
                <w:rFonts w:eastAsia="Arial Unicode MS"/>
              </w:rPr>
              <w:t>) Ending Balance for the following sources of debt, as applicable:</w:t>
            </w:r>
          </w:p>
          <w:p w14:paraId="49F309FE" w14:textId="237D67A5" w:rsidR="00FD4F44" w:rsidRPr="005B5418" w:rsidRDefault="005E4CAD" w:rsidP="0091674B">
            <w:pPr>
              <w:pStyle w:val="FAM-Table-outline"/>
              <w:widowControl/>
              <w:numPr>
                <w:ilvl w:val="0"/>
                <w:numId w:val="82"/>
              </w:numPr>
              <w:adjustRightInd/>
              <w:spacing w:line="240" w:lineRule="auto"/>
              <w:textAlignment w:val="auto"/>
              <w:rPr>
                <w:rFonts w:cs="Arial"/>
              </w:rPr>
            </w:pPr>
            <w:r w:rsidRPr="005B5418">
              <w:rPr>
                <w:rFonts w:cs="Arial"/>
              </w:rPr>
              <w:t>Debt Owed to the Federal Financing Bank</w:t>
            </w:r>
            <w:r w:rsidR="00FD4F44" w:rsidRPr="005B5418">
              <w:rPr>
                <w:rFonts w:cs="Arial"/>
              </w:rPr>
              <w:t>,</w:t>
            </w:r>
          </w:p>
          <w:p w14:paraId="0BD32D65" w14:textId="7D467C2F" w:rsidR="00FD4F44" w:rsidRPr="005B5418" w:rsidRDefault="005E4CAD" w:rsidP="0091674B">
            <w:pPr>
              <w:pStyle w:val="FAM-Table-outline"/>
              <w:widowControl/>
              <w:numPr>
                <w:ilvl w:val="0"/>
                <w:numId w:val="82"/>
              </w:numPr>
              <w:adjustRightInd/>
              <w:spacing w:line="240" w:lineRule="auto"/>
              <w:textAlignment w:val="auto"/>
              <w:rPr>
                <w:rFonts w:cs="Arial"/>
              </w:rPr>
            </w:pPr>
            <w:r w:rsidRPr="005B5418">
              <w:rPr>
                <w:rFonts w:cs="Arial"/>
              </w:rPr>
              <w:t xml:space="preserve">Debt Owed to Treasury other than </w:t>
            </w:r>
            <w:r w:rsidR="00F77657" w:rsidRPr="005B5418">
              <w:rPr>
                <w:rFonts w:cs="Arial"/>
              </w:rPr>
              <w:t xml:space="preserve">the </w:t>
            </w:r>
            <w:r w:rsidRPr="005B5418">
              <w:rPr>
                <w:rFonts w:cs="Arial"/>
              </w:rPr>
              <w:t>F</w:t>
            </w:r>
            <w:r w:rsidR="00F77657" w:rsidRPr="005B5418">
              <w:rPr>
                <w:rFonts w:cs="Arial"/>
              </w:rPr>
              <w:t xml:space="preserve">ederal </w:t>
            </w:r>
            <w:r w:rsidRPr="005B5418">
              <w:rPr>
                <w:rFonts w:cs="Arial"/>
              </w:rPr>
              <w:t>F</w:t>
            </w:r>
            <w:r w:rsidR="00F77657" w:rsidRPr="005B5418">
              <w:rPr>
                <w:rFonts w:cs="Arial"/>
              </w:rPr>
              <w:t xml:space="preserve">inancing </w:t>
            </w:r>
            <w:r w:rsidRPr="005B5418">
              <w:rPr>
                <w:rFonts w:cs="Arial"/>
              </w:rPr>
              <w:t>B</w:t>
            </w:r>
            <w:r w:rsidR="00F77657" w:rsidRPr="005B5418">
              <w:rPr>
                <w:rFonts w:cs="Arial"/>
              </w:rPr>
              <w:t>ank</w:t>
            </w:r>
            <w:r w:rsidR="00FD4F44" w:rsidRPr="005B5418">
              <w:rPr>
                <w:rFonts w:cs="Arial"/>
              </w:rPr>
              <w:t>,</w:t>
            </w:r>
          </w:p>
          <w:p w14:paraId="3F81202F" w14:textId="24D93BB3" w:rsidR="00FD4F44" w:rsidRPr="005B5418" w:rsidRDefault="005E4CAD" w:rsidP="0091674B">
            <w:pPr>
              <w:pStyle w:val="FAM-Table-outline"/>
              <w:widowControl/>
              <w:numPr>
                <w:ilvl w:val="0"/>
                <w:numId w:val="82"/>
              </w:numPr>
              <w:adjustRightInd/>
              <w:spacing w:line="240" w:lineRule="auto"/>
              <w:textAlignment w:val="auto"/>
              <w:rPr>
                <w:rFonts w:cs="Arial"/>
              </w:rPr>
            </w:pPr>
            <w:r w:rsidRPr="005B5418">
              <w:rPr>
                <w:rFonts w:cs="Arial"/>
              </w:rPr>
              <w:t>Debt Owed to Other Federal Agencies</w:t>
            </w:r>
            <w:r w:rsidR="00FD4F44" w:rsidRPr="005B5418">
              <w:rPr>
                <w:rFonts w:cs="Arial"/>
              </w:rPr>
              <w:t>,</w:t>
            </w:r>
            <w:r w:rsidRPr="005B5418">
              <w:rPr>
                <w:rFonts w:cs="Arial"/>
              </w:rPr>
              <w:t xml:space="preserve"> and</w:t>
            </w:r>
          </w:p>
          <w:p w14:paraId="672BFE22" w14:textId="71AF0A8D" w:rsidR="00FD4F44" w:rsidRPr="005B5418" w:rsidRDefault="005E4CAD" w:rsidP="0091674B">
            <w:pPr>
              <w:pStyle w:val="FAM-Table-outline"/>
              <w:widowControl/>
              <w:numPr>
                <w:ilvl w:val="0"/>
                <w:numId w:val="82"/>
              </w:numPr>
              <w:adjustRightInd/>
              <w:spacing w:line="240" w:lineRule="auto"/>
              <w:textAlignment w:val="auto"/>
              <w:rPr>
                <w:rFonts w:cs="Arial"/>
                <w:b/>
                <w:szCs w:val="22"/>
              </w:rPr>
            </w:pPr>
            <w:r w:rsidRPr="005B5418">
              <w:rPr>
                <w:rFonts w:cs="Arial"/>
              </w:rPr>
              <w:t>Debt Owed to the Public</w:t>
            </w:r>
            <w:r w:rsidR="00FD4F44" w:rsidRPr="005B5418">
              <w:rPr>
                <w:rFonts w:cs="Arial"/>
              </w:rPr>
              <w:t xml:space="preserve">? (See illustrative </w:t>
            </w:r>
            <w:r w:rsidRPr="005B5418">
              <w:rPr>
                <w:rFonts w:cs="Arial"/>
              </w:rPr>
              <w:t xml:space="preserve">table in A-136, section </w:t>
            </w:r>
            <w:r w:rsidR="00FD4F44" w:rsidRPr="005B5418">
              <w:rPr>
                <w:rFonts w:cs="Arial"/>
              </w:rPr>
              <w:t>II.3.8.1</w:t>
            </w:r>
            <w:r w:rsidRPr="005B5418">
              <w:rPr>
                <w:rFonts w:cs="Arial"/>
              </w:rPr>
              <w:t>4B)</w:t>
            </w:r>
          </w:p>
        </w:tc>
        <w:tc>
          <w:tcPr>
            <w:tcW w:w="989" w:type="dxa"/>
            <w:gridSpan w:val="2"/>
          </w:tcPr>
          <w:p w14:paraId="1DC14B00" w14:textId="77777777" w:rsidR="00FD4F44" w:rsidRPr="005B5418" w:rsidRDefault="00FD4F44" w:rsidP="00FD4F44">
            <w:pPr>
              <w:pStyle w:val="BodyText"/>
              <w:spacing w:line="240" w:lineRule="auto"/>
              <w:rPr>
                <w:rFonts w:cs="Arial"/>
                <w:b/>
                <w:sz w:val="22"/>
                <w:szCs w:val="22"/>
              </w:rPr>
            </w:pPr>
          </w:p>
        </w:tc>
        <w:tc>
          <w:tcPr>
            <w:tcW w:w="3191" w:type="dxa"/>
          </w:tcPr>
          <w:p w14:paraId="0749D762" w14:textId="66084AD7" w:rsidR="00FD4F44" w:rsidRPr="005B5418" w:rsidRDefault="00FD4F44" w:rsidP="00FD4F44">
            <w:pPr>
              <w:pStyle w:val="BodyText"/>
              <w:spacing w:line="240" w:lineRule="auto"/>
              <w:rPr>
                <w:rFonts w:cs="Arial"/>
                <w:b/>
                <w:sz w:val="22"/>
                <w:szCs w:val="22"/>
              </w:rPr>
            </w:pPr>
          </w:p>
        </w:tc>
      </w:tr>
    </w:tbl>
    <w:p w14:paraId="75BB9F9D" w14:textId="77777777" w:rsidR="009118E5" w:rsidRPr="005B5418" w:rsidRDefault="009118E5" w:rsidP="003B61E9">
      <w:pPr>
        <w:spacing w:line="240" w:lineRule="auto"/>
        <w:rPr>
          <w:rFonts w:cs="Arial"/>
        </w:rPr>
      </w:pPr>
    </w:p>
    <w:p w14:paraId="0FDFA6EC" w14:textId="77777777" w:rsidR="008152C6" w:rsidRPr="005B5418" w:rsidRDefault="009118E5" w:rsidP="003B61E9">
      <w:pPr>
        <w:spacing w:line="240" w:lineRule="auto"/>
        <w:rPr>
          <w:rFonts w:cs="Arial"/>
        </w:rPr>
      </w:pPr>
      <w:r w:rsidRPr="005B5418">
        <w:rPr>
          <w:rFonts w:cs="Arial"/>
        </w:rPr>
        <w:br w:type="page"/>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0"/>
        <w:gridCol w:w="965"/>
        <w:gridCol w:w="3211"/>
      </w:tblGrid>
      <w:tr w:rsidR="009118E5" w:rsidRPr="005B5418" w14:paraId="677821B2" w14:textId="77777777" w:rsidTr="00052522">
        <w:trPr>
          <w:tblHeader/>
        </w:trPr>
        <w:tc>
          <w:tcPr>
            <w:tcW w:w="5410" w:type="dxa"/>
          </w:tcPr>
          <w:p w14:paraId="74E4C846" w14:textId="61EFCCB2" w:rsidR="009118E5" w:rsidRPr="005B5418" w:rsidRDefault="009118E5" w:rsidP="008848DA">
            <w:pPr>
              <w:pStyle w:val="Heading4"/>
              <w:spacing w:before="60" w:after="60" w:line="240" w:lineRule="auto"/>
              <w:jc w:val="left"/>
              <w:rPr>
                <w:b/>
                <w:u w:val="none"/>
              </w:rPr>
            </w:pPr>
            <w:bookmarkStart w:id="181" w:name="_II.3.8.15_Federal_Employee"/>
            <w:bookmarkStart w:id="182" w:name="_Ref8637923"/>
            <w:bookmarkEnd w:id="181"/>
            <w:r w:rsidRPr="005B5418">
              <w:rPr>
                <w:b/>
                <w:u w:val="none"/>
              </w:rPr>
              <w:lastRenderedPageBreak/>
              <w:t>II.3.8.15 Federal Employee and Veteran</w:t>
            </w:r>
            <w:r w:rsidR="00000253" w:rsidRPr="005B5418">
              <w:rPr>
                <w:b/>
                <w:u w:val="none"/>
              </w:rPr>
              <w:t>s</w:t>
            </w:r>
            <w:r w:rsidRPr="005B5418">
              <w:rPr>
                <w:b/>
                <w:u w:val="none"/>
              </w:rPr>
              <w:t xml:space="preserve"> Benefits</w:t>
            </w:r>
            <w:bookmarkEnd w:id="182"/>
            <w:r w:rsidR="009A5384" w:rsidRPr="005B5418">
              <w:rPr>
                <w:b/>
                <w:u w:val="none"/>
              </w:rPr>
              <w:t xml:space="preserve"> Payable</w:t>
            </w:r>
          </w:p>
        </w:tc>
        <w:tc>
          <w:tcPr>
            <w:tcW w:w="965" w:type="dxa"/>
          </w:tcPr>
          <w:p w14:paraId="07E40C89" w14:textId="77777777" w:rsidR="009118E5" w:rsidRPr="005B5418" w:rsidRDefault="009118E5" w:rsidP="008848DA">
            <w:pPr>
              <w:pStyle w:val="TableCellCenter"/>
              <w:spacing w:before="60" w:after="60"/>
              <w:jc w:val="left"/>
            </w:pPr>
            <w:r w:rsidRPr="005B5418">
              <w:t>Yes, No, or N/A</w:t>
            </w:r>
          </w:p>
        </w:tc>
        <w:tc>
          <w:tcPr>
            <w:tcW w:w="3211" w:type="dxa"/>
          </w:tcPr>
          <w:p w14:paraId="52C194D9" w14:textId="4BFD9562" w:rsidR="009118E5" w:rsidRPr="005B5418" w:rsidRDefault="009118E5" w:rsidP="008848DA">
            <w:pPr>
              <w:pStyle w:val="TableCellCenter"/>
              <w:spacing w:before="60" w:after="60"/>
              <w:jc w:val="left"/>
            </w:pPr>
            <w:r w:rsidRPr="005B5418">
              <w:t xml:space="preserve">Explanation </w:t>
            </w:r>
            <w:r w:rsidR="002D2856" w:rsidRPr="005B5418">
              <w:t xml:space="preserve">and </w:t>
            </w:r>
            <w:r w:rsidRPr="005B5418">
              <w:t>Reference</w:t>
            </w:r>
          </w:p>
        </w:tc>
      </w:tr>
      <w:tr w:rsidR="000F633B" w:rsidRPr="005B5418" w14:paraId="02EE073A" w14:textId="77777777" w:rsidTr="000F633B">
        <w:tc>
          <w:tcPr>
            <w:tcW w:w="9586" w:type="dxa"/>
            <w:gridSpan w:val="3"/>
          </w:tcPr>
          <w:p w14:paraId="2AA3AA4F" w14:textId="00D53937" w:rsidR="00DF543C" w:rsidRPr="005B5418" w:rsidRDefault="00066329"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 xml:space="preserve">The Federal Employee [and Veterans] Benefits Payable </w:t>
            </w:r>
            <w:r w:rsidR="00ED0A84" w:rsidRPr="005B5418">
              <w:rPr>
                <w:rFonts w:ascii="Arial" w:eastAsia="Times New Roman" w:hAnsi="Arial" w:cs="Arial"/>
                <w:color w:val="000000"/>
              </w:rPr>
              <w:t>note</w:t>
            </w:r>
            <w:r w:rsidR="00347A6F" w:rsidRPr="005B5418">
              <w:rPr>
                <w:rFonts w:ascii="Arial" w:eastAsia="Times New Roman" w:hAnsi="Arial" w:cs="Arial"/>
                <w:color w:val="000000"/>
              </w:rPr>
              <w:t xml:space="preserve"> </w:t>
            </w:r>
            <w:r w:rsidR="008A3A0B" w:rsidRPr="005B5418">
              <w:rPr>
                <w:rFonts w:ascii="Arial" w:eastAsia="Times New Roman" w:hAnsi="Arial" w:cs="Arial"/>
                <w:color w:val="000000"/>
              </w:rPr>
              <w:t>corresponds to</w:t>
            </w:r>
            <w:r w:rsidR="00347A6F" w:rsidRPr="005B5418">
              <w:rPr>
                <w:rFonts w:ascii="Arial" w:eastAsia="Times New Roman" w:hAnsi="Arial" w:cs="Arial"/>
                <w:color w:val="000000"/>
              </w:rPr>
              <w:t xml:space="preserve"> two lines on the balance sheet template</w:t>
            </w:r>
            <w:r w:rsidR="008A3A0B" w:rsidRPr="005B5418">
              <w:rPr>
                <w:rFonts w:ascii="Arial" w:eastAsia="Times New Roman" w:hAnsi="Arial" w:cs="Arial"/>
                <w:color w:val="000000"/>
              </w:rPr>
              <w:t>: Federal Employee Salary, Leave, and Benefits Payable (line 29) and Pension, Post-Employment, Federal Employee and Veterans Benefits Payable (line 30)</w:t>
            </w:r>
            <w:r w:rsidR="00347A6F" w:rsidRPr="005B5418">
              <w:rPr>
                <w:rFonts w:ascii="Arial" w:eastAsia="Times New Roman" w:hAnsi="Arial" w:cs="Arial"/>
                <w:color w:val="000000"/>
              </w:rPr>
              <w:t>.</w:t>
            </w:r>
            <w:r w:rsidR="008A3A0B" w:rsidRPr="005B5418">
              <w:rPr>
                <w:rFonts w:ascii="Arial" w:eastAsia="Times New Roman" w:hAnsi="Arial" w:cs="Arial"/>
                <w:color w:val="000000"/>
              </w:rPr>
              <w:t xml:space="preserve"> </w:t>
            </w:r>
          </w:p>
          <w:p w14:paraId="5056CF08" w14:textId="68BC4E65" w:rsidR="0057051D" w:rsidRPr="005B5418" w:rsidRDefault="008A3A0B"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Federal Employee Salary, Leave, and Benefits Payable include</w:t>
            </w:r>
            <w:r w:rsidR="00E173B0" w:rsidRPr="005B5418">
              <w:rPr>
                <w:rFonts w:ascii="Arial" w:eastAsia="Times New Roman" w:hAnsi="Arial" w:cs="Arial"/>
                <w:color w:val="000000"/>
              </w:rPr>
              <w:t>s</w:t>
            </w:r>
            <w:r w:rsidRPr="005B5418">
              <w:rPr>
                <w:rFonts w:ascii="Arial" w:eastAsia="Times New Roman" w:hAnsi="Arial" w:cs="Arial"/>
                <w:color w:val="000000"/>
              </w:rPr>
              <w:t xml:space="preserve"> salaries; wages; funded and unfunded annual leave; sick leave; the employer portion of payroll taxes and benefit contributions</w:t>
            </w:r>
            <w:r w:rsidR="007930E9" w:rsidRPr="005B5418">
              <w:t xml:space="preserve"> </w:t>
            </w:r>
            <w:r w:rsidR="007930E9" w:rsidRPr="005B5418">
              <w:rPr>
                <w:rFonts w:ascii="Arial" w:eastAsia="Times New Roman" w:hAnsi="Arial" w:cs="Arial"/>
                <w:color w:val="000000"/>
              </w:rPr>
              <w:t>(e.g., the employer contributions to the Thrift Savings Plan) that is not</w:t>
            </w:r>
            <w:r w:rsidRPr="005B5418">
              <w:rPr>
                <w:rFonts w:ascii="Arial" w:eastAsia="Times New Roman" w:hAnsi="Arial" w:cs="Arial"/>
                <w:color w:val="000000"/>
              </w:rPr>
              <w:t xml:space="preserve"> intragovernmental; the employer share of benefit </w:t>
            </w:r>
            <w:r w:rsidR="007930E9" w:rsidRPr="005B5418">
              <w:rPr>
                <w:rFonts w:ascii="Arial" w:eastAsia="Times New Roman" w:hAnsi="Arial" w:cs="Arial"/>
                <w:color w:val="000000"/>
              </w:rPr>
              <w:t xml:space="preserve">premium payables </w:t>
            </w:r>
            <w:r w:rsidRPr="005B5418">
              <w:rPr>
                <w:rFonts w:ascii="Arial" w:eastAsia="Times New Roman" w:hAnsi="Arial" w:cs="Arial"/>
                <w:color w:val="000000"/>
              </w:rPr>
              <w:t>due to benefit carriers</w:t>
            </w:r>
            <w:r w:rsidR="00E173B0" w:rsidRPr="005B5418">
              <w:rPr>
                <w:rFonts w:ascii="Arial" w:eastAsia="Times New Roman" w:hAnsi="Arial" w:cs="Arial"/>
                <w:color w:val="000000"/>
              </w:rPr>
              <w:t>;</w:t>
            </w:r>
            <w:r w:rsidRPr="005B5418">
              <w:rPr>
                <w:rFonts w:ascii="Arial" w:eastAsia="Times New Roman" w:hAnsi="Arial" w:cs="Arial"/>
                <w:color w:val="000000"/>
              </w:rPr>
              <w:t xml:space="preserve"> and employment-related liabilities not included in Pension, Post-Employment, and Veterans Benefits Payable. </w:t>
            </w:r>
            <w:r w:rsidR="0057051D" w:rsidRPr="005B5418">
              <w:rPr>
                <w:rFonts w:ascii="Arial" w:eastAsia="Times New Roman" w:hAnsi="Arial" w:cs="Arial"/>
                <w:color w:val="000000"/>
              </w:rPr>
              <w:t>See the final question</w:t>
            </w:r>
            <w:r w:rsidR="009114DE" w:rsidRPr="005B5418">
              <w:rPr>
                <w:rFonts w:ascii="Arial" w:eastAsia="Times New Roman" w:hAnsi="Arial" w:cs="Arial"/>
                <w:color w:val="000000"/>
              </w:rPr>
              <w:t xml:space="preserve"> of this topic for Federal Employee Salary, Leave, and Benefits Payable.</w:t>
            </w:r>
          </w:p>
          <w:p w14:paraId="250F4CF3" w14:textId="1ADD27F2" w:rsidR="008A3A0B" w:rsidRPr="005B5418" w:rsidRDefault="008A3A0B"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Pension, Post-Employment, Federal Employee and Veterans Benefits Payable include</w:t>
            </w:r>
            <w:r w:rsidR="00E173B0" w:rsidRPr="005B5418">
              <w:rPr>
                <w:rFonts w:ascii="Arial" w:eastAsia="Times New Roman" w:hAnsi="Arial" w:cs="Arial"/>
                <w:color w:val="000000"/>
              </w:rPr>
              <w:t>s</w:t>
            </w:r>
            <w:r w:rsidRPr="005B5418">
              <w:rPr>
                <w:rFonts w:ascii="Arial" w:eastAsia="Times New Roman" w:hAnsi="Arial" w:cs="Arial"/>
                <w:color w:val="000000"/>
              </w:rPr>
              <w:t xml:space="preserve"> pensions; postemployment benefits, including other retirement benefits (ORB) and other postemployment benefits (OPEB); veterans</w:t>
            </w:r>
            <w:r w:rsidR="00E173B0" w:rsidRPr="005B5418">
              <w:rPr>
                <w:rFonts w:ascii="Arial" w:eastAsia="Times New Roman" w:hAnsi="Arial" w:cs="Arial"/>
                <w:color w:val="000000"/>
              </w:rPr>
              <w:t>’</w:t>
            </w:r>
            <w:r w:rsidRPr="005B5418">
              <w:rPr>
                <w:rFonts w:ascii="Arial" w:eastAsia="Times New Roman" w:hAnsi="Arial" w:cs="Arial"/>
                <w:color w:val="000000"/>
              </w:rPr>
              <w:t xml:space="preserve"> benefits, including veterans</w:t>
            </w:r>
            <w:r w:rsidR="00E173B0" w:rsidRPr="005B5418">
              <w:rPr>
                <w:rFonts w:ascii="Arial" w:eastAsia="Times New Roman" w:hAnsi="Arial" w:cs="Arial"/>
                <w:color w:val="000000"/>
              </w:rPr>
              <w:t>’</w:t>
            </w:r>
            <w:r w:rsidRPr="005B5418">
              <w:rPr>
                <w:rFonts w:ascii="Arial" w:eastAsia="Times New Roman" w:hAnsi="Arial" w:cs="Arial"/>
                <w:color w:val="000000"/>
              </w:rPr>
              <w:t xml:space="preserve"> compensation, burial, education, and training benefits; life insurance actuarial liability; and the Federal Employees’ Compensation Act actuarial liability. (A-136, section II.3.2.4)</w:t>
            </w:r>
          </w:p>
          <w:p w14:paraId="06B193D7" w14:textId="19736EB4" w:rsidR="000F633B" w:rsidRPr="005B5418" w:rsidRDefault="000F633B"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 xml:space="preserve">In the context of accounting for pensions, ORB (e.g., health benefits for retirees), and OPEB, the </w:t>
            </w:r>
            <w:r w:rsidRPr="005B5418">
              <w:rPr>
                <w:rFonts w:ascii="Arial" w:eastAsia="Times New Roman" w:hAnsi="Arial" w:cs="Arial"/>
                <w:b/>
                <w:color w:val="000000"/>
              </w:rPr>
              <w:t>administrative entity</w:t>
            </w:r>
            <w:r w:rsidRPr="005B5418">
              <w:rPr>
                <w:rFonts w:ascii="Arial" w:eastAsia="Times New Roman" w:hAnsi="Arial" w:cs="Arial"/>
                <w:color w:val="000000"/>
              </w:rPr>
              <w:t xml:space="preserve"> manages and accounts for the pension or other employee plan, while the </w:t>
            </w:r>
            <w:r w:rsidRPr="005B5418">
              <w:rPr>
                <w:rFonts w:ascii="Arial" w:eastAsia="Times New Roman" w:hAnsi="Arial" w:cs="Arial"/>
                <w:b/>
                <w:color w:val="000000"/>
              </w:rPr>
              <w:t>employer entity</w:t>
            </w:r>
            <w:r w:rsidRPr="005B5418">
              <w:rPr>
                <w:rFonts w:ascii="Arial" w:eastAsia="Times New Roman" w:hAnsi="Arial" w:cs="Arial"/>
                <w:color w:val="000000"/>
              </w:rPr>
              <w:t xml:space="preserve"> employs federal workers and generates employee costs, for which it would typically receive a salary and expense appropriation, impute a financing source, or both. (SFFAS 5, par</w:t>
            </w:r>
            <w:r w:rsidR="00D32DC3" w:rsidRPr="005B5418">
              <w:rPr>
                <w:rFonts w:ascii="Arial" w:eastAsia="Times New Roman" w:hAnsi="Arial" w:cs="Arial"/>
                <w:color w:val="000000"/>
              </w:rPr>
              <w:t>a</w:t>
            </w:r>
            <w:r w:rsidRPr="005B5418">
              <w:rPr>
                <w:rFonts w:ascii="Arial" w:eastAsia="Times New Roman" w:hAnsi="Arial" w:cs="Arial"/>
                <w:color w:val="000000"/>
              </w:rPr>
              <w:t xml:space="preserve">. 57, </w:t>
            </w:r>
            <w:r w:rsidR="00865EF9" w:rsidRPr="005B5418">
              <w:rPr>
                <w:rFonts w:ascii="Arial" w:eastAsia="Times New Roman" w:hAnsi="Arial" w:cs="Arial"/>
                <w:color w:val="000000"/>
              </w:rPr>
              <w:t xml:space="preserve">fn </w:t>
            </w:r>
            <w:r w:rsidRPr="005B5418">
              <w:rPr>
                <w:rFonts w:ascii="Arial" w:eastAsia="Times New Roman" w:hAnsi="Arial" w:cs="Arial"/>
                <w:color w:val="000000"/>
              </w:rPr>
              <w:t>30</w:t>
            </w:r>
            <w:r w:rsidR="00D32DC3" w:rsidRPr="005B5418">
              <w:rPr>
                <w:rFonts w:ascii="Arial" w:eastAsia="Times New Roman" w:hAnsi="Arial" w:cs="Arial"/>
                <w:color w:val="000000"/>
              </w:rPr>
              <w:t>,</w:t>
            </w:r>
            <w:r w:rsidRPr="005B5418">
              <w:rPr>
                <w:rFonts w:ascii="Arial" w:eastAsia="Times New Roman" w:hAnsi="Arial" w:cs="Arial"/>
                <w:color w:val="000000"/>
              </w:rPr>
              <w:t xml:space="preserve"> and par</w:t>
            </w:r>
            <w:r w:rsidR="00D32DC3" w:rsidRPr="005B5418">
              <w:rPr>
                <w:rFonts w:ascii="Arial" w:eastAsia="Times New Roman" w:hAnsi="Arial" w:cs="Arial"/>
                <w:color w:val="000000"/>
              </w:rPr>
              <w:t>a</w:t>
            </w:r>
            <w:r w:rsidRPr="005B5418">
              <w:rPr>
                <w:rFonts w:ascii="Arial" w:eastAsia="Times New Roman" w:hAnsi="Arial" w:cs="Arial"/>
                <w:color w:val="000000"/>
              </w:rPr>
              <w:t xml:space="preserve">. 59) </w:t>
            </w:r>
            <w:r w:rsidR="00D32DC3" w:rsidRPr="005B5418">
              <w:rPr>
                <w:rFonts w:ascii="Arial" w:eastAsia="Times New Roman" w:hAnsi="Arial" w:cs="Arial"/>
                <w:color w:val="000000"/>
              </w:rPr>
              <w:t>Only a few federal entities (e.g., OPM and DOD) manage p</w:t>
            </w:r>
            <w:r w:rsidRPr="005B5418">
              <w:rPr>
                <w:rFonts w:ascii="Arial" w:eastAsia="Times New Roman" w:hAnsi="Arial" w:cs="Arial"/>
                <w:color w:val="000000"/>
              </w:rPr>
              <w:t>ensions and ORB</w:t>
            </w:r>
            <w:r w:rsidR="00D32DC3" w:rsidRPr="005B5418">
              <w:rPr>
                <w:rFonts w:ascii="Arial" w:eastAsia="Times New Roman" w:hAnsi="Arial" w:cs="Arial"/>
                <w:color w:val="000000"/>
              </w:rPr>
              <w:t>.</w:t>
            </w:r>
            <w:r w:rsidRPr="005B5418">
              <w:rPr>
                <w:rFonts w:ascii="Arial" w:eastAsia="Times New Roman" w:hAnsi="Arial" w:cs="Arial"/>
                <w:color w:val="000000"/>
              </w:rPr>
              <w:t xml:space="preserve"> OPEB, if provided, many times is managed and accounted for by the employer entity.</w:t>
            </w:r>
          </w:p>
          <w:p w14:paraId="65816157" w14:textId="7C6AB226" w:rsidR="000F633B" w:rsidRPr="005B5418" w:rsidRDefault="000F633B" w:rsidP="008848DA">
            <w:pPr>
              <w:keepLines/>
              <w:widowControl w:val="0"/>
              <w:adjustRightInd w:val="0"/>
              <w:spacing w:before="60" w:after="60" w:line="240" w:lineRule="auto"/>
              <w:textAlignment w:val="baseline"/>
              <w:rPr>
                <w:rFonts w:ascii="Arial" w:eastAsia="Times New Roman" w:hAnsi="Arial" w:cs="Arial"/>
                <w:b/>
                <w:color w:val="000000"/>
              </w:rPr>
            </w:pPr>
            <w:r w:rsidRPr="005B5418">
              <w:rPr>
                <w:rFonts w:ascii="Arial" w:eastAsia="Times New Roman" w:hAnsi="Arial" w:cs="Arial"/>
                <w:b/>
                <w:color w:val="000000"/>
              </w:rPr>
              <w:t>Unless otherwise</w:t>
            </w:r>
            <w:r w:rsidR="00D32DC3" w:rsidRPr="005B5418">
              <w:rPr>
                <w:rFonts w:ascii="Arial" w:eastAsia="Times New Roman" w:hAnsi="Arial" w:cs="Arial"/>
                <w:b/>
                <w:color w:val="000000"/>
              </w:rPr>
              <w:t xml:space="preserve"> noted</w:t>
            </w:r>
            <w:r w:rsidRPr="005B5418">
              <w:rPr>
                <w:rFonts w:ascii="Arial" w:eastAsia="Times New Roman" w:hAnsi="Arial" w:cs="Arial"/>
                <w:b/>
                <w:color w:val="000000"/>
              </w:rPr>
              <w:t xml:space="preserve">, the </w:t>
            </w:r>
            <w:r w:rsidR="00E173B0" w:rsidRPr="005B5418">
              <w:rPr>
                <w:rFonts w:ascii="Arial" w:eastAsia="Times New Roman" w:hAnsi="Arial" w:cs="Arial"/>
                <w:b/>
                <w:color w:val="000000"/>
              </w:rPr>
              <w:t>p</w:t>
            </w:r>
            <w:r w:rsidR="00940609" w:rsidRPr="005B5418">
              <w:rPr>
                <w:rFonts w:ascii="Arial" w:eastAsia="Times New Roman" w:hAnsi="Arial" w:cs="Arial"/>
                <w:b/>
                <w:color w:val="000000"/>
              </w:rPr>
              <w:t xml:space="preserve">ension, ORB, and OPEB </w:t>
            </w:r>
            <w:r w:rsidRPr="005B5418">
              <w:rPr>
                <w:rFonts w:ascii="Arial" w:eastAsia="Times New Roman" w:hAnsi="Arial" w:cs="Arial"/>
                <w:b/>
                <w:color w:val="000000"/>
              </w:rPr>
              <w:t>questions for this topic are for administrative entities and entities that consolidate an administrative entity.</w:t>
            </w:r>
          </w:p>
          <w:p w14:paraId="2F803653" w14:textId="0215DE1C" w:rsidR="000F633B" w:rsidRPr="005B5418" w:rsidRDefault="000F633B" w:rsidP="008848DA">
            <w:pPr>
              <w:keepLines/>
              <w:widowControl w:val="0"/>
              <w:adjustRightInd w:val="0"/>
              <w:spacing w:before="60" w:after="60" w:line="240" w:lineRule="auto"/>
              <w:textAlignment w:val="baseline"/>
              <w:rPr>
                <w:rFonts w:ascii="Arial" w:eastAsia="Times New Roman" w:hAnsi="Arial" w:cs="Arial"/>
                <w:b/>
                <w:color w:val="000000"/>
              </w:rPr>
            </w:pPr>
            <w:r w:rsidRPr="005B5418">
              <w:rPr>
                <w:rFonts w:ascii="Arial" w:eastAsia="Times New Roman" w:hAnsi="Arial" w:cs="Arial"/>
                <w:b/>
                <w:color w:val="000000"/>
              </w:rPr>
              <w:t>If the entity is an employer entity only, the applicable questions appear at the beginning of the pension and ORB sections. Employer entities should skip all other pension and ORB questions</w:t>
            </w:r>
            <w:r w:rsidR="00D32DC3" w:rsidRPr="005B5418">
              <w:rPr>
                <w:rFonts w:ascii="Arial" w:eastAsia="Times New Roman" w:hAnsi="Arial" w:cs="Arial"/>
                <w:b/>
                <w:color w:val="000000"/>
              </w:rPr>
              <w:t>,</w:t>
            </w:r>
            <w:r w:rsidRPr="005B5418">
              <w:rPr>
                <w:rFonts w:ascii="Arial" w:eastAsia="Times New Roman" w:hAnsi="Arial" w:cs="Arial"/>
                <w:b/>
                <w:color w:val="000000"/>
              </w:rPr>
              <w:t xml:space="preserve"> as they only apply to administrative entities. Employer entities should also evaluate the applicability of OPEB and if applicable determine wh</w:t>
            </w:r>
            <w:r w:rsidR="0056192C" w:rsidRPr="005B5418">
              <w:rPr>
                <w:rFonts w:ascii="Arial" w:eastAsia="Times New Roman" w:hAnsi="Arial" w:cs="Arial"/>
                <w:b/>
                <w:color w:val="000000"/>
              </w:rPr>
              <w:t>ich entity</w:t>
            </w:r>
            <w:r w:rsidRPr="005B5418">
              <w:rPr>
                <w:rFonts w:ascii="Arial" w:eastAsia="Times New Roman" w:hAnsi="Arial" w:cs="Arial"/>
                <w:b/>
                <w:color w:val="000000"/>
              </w:rPr>
              <w:t xml:space="preserve"> is the administrator.</w:t>
            </w:r>
          </w:p>
          <w:p w14:paraId="0047F1C1" w14:textId="1526CFD9" w:rsidR="002027D3" w:rsidRPr="005B5418" w:rsidRDefault="000F633B"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 xml:space="preserve">Entities responsible for accounting for pensions, ORB, and OPEB are to calculate and report these liabilities and related expenses in accordance with SFFAS 33 and SFFAS 5. The accrued entitlement benefits payable that are applicable to the current period, but not yet paid, and annuities for the current fiscal year administered by trust, pension, or insurance programs for which payment would be made in the following fiscal year, are to be classified as current liabilities. Liabilities for federal employee and veteran benefits include the actuarial portion of these benefits. Gains and losses from changes in long-term assumptions are to be displayed as a separate line item in the </w:t>
            </w:r>
            <w:r w:rsidR="0056192C" w:rsidRPr="005B5418">
              <w:rPr>
                <w:rFonts w:ascii="Arial" w:eastAsia="Times New Roman" w:hAnsi="Arial" w:cs="Arial"/>
                <w:color w:val="000000"/>
              </w:rPr>
              <w:t>SNC</w:t>
            </w:r>
            <w:r w:rsidRPr="005B5418">
              <w:rPr>
                <w:rFonts w:ascii="Arial" w:eastAsia="Times New Roman" w:hAnsi="Arial" w:cs="Arial"/>
                <w:color w:val="000000"/>
              </w:rPr>
              <w:t xml:space="preserve">. </w:t>
            </w:r>
          </w:p>
          <w:p w14:paraId="53AB3DE7" w14:textId="1313F919" w:rsidR="002027D3" w:rsidRPr="005B5418" w:rsidRDefault="002027D3"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Entities should disclose the following in notes to the financial statements:</w:t>
            </w:r>
          </w:p>
          <w:p w14:paraId="5B373224" w14:textId="6F430D62" w:rsidR="002027D3" w:rsidRPr="005B5418" w:rsidRDefault="000F633B"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 xml:space="preserve">(1) </w:t>
            </w:r>
            <w:r w:rsidR="002027D3" w:rsidRPr="005B5418">
              <w:rPr>
                <w:rFonts w:ascii="Arial" w:eastAsia="Times New Roman" w:hAnsi="Arial" w:cs="Arial"/>
                <w:color w:val="000000"/>
              </w:rPr>
              <w:t xml:space="preserve">actuarial </w:t>
            </w:r>
            <w:r w:rsidRPr="005B5418">
              <w:rPr>
                <w:rFonts w:ascii="Arial" w:eastAsia="Times New Roman" w:hAnsi="Arial" w:cs="Arial"/>
                <w:color w:val="000000"/>
              </w:rPr>
              <w:t>liabilities</w:t>
            </w:r>
            <w:r w:rsidR="002027D3" w:rsidRPr="005B5418">
              <w:rPr>
                <w:rFonts w:ascii="Arial" w:eastAsia="Times New Roman" w:hAnsi="Arial" w:cs="Arial"/>
                <w:color w:val="000000"/>
              </w:rPr>
              <w:t>;</w:t>
            </w:r>
            <w:r w:rsidRPr="005B5418">
              <w:rPr>
                <w:rFonts w:ascii="Arial" w:eastAsia="Times New Roman" w:hAnsi="Arial" w:cs="Arial"/>
                <w:color w:val="000000"/>
              </w:rPr>
              <w:t xml:space="preserve"> </w:t>
            </w:r>
          </w:p>
          <w:p w14:paraId="7F444B28" w14:textId="3C0CEA9C" w:rsidR="002027D3" w:rsidRPr="005B5418" w:rsidRDefault="000F633B"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(2) assumptions used to compute the actuarial liabilities</w:t>
            </w:r>
            <w:r w:rsidR="002027D3" w:rsidRPr="005B5418">
              <w:rPr>
                <w:rFonts w:ascii="Arial" w:eastAsia="Times New Roman" w:hAnsi="Arial" w:cs="Arial"/>
                <w:color w:val="000000"/>
              </w:rPr>
              <w:t>;</w:t>
            </w:r>
            <w:r w:rsidRPr="005B5418">
              <w:rPr>
                <w:rFonts w:ascii="Arial" w:eastAsia="Times New Roman" w:hAnsi="Arial" w:cs="Arial"/>
                <w:color w:val="000000"/>
              </w:rPr>
              <w:t xml:space="preserve"> </w:t>
            </w:r>
          </w:p>
          <w:p w14:paraId="0F4D574D" w14:textId="5EBC0E91" w:rsidR="002027D3" w:rsidRPr="005B5418" w:rsidRDefault="000F633B"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(3) the components of expense for the period for pensions, ORB, and OPEB, including the material components of the expense shown in SFFAS 33, paragraph 2</w:t>
            </w:r>
            <w:r w:rsidR="002027D3" w:rsidRPr="005B5418">
              <w:rPr>
                <w:rFonts w:ascii="Arial" w:eastAsia="Times New Roman" w:hAnsi="Arial" w:cs="Arial"/>
                <w:color w:val="000000"/>
              </w:rPr>
              <w:t>;</w:t>
            </w:r>
            <w:r w:rsidRPr="005B5418">
              <w:rPr>
                <w:rFonts w:ascii="Arial" w:eastAsia="Times New Roman" w:hAnsi="Arial" w:cs="Arial"/>
                <w:color w:val="000000"/>
              </w:rPr>
              <w:t xml:space="preserve"> </w:t>
            </w:r>
          </w:p>
          <w:p w14:paraId="35D3139E" w14:textId="19CD83BD" w:rsidR="002027D3" w:rsidRPr="005B5418" w:rsidRDefault="000F633B"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(4) a reconciliation of the beginning and ending pension, ORB, and OPEB liability balances</w:t>
            </w:r>
            <w:r w:rsidR="002027D3" w:rsidRPr="005B5418">
              <w:rPr>
                <w:rFonts w:ascii="Arial" w:eastAsia="Times New Roman" w:hAnsi="Arial" w:cs="Arial"/>
                <w:color w:val="000000"/>
              </w:rPr>
              <w:t>;</w:t>
            </w:r>
            <w:r w:rsidRPr="005B5418">
              <w:rPr>
                <w:rFonts w:ascii="Arial" w:eastAsia="Times New Roman" w:hAnsi="Arial" w:cs="Arial"/>
                <w:color w:val="000000"/>
              </w:rPr>
              <w:t xml:space="preserve"> and </w:t>
            </w:r>
          </w:p>
          <w:p w14:paraId="64B0E152" w14:textId="71925561" w:rsidR="000F633B" w:rsidRPr="005B5418" w:rsidRDefault="000F633B" w:rsidP="008848DA">
            <w:pPr>
              <w:keepLines/>
              <w:widowControl w:val="0"/>
              <w:adjustRightInd w:val="0"/>
              <w:spacing w:before="60" w:after="60" w:line="240" w:lineRule="auto"/>
              <w:textAlignment w:val="baseline"/>
              <w:rPr>
                <w:rFonts w:ascii="Arial" w:eastAsia="Times New Roman" w:hAnsi="Arial" w:cs="Arial"/>
                <w:color w:val="000000"/>
                <w:lang w:val="pt-BR"/>
              </w:rPr>
            </w:pPr>
            <w:r w:rsidRPr="005B5418">
              <w:rPr>
                <w:rFonts w:ascii="Arial" w:eastAsia="Times New Roman" w:hAnsi="Arial" w:cs="Arial"/>
                <w:color w:val="000000"/>
              </w:rPr>
              <w:lastRenderedPageBreak/>
              <w:t xml:space="preserve">(5) certain details related to non-Treasury securities held as assets for funding the pension, ORB, or OPEB programs. </w:t>
            </w:r>
            <w:r w:rsidRPr="005B5418">
              <w:rPr>
                <w:rFonts w:ascii="Arial" w:eastAsia="Times New Roman" w:hAnsi="Arial" w:cs="Arial"/>
                <w:color w:val="000000"/>
                <w:lang w:val="pt-BR"/>
              </w:rPr>
              <w:t>(SFFAS 1, par</w:t>
            </w:r>
            <w:r w:rsidR="002027D3" w:rsidRPr="005B5418">
              <w:rPr>
                <w:rFonts w:ascii="Arial" w:eastAsia="Times New Roman" w:hAnsi="Arial" w:cs="Arial"/>
                <w:color w:val="000000"/>
                <w:lang w:val="pt-BR"/>
              </w:rPr>
              <w:t>as</w:t>
            </w:r>
            <w:r w:rsidRPr="005B5418">
              <w:rPr>
                <w:rFonts w:ascii="Arial" w:eastAsia="Times New Roman" w:hAnsi="Arial" w:cs="Arial"/>
                <w:color w:val="000000"/>
                <w:lang w:val="pt-BR"/>
              </w:rPr>
              <w:t>. 83</w:t>
            </w:r>
            <w:r w:rsidR="002027D3" w:rsidRPr="005B5418">
              <w:rPr>
                <w:rFonts w:ascii="Arial" w:eastAsia="Times New Roman" w:hAnsi="Arial" w:cs="Arial"/>
                <w:color w:val="000000"/>
                <w:lang w:val="pt-BR"/>
              </w:rPr>
              <w:t>–</w:t>
            </w:r>
            <w:r w:rsidRPr="005B5418">
              <w:rPr>
                <w:rFonts w:ascii="Arial" w:eastAsia="Times New Roman" w:hAnsi="Arial" w:cs="Arial"/>
                <w:color w:val="000000"/>
                <w:lang w:val="pt-BR"/>
              </w:rPr>
              <w:t>84; SFFAS 5, par</w:t>
            </w:r>
            <w:r w:rsidR="002027D3" w:rsidRPr="005B5418">
              <w:rPr>
                <w:rFonts w:ascii="Arial" w:eastAsia="Times New Roman" w:hAnsi="Arial" w:cs="Arial"/>
                <w:color w:val="000000"/>
                <w:lang w:val="pt-BR"/>
              </w:rPr>
              <w:t>a</w:t>
            </w:r>
            <w:r w:rsidRPr="005B5418">
              <w:rPr>
                <w:rFonts w:ascii="Arial" w:eastAsia="Times New Roman" w:hAnsi="Arial" w:cs="Arial"/>
                <w:color w:val="000000"/>
                <w:lang w:val="pt-BR"/>
              </w:rPr>
              <w:t>. 56; SFFAS 33, par</w:t>
            </w:r>
            <w:r w:rsidR="002027D3" w:rsidRPr="005B5418">
              <w:rPr>
                <w:rFonts w:ascii="Arial" w:eastAsia="Times New Roman" w:hAnsi="Arial" w:cs="Arial"/>
                <w:color w:val="000000"/>
                <w:lang w:val="pt-BR"/>
              </w:rPr>
              <w:t>as</w:t>
            </w:r>
            <w:r w:rsidRPr="005B5418">
              <w:rPr>
                <w:rFonts w:ascii="Arial" w:eastAsia="Times New Roman" w:hAnsi="Arial" w:cs="Arial"/>
                <w:color w:val="000000"/>
                <w:lang w:val="pt-BR"/>
              </w:rPr>
              <w:t xml:space="preserve">. 19, 22, 23, and 25; A-136, section II.3.2.4) </w:t>
            </w:r>
          </w:p>
          <w:p w14:paraId="70C0F874" w14:textId="311FA6B2" w:rsidR="000F633B" w:rsidRPr="005B5418" w:rsidRDefault="000F633B" w:rsidP="008848DA">
            <w:pPr>
              <w:keepLines/>
              <w:widowControl w:val="0"/>
              <w:adjustRightInd w:val="0"/>
              <w:spacing w:before="60" w:after="60" w:line="240" w:lineRule="auto"/>
              <w:textAlignment w:val="baseline"/>
              <w:rPr>
                <w:rFonts w:ascii="Arial" w:eastAsia="Times New Roman" w:hAnsi="Arial" w:cs="Arial"/>
                <w:color w:val="000000"/>
                <w:lang w:val="pt-BR"/>
              </w:rPr>
            </w:pPr>
            <w:r w:rsidRPr="005B5418">
              <w:rPr>
                <w:rFonts w:ascii="Arial" w:eastAsia="Times New Roman" w:hAnsi="Arial" w:cs="Arial"/>
                <w:color w:val="000000"/>
                <w:lang w:val="pt-BR"/>
              </w:rPr>
              <w:t>Costs of pensions and ORB, whether they are paid for in part or in total by other governmental entities, are included in the costs of program outputs. (SFFAS 4, par</w:t>
            </w:r>
            <w:r w:rsidR="002027D3" w:rsidRPr="005B5418">
              <w:rPr>
                <w:rFonts w:ascii="Arial" w:eastAsia="Times New Roman" w:hAnsi="Arial" w:cs="Arial"/>
                <w:color w:val="000000"/>
                <w:lang w:val="pt-BR"/>
              </w:rPr>
              <w:t>a</w:t>
            </w:r>
            <w:r w:rsidRPr="005B5418">
              <w:rPr>
                <w:rFonts w:ascii="Arial" w:eastAsia="Times New Roman" w:hAnsi="Arial" w:cs="Arial"/>
                <w:color w:val="000000"/>
                <w:lang w:val="pt-BR"/>
              </w:rPr>
              <w:t>. 95) Recognition of OPEB is linked to the occurrence of an OPEB event rather than the production of an output. OPEB costs are generally treated as period expenses. (SFFAS 4, par</w:t>
            </w:r>
            <w:r w:rsidR="002027D3" w:rsidRPr="005B5418">
              <w:rPr>
                <w:rFonts w:ascii="Arial" w:eastAsia="Times New Roman" w:hAnsi="Arial" w:cs="Arial"/>
                <w:color w:val="000000"/>
                <w:lang w:val="pt-BR"/>
              </w:rPr>
              <w:t>as</w:t>
            </w:r>
            <w:r w:rsidRPr="005B5418">
              <w:rPr>
                <w:rFonts w:ascii="Arial" w:eastAsia="Times New Roman" w:hAnsi="Arial" w:cs="Arial"/>
                <w:color w:val="000000"/>
                <w:lang w:val="pt-BR"/>
              </w:rPr>
              <w:t>. 96)</w:t>
            </w:r>
          </w:p>
          <w:p w14:paraId="36086909" w14:textId="3621B632" w:rsidR="000F633B" w:rsidRPr="005B5418" w:rsidRDefault="000F633B" w:rsidP="008848DA">
            <w:pPr>
              <w:keepLines/>
              <w:widowControl w:val="0"/>
              <w:adjustRightInd w:val="0"/>
              <w:spacing w:before="60" w:after="60" w:line="240" w:lineRule="auto"/>
              <w:textAlignment w:val="baseline"/>
              <w:rPr>
                <w:rFonts w:ascii="Arial" w:eastAsia="Times New Roman" w:hAnsi="Arial" w:cs="Arial"/>
                <w:color w:val="000000"/>
              </w:rPr>
            </w:pPr>
            <w:r w:rsidRPr="005B5418">
              <w:rPr>
                <w:rFonts w:ascii="Arial" w:eastAsia="Times New Roman" w:hAnsi="Arial" w:cs="Arial"/>
                <w:color w:val="000000"/>
              </w:rPr>
              <w:t>The “aggregate entry age normal” actuarial cost method is where expenses or liabilities arising from the actuarial present value of projected pension benefits are allocated on a level basis over the earnings or the service of the group between entry age and assumed exit ages. The portion of the actuarial present value allocated to a valuation year is called normal cost. (SFFAS 5, par</w:t>
            </w:r>
            <w:r w:rsidR="00DC5FE6" w:rsidRPr="005B5418">
              <w:rPr>
                <w:rFonts w:ascii="Arial" w:eastAsia="Times New Roman" w:hAnsi="Arial" w:cs="Arial"/>
                <w:color w:val="000000"/>
              </w:rPr>
              <w:t>a</w:t>
            </w:r>
            <w:r w:rsidRPr="005B5418">
              <w:rPr>
                <w:rFonts w:ascii="Arial" w:eastAsia="Times New Roman" w:hAnsi="Arial" w:cs="Arial"/>
                <w:color w:val="000000"/>
              </w:rPr>
              <w:t>. 64)</w:t>
            </w:r>
          </w:p>
          <w:p w14:paraId="7BB25183" w14:textId="50806F95" w:rsidR="000F633B" w:rsidRPr="005B5418" w:rsidRDefault="000F633B" w:rsidP="005A3083">
            <w:pPr>
              <w:keepLines/>
              <w:widowControl w:val="0"/>
              <w:adjustRightInd w:val="0"/>
              <w:spacing w:before="60" w:after="60" w:line="240" w:lineRule="auto"/>
              <w:textAlignment w:val="baseline"/>
              <w:rPr>
                <w:rFonts w:eastAsia="Arial Unicode MS" w:cs="Arial"/>
                <w:b/>
                <w:i/>
              </w:rPr>
            </w:pPr>
            <w:r w:rsidRPr="005B5418">
              <w:rPr>
                <w:rFonts w:ascii="Arial" w:eastAsia="Arial Unicode MS" w:hAnsi="Arial" w:cs="Arial"/>
              </w:rPr>
              <w:t>SFFAS 5 and 33 do not apply to the veterans’ pension program of the Department of Veterans Affairs. (SFFAS 5</w:t>
            </w:r>
            <w:r w:rsidR="00E173B0" w:rsidRPr="005B5418">
              <w:rPr>
                <w:rFonts w:ascii="Arial" w:eastAsia="Arial Unicode MS" w:hAnsi="Arial" w:cs="Arial"/>
              </w:rPr>
              <w:t>,</w:t>
            </w:r>
            <w:r w:rsidRPr="005B5418">
              <w:rPr>
                <w:rFonts w:ascii="Arial" w:eastAsia="Arial Unicode MS" w:hAnsi="Arial" w:cs="Arial"/>
              </w:rPr>
              <w:t xml:space="preserve"> par</w:t>
            </w:r>
            <w:r w:rsidR="00456618" w:rsidRPr="005B5418">
              <w:rPr>
                <w:rFonts w:ascii="Arial" w:eastAsia="Arial Unicode MS" w:hAnsi="Arial" w:cs="Arial"/>
              </w:rPr>
              <w:t>a</w:t>
            </w:r>
            <w:r w:rsidRPr="005B5418">
              <w:rPr>
                <w:rFonts w:ascii="Arial" w:eastAsia="Arial Unicode MS" w:hAnsi="Arial" w:cs="Arial"/>
              </w:rPr>
              <w:t>. 56</w:t>
            </w:r>
            <w:r w:rsidR="003E4FA6" w:rsidRPr="005B5418">
              <w:rPr>
                <w:rFonts w:ascii="Arial" w:eastAsia="Arial Unicode MS" w:hAnsi="Arial" w:cs="Arial"/>
              </w:rPr>
              <w:t xml:space="preserve"> and </w:t>
            </w:r>
            <w:r w:rsidR="00E173B0" w:rsidRPr="005B5418">
              <w:rPr>
                <w:rFonts w:ascii="Arial" w:eastAsia="Arial Unicode MS" w:hAnsi="Arial" w:cs="Arial"/>
              </w:rPr>
              <w:t>a</w:t>
            </w:r>
            <w:r w:rsidR="003E4FA6" w:rsidRPr="005B5418">
              <w:rPr>
                <w:rFonts w:ascii="Arial" w:eastAsia="Arial Unicode MS" w:hAnsi="Arial" w:cs="Arial"/>
              </w:rPr>
              <w:t>pp</w:t>
            </w:r>
            <w:r w:rsidR="00E173B0" w:rsidRPr="005B5418">
              <w:rPr>
                <w:rFonts w:ascii="Arial" w:eastAsia="Arial Unicode MS" w:hAnsi="Arial" w:cs="Arial"/>
              </w:rPr>
              <w:t>.</w:t>
            </w:r>
            <w:r w:rsidR="003E4FA6" w:rsidRPr="005B5418">
              <w:rPr>
                <w:rFonts w:ascii="Arial" w:eastAsia="Arial Unicode MS" w:hAnsi="Arial" w:cs="Arial"/>
              </w:rPr>
              <w:t xml:space="preserve"> B</w:t>
            </w:r>
            <w:r w:rsidRPr="005B5418">
              <w:rPr>
                <w:rFonts w:ascii="Arial" w:eastAsia="Arial Unicode MS" w:hAnsi="Arial" w:cs="Arial"/>
              </w:rPr>
              <w:t>)</w:t>
            </w:r>
          </w:p>
        </w:tc>
      </w:tr>
      <w:tr w:rsidR="00A83BA4" w:rsidRPr="005B5418" w14:paraId="625D020C" w14:textId="77777777" w:rsidTr="00DA6DCF">
        <w:tc>
          <w:tcPr>
            <w:tcW w:w="9586" w:type="dxa"/>
            <w:gridSpan w:val="3"/>
          </w:tcPr>
          <w:p w14:paraId="009800A2" w14:textId="77777777" w:rsidR="00A83BA4" w:rsidRPr="005B5418" w:rsidRDefault="00A83BA4" w:rsidP="008848DA">
            <w:pPr>
              <w:pStyle w:val="Table-Note"/>
              <w:spacing w:before="60" w:after="60" w:line="240" w:lineRule="auto"/>
              <w:ind w:left="0"/>
              <w:rPr>
                <w:rFonts w:eastAsia="Arial Unicode MS" w:cs="Arial"/>
                <w:b/>
                <w:i w:val="0"/>
                <w:sz w:val="22"/>
                <w:szCs w:val="22"/>
              </w:rPr>
            </w:pPr>
            <w:r w:rsidRPr="005B5418">
              <w:rPr>
                <w:rFonts w:eastAsia="Arial Unicode MS" w:cs="Arial"/>
                <w:b/>
                <w:i w:val="0"/>
                <w:sz w:val="22"/>
                <w:szCs w:val="22"/>
              </w:rPr>
              <w:lastRenderedPageBreak/>
              <w:t>Pensions</w:t>
            </w:r>
          </w:p>
        </w:tc>
      </w:tr>
      <w:tr w:rsidR="005D3ACF" w:rsidRPr="005B5418" w14:paraId="325443C1" w14:textId="77777777" w:rsidTr="00DA6DCF">
        <w:tc>
          <w:tcPr>
            <w:tcW w:w="9586" w:type="dxa"/>
            <w:gridSpan w:val="3"/>
          </w:tcPr>
          <w:p w14:paraId="0017F665" w14:textId="616D853B" w:rsidR="005D3ACF" w:rsidRPr="005B5418" w:rsidRDefault="00BE3989" w:rsidP="009D0D00">
            <w:pPr>
              <w:pStyle w:val="Table-Note"/>
              <w:spacing w:before="60" w:after="60" w:line="240" w:lineRule="auto"/>
              <w:ind w:left="0"/>
              <w:jc w:val="left"/>
              <w:rPr>
                <w:rFonts w:cs="Arial"/>
                <w:b/>
                <w:i w:val="0"/>
              </w:rPr>
            </w:pPr>
            <w:r w:rsidRPr="005B5418">
              <w:rPr>
                <w:rFonts w:eastAsia="Arial Unicode MS" w:cs="Arial"/>
                <w:i w:val="0"/>
                <w:sz w:val="22"/>
                <w:szCs w:val="22"/>
              </w:rPr>
              <w:t xml:space="preserve">Pension benefits include all retirement, disability, and survivor benefits financed through a pension plan, including unfunded pension plans. </w:t>
            </w:r>
            <w:r w:rsidR="005D3ACF" w:rsidRPr="005B5418">
              <w:rPr>
                <w:rFonts w:eastAsia="Arial Unicode MS" w:cs="Arial"/>
                <w:i w:val="0"/>
                <w:sz w:val="22"/>
                <w:szCs w:val="22"/>
              </w:rPr>
              <w:t>Federal civilian and military employees are covered primarily under the following three defined benefit retirement plans: Civil Service Retirement System (CSRS), Federal Employees Retirement System (FERS), and Military Retirement System (MRS). (SFFAS 5, par</w:t>
            </w:r>
            <w:r w:rsidR="00F35555" w:rsidRPr="005B5418">
              <w:rPr>
                <w:rFonts w:eastAsia="Arial Unicode MS" w:cs="Arial"/>
                <w:i w:val="0"/>
                <w:sz w:val="22"/>
                <w:szCs w:val="22"/>
              </w:rPr>
              <w:t>a.</w:t>
            </w:r>
            <w:r w:rsidR="005D3ACF" w:rsidRPr="005B5418">
              <w:rPr>
                <w:rFonts w:eastAsia="Arial Unicode MS" w:cs="Arial"/>
                <w:i w:val="0"/>
                <w:sz w:val="22"/>
                <w:szCs w:val="22"/>
              </w:rPr>
              <w:t xml:space="preserve"> 61) </w:t>
            </w:r>
          </w:p>
        </w:tc>
      </w:tr>
      <w:tr w:rsidR="00065BA2" w:rsidRPr="005B5418" w14:paraId="03AE77A9" w14:textId="77777777" w:rsidTr="00DA6DCF">
        <w:trPr>
          <w:trHeight w:val="1187"/>
        </w:trPr>
        <w:tc>
          <w:tcPr>
            <w:tcW w:w="5410" w:type="dxa"/>
          </w:tcPr>
          <w:p w14:paraId="65B80C64" w14:textId="654B24A6" w:rsidR="00065BA2" w:rsidRPr="005B5418" w:rsidRDefault="005F3CC0" w:rsidP="00343610">
            <w:pPr>
              <w:pStyle w:val="FAM-Table-outline"/>
              <w:widowControl/>
              <w:numPr>
                <w:ilvl w:val="0"/>
                <w:numId w:val="17"/>
              </w:numPr>
              <w:adjustRightInd/>
              <w:spacing w:line="240" w:lineRule="auto"/>
              <w:textAlignment w:val="auto"/>
              <w:rPr>
                <w:rFonts w:eastAsia="Arial Unicode MS" w:cs="Arial"/>
                <w:szCs w:val="22"/>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C85669" w:rsidRPr="005B5418">
              <w:rPr>
                <w:rFonts w:eastAsia="Arial Unicode MS" w:cs="Arial"/>
                <w:szCs w:val="22"/>
              </w:rPr>
              <w:t>.</w:t>
            </w:r>
            <w:r w:rsidRPr="005B5418">
              <w:rPr>
                <w:rFonts w:eastAsia="Arial Unicode MS" w:cs="Arial"/>
                <w:szCs w:val="22"/>
              </w:rPr>
              <w:t>)</w:t>
            </w:r>
          </w:p>
        </w:tc>
        <w:tc>
          <w:tcPr>
            <w:tcW w:w="965" w:type="dxa"/>
          </w:tcPr>
          <w:p w14:paraId="60C05887" w14:textId="77777777" w:rsidR="00065BA2" w:rsidRPr="005B5418" w:rsidRDefault="00065BA2" w:rsidP="008848DA">
            <w:pPr>
              <w:pStyle w:val="Table-Cell-CenterBoldBefore6ptAfter6pt"/>
              <w:spacing w:before="60" w:after="60"/>
              <w:rPr>
                <w:rFonts w:cs="Arial"/>
              </w:rPr>
            </w:pPr>
          </w:p>
        </w:tc>
        <w:tc>
          <w:tcPr>
            <w:tcW w:w="3211" w:type="dxa"/>
          </w:tcPr>
          <w:p w14:paraId="4E112B14" w14:textId="77777777" w:rsidR="00065BA2" w:rsidRPr="005B5418" w:rsidRDefault="00065BA2" w:rsidP="008848DA">
            <w:pPr>
              <w:pStyle w:val="Table-Cell-Left"/>
              <w:spacing w:before="60" w:after="60" w:line="240" w:lineRule="auto"/>
              <w:rPr>
                <w:rFonts w:cs="Arial"/>
              </w:rPr>
            </w:pPr>
          </w:p>
        </w:tc>
      </w:tr>
      <w:tr w:rsidR="00122C75" w:rsidRPr="005B5418" w14:paraId="15FB4DBB" w14:textId="77777777" w:rsidTr="00DA6DCF">
        <w:trPr>
          <w:cantSplit/>
          <w:trHeight w:val="377"/>
        </w:trPr>
        <w:tc>
          <w:tcPr>
            <w:tcW w:w="9586" w:type="dxa"/>
            <w:gridSpan w:val="3"/>
          </w:tcPr>
          <w:p w14:paraId="57313641" w14:textId="77777777" w:rsidR="00122C75" w:rsidRPr="005B5418" w:rsidRDefault="00122C75" w:rsidP="008848DA">
            <w:pPr>
              <w:spacing w:before="60" w:after="60" w:line="240" w:lineRule="auto"/>
              <w:rPr>
                <w:rFonts w:ascii="Arial" w:hAnsi="Arial" w:cs="Arial"/>
                <w:b/>
              </w:rPr>
            </w:pPr>
            <w:r w:rsidRPr="005B5418">
              <w:rPr>
                <w:rFonts w:ascii="Arial" w:hAnsi="Arial" w:cs="Arial"/>
                <w:b/>
              </w:rPr>
              <w:t>Accounting for Employer Entity</w:t>
            </w:r>
          </w:p>
        </w:tc>
      </w:tr>
      <w:tr w:rsidR="00122C75" w:rsidRPr="005B5418" w14:paraId="50FD31F4" w14:textId="77777777" w:rsidTr="00DA6DCF">
        <w:trPr>
          <w:trHeight w:val="1538"/>
        </w:trPr>
        <w:tc>
          <w:tcPr>
            <w:tcW w:w="5410" w:type="dxa"/>
          </w:tcPr>
          <w:p w14:paraId="64E1CAE9" w14:textId="022E72CD" w:rsidR="00122C75" w:rsidRPr="005B5418" w:rsidRDefault="00122C75" w:rsidP="00343610">
            <w:pPr>
              <w:pStyle w:val="FAM-Table-outline"/>
              <w:widowControl/>
              <w:numPr>
                <w:ilvl w:val="0"/>
                <w:numId w:val="17"/>
              </w:numPr>
              <w:adjustRightInd/>
              <w:spacing w:line="240" w:lineRule="auto"/>
              <w:textAlignment w:val="auto"/>
              <w:rPr>
                <w:rFonts w:eastAsia="Arial Unicode MS" w:cs="Arial"/>
                <w:szCs w:val="22"/>
              </w:rPr>
            </w:pPr>
            <w:r w:rsidRPr="005B5418">
              <w:rPr>
                <w:rFonts w:eastAsia="Arial Unicode MS"/>
              </w:rPr>
              <w:t>Does the employer entity recognize a pension expense that equals the service cost (normal cost) for its employees for the accounting period, less the amount contributed by the employees, if any? (SFFAS 5, par</w:t>
            </w:r>
            <w:r w:rsidR="00C85669" w:rsidRPr="005B5418">
              <w:rPr>
                <w:rFonts w:eastAsia="Arial Unicode MS"/>
              </w:rPr>
              <w:t>a</w:t>
            </w:r>
            <w:r w:rsidRPr="005B5418">
              <w:rPr>
                <w:rFonts w:eastAsia="Arial Unicode MS"/>
              </w:rPr>
              <w:t>. 74)</w:t>
            </w:r>
          </w:p>
        </w:tc>
        <w:tc>
          <w:tcPr>
            <w:tcW w:w="965" w:type="dxa"/>
          </w:tcPr>
          <w:p w14:paraId="45322D87" w14:textId="77777777" w:rsidR="00122C75" w:rsidRPr="005B5418" w:rsidRDefault="00122C75" w:rsidP="008848DA">
            <w:pPr>
              <w:pStyle w:val="Table-Cell-CenterBoldBefore6ptAfter6pt"/>
              <w:spacing w:before="60" w:after="60"/>
              <w:rPr>
                <w:rFonts w:cs="Arial"/>
              </w:rPr>
            </w:pPr>
          </w:p>
        </w:tc>
        <w:tc>
          <w:tcPr>
            <w:tcW w:w="3211" w:type="dxa"/>
          </w:tcPr>
          <w:p w14:paraId="31096890" w14:textId="77777777" w:rsidR="00122C75" w:rsidRPr="005B5418" w:rsidRDefault="00122C75" w:rsidP="008848DA">
            <w:pPr>
              <w:pStyle w:val="Table-Cell-Left"/>
              <w:spacing w:before="60" w:after="60" w:line="240" w:lineRule="auto"/>
              <w:rPr>
                <w:rFonts w:cs="Arial"/>
              </w:rPr>
            </w:pPr>
          </w:p>
        </w:tc>
      </w:tr>
      <w:tr w:rsidR="00122C75" w:rsidRPr="005B5418" w14:paraId="1A48D947" w14:textId="77777777" w:rsidTr="00DA6DCF">
        <w:trPr>
          <w:trHeight w:val="1205"/>
        </w:trPr>
        <w:tc>
          <w:tcPr>
            <w:tcW w:w="5410" w:type="dxa"/>
          </w:tcPr>
          <w:p w14:paraId="1C724F16" w14:textId="77777777" w:rsidR="00122C75" w:rsidRPr="005B5418" w:rsidRDefault="00122C75" w:rsidP="00CF6813">
            <w:pPr>
              <w:pStyle w:val="FAM-Table-outline"/>
              <w:spacing w:line="240" w:lineRule="auto"/>
              <w:rPr>
                <w:rFonts w:eastAsia="Arial Unicode MS"/>
              </w:rPr>
            </w:pPr>
            <w:r w:rsidRPr="005B5418">
              <w:rPr>
                <w:rFonts w:eastAsia="Arial Unicode MS"/>
              </w:rPr>
              <w:t>Is the employer entity's pension expense balanced by</w:t>
            </w:r>
          </w:p>
          <w:p w14:paraId="6850B29E" w14:textId="70C5582B" w:rsidR="00122C75" w:rsidRPr="005B5418" w:rsidRDefault="00122C75" w:rsidP="005425ED">
            <w:pPr>
              <w:pStyle w:val="FAM-Table-outline2"/>
              <w:spacing w:line="240" w:lineRule="auto"/>
              <w:ind w:left="1140" w:hanging="443"/>
            </w:pPr>
            <w:r w:rsidRPr="005B5418">
              <w:t xml:space="preserve">a decrease to its </w:t>
            </w:r>
            <w:r w:rsidR="0056192C" w:rsidRPr="005B5418">
              <w:t>FBWT</w:t>
            </w:r>
            <w:r w:rsidRPr="005B5418">
              <w:t xml:space="preserve"> for the amount of its contribution to the pension plan, if any</w:t>
            </w:r>
            <w:r w:rsidR="00AA3B15" w:rsidRPr="005B5418">
              <w:t xml:space="preserve">, </w:t>
            </w:r>
            <w:r w:rsidRPr="005B5418">
              <w:t xml:space="preserve">and if this does not equal the full pension expense, by </w:t>
            </w:r>
          </w:p>
          <w:p w14:paraId="7AE13701" w14:textId="19EF5F55" w:rsidR="00122C75" w:rsidRPr="005B5418" w:rsidRDefault="00122C75" w:rsidP="005425ED">
            <w:pPr>
              <w:pStyle w:val="FAM-Table-outline2"/>
              <w:spacing w:line="240" w:lineRule="auto"/>
              <w:ind w:left="1140" w:hanging="443"/>
              <w:rPr>
                <w:rFonts w:eastAsia="Arial Unicode MS"/>
              </w:rPr>
            </w:pPr>
            <w:r w:rsidRPr="005B5418">
              <w:t>an increase to an account representing an intragovernmental financing source (e.g., “imputed financing- expenses paid by other agencies”)? (SFFAS 5, par</w:t>
            </w:r>
            <w:r w:rsidR="00AA3B15" w:rsidRPr="005B5418">
              <w:t>a</w:t>
            </w:r>
            <w:r w:rsidRPr="005B5418">
              <w:t>. 75)</w:t>
            </w:r>
          </w:p>
        </w:tc>
        <w:tc>
          <w:tcPr>
            <w:tcW w:w="965" w:type="dxa"/>
          </w:tcPr>
          <w:p w14:paraId="2D0818E0" w14:textId="77777777" w:rsidR="00122C75" w:rsidRPr="005B5418" w:rsidRDefault="00122C75" w:rsidP="008848DA">
            <w:pPr>
              <w:pStyle w:val="Table-Cell-CenterBoldBefore6ptAfter6pt"/>
              <w:spacing w:before="60" w:after="60"/>
              <w:rPr>
                <w:rFonts w:cs="Arial"/>
              </w:rPr>
            </w:pPr>
          </w:p>
        </w:tc>
        <w:tc>
          <w:tcPr>
            <w:tcW w:w="3211" w:type="dxa"/>
          </w:tcPr>
          <w:p w14:paraId="2AAF186D" w14:textId="77777777" w:rsidR="00122C75" w:rsidRPr="005B5418" w:rsidRDefault="00122C75" w:rsidP="008848DA">
            <w:pPr>
              <w:pStyle w:val="Table-Cell-Left"/>
              <w:spacing w:before="60" w:after="60" w:line="240" w:lineRule="auto"/>
              <w:rPr>
                <w:rFonts w:cs="Arial"/>
              </w:rPr>
            </w:pPr>
          </w:p>
        </w:tc>
      </w:tr>
      <w:tr w:rsidR="00065BA2" w:rsidRPr="005B5418" w14:paraId="3E83C67A" w14:textId="77777777" w:rsidTr="00DA6DCF">
        <w:trPr>
          <w:cantSplit/>
          <w:trHeight w:val="377"/>
        </w:trPr>
        <w:tc>
          <w:tcPr>
            <w:tcW w:w="9586" w:type="dxa"/>
            <w:gridSpan w:val="3"/>
          </w:tcPr>
          <w:p w14:paraId="77C43DCD" w14:textId="77777777" w:rsidR="00065BA2" w:rsidRPr="005B5418" w:rsidRDefault="00065BA2" w:rsidP="008848DA">
            <w:pPr>
              <w:spacing w:before="60" w:after="60" w:line="240" w:lineRule="auto"/>
              <w:rPr>
                <w:rFonts w:ascii="Arial" w:hAnsi="Arial" w:cs="Arial"/>
                <w:b/>
              </w:rPr>
            </w:pPr>
            <w:r w:rsidRPr="005B5418">
              <w:rPr>
                <w:rFonts w:ascii="Arial" w:hAnsi="Arial" w:cs="Arial"/>
                <w:b/>
              </w:rPr>
              <w:lastRenderedPageBreak/>
              <w:t>Accounting</w:t>
            </w:r>
            <w:r w:rsidR="00C51123" w:rsidRPr="005B5418">
              <w:rPr>
                <w:rFonts w:ascii="Arial" w:hAnsi="Arial" w:cs="Arial"/>
                <w:b/>
              </w:rPr>
              <w:t xml:space="preserve"> for Administrative Entity</w:t>
            </w:r>
          </w:p>
        </w:tc>
      </w:tr>
      <w:tr w:rsidR="000F5EDF" w:rsidRPr="005B5418" w14:paraId="17DAC4FE" w14:textId="77777777" w:rsidTr="008848DA">
        <w:trPr>
          <w:trHeight w:val="692"/>
        </w:trPr>
        <w:tc>
          <w:tcPr>
            <w:tcW w:w="5410" w:type="dxa"/>
          </w:tcPr>
          <w:p w14:paraId="60620A77" w14:textId="05F73F7C" w:rsidR="000F5EDF" w:rsidRPr="005B5418" w:rsidRDefault="000F5EDF" w:rsidP="00343610">
            <w:pPr>
              <w:pStyle w:val="FAM-Table-outline"/>
              <w:widowControl/>
              <w:numPr>
                <w:ilvl w:val="0"/>
                <w:numId w:val="17"/>
              </w:numPr>
              <w:adjustRightInd/>
              <w:spacing w:line="240" w:lineRule="auto"/>
              <w:textAlignment w:val="auto"/>
              <w:rPr>
                <w:rFonts w:eastAsia="Arial Unicode MS" w:cs="Arial"/>
                <w:szCs w:val="22"/>
              </w:rPr>
            </w:pPr>
            <w:r w:rsidRPr="005B5418">
              <w:rPr>
                <w:rFonts w:eastAsia="Arial Unicode MS" w:cs="Arial"/>
                <w:szCs w:val="22"/>
              </w:rPr>
              <w:t>When a new pension plan is initiated or a current one amended, does the administrative entity recognize all past and prior service costs</w:t>
            </w:r>
            <w:r w:rsidR="00CE12B5" w:rsidRPr="005B5418">
              <w:t xml:space="preserve"> </w:t>
            </w:r>
            <w:r w:rsidR="00CE12B5" w:rsidRPr="005B5418">
              <w:rPr>
                <w:rFonts w:eastAsia="Arial Unicode MS" w:cs="Arial"/>
                <w:szCs w:val="22"/>
              </w:rPr>
              <w:t>or gains immediately,</w:t>
            </w:r>
            <w:r w:rsidRPr="005B5418">
              <w:rPr>
                <w:rStyle w:val="FootnoteReference"/>
                <w:rFonts w:eastAsia="Arial Unicode MS" w:cs="Arial"/>
                <w:szCs w:val="22"/>
              </w:rPr>
              <w:footnoteReference w:id="164"/>
            </w:r>
            <w:r w:rsidRPr="005B5418">
              <w:rPr>
                <w:rFonts w:eastAsia="Arial Unicode MS" w:cs="Arial"/>
                <w:szCs w:val="22"/>
              </w:rPr>
              <w:t xml:space="preserve"> without amortization? (SFFAS 5, par</w:t>
            </w:r>
            <w:r w:rsidR="00CE12B5" w:rsidRPr="005B5418">
              <w:rPr>
                <w:rFonts w:eastAsia="Arial Unicode MS" w:cs="Arial"/>
                <w:szCs w:val="22"/>
              </w:rPr>
              <w:t>a</w:t>
            </w:r>
            <w:r w:rsidRPr="005B5418">
              <w:rPr>
                <w:rFonts w:eastAsia="Arial Unicode MS" w:cs="Arial"/>
                <w:szCs w:val="22"/>
              </w:rPr>
              <w:t>. 70)</w:t>
            </w:r>
          </w:p>
        </w:tc>
        <w:tc>
          <w:tcPr>
            <w:tcW w:w="965" w:type="dxa"/>
          </w:tcPr>
          <w:p w14:paraId="2C385066" w14:textId="77777777" w:rsidR="000F5EDF" w:rsidRPr="005B5418" w:rsidRDefault="000F5EDF" w:rsidP="008848DA">
            <w:pPr>
              <w:pStyle w:val="Table-Cell-CenterBoldBefore6ptAfter6pt"/>
              <w:spacing w:before="60" w:after="60"/>
              <w:rPr>
                <w:rFonts w:cs="Arial"/>
              </w:rPr>
            </w:pPr>
          </w:p>
        </w:tc>
        <w:tc>
          <w:tcPr>
            <w:tcW w:w="3211" w:type="dxa"/>
          </w:tcPr>
          <w:p w14:paraId="07711261" w14:textId="77777777" w:rsidR="000F5EDF" w:rsidRPr="005B5418" w:rsidRDefault="000F5EDF" w:rsidP="008848DA">
            <w:pPr>
              <w:pStyle w:val="Table-Cell-Left"/>
              <w:spacing w:before="60" w:after="60" w:line="240" w:lineRule="auto"/>
              <w:rPr>
                <w:rFonts w:cs="Arial"/>
              </w:rPr>
            </w:pPr>
          </w:p>
        </w:tc>
      </w:tr>
      <w:tr w:rsidR="000F5EDF" w:rsidRPr="005B5418" w14:paraId="61D0D19D" w14:textId="77777777" w:rsidTr="00DA6DCF">
        <w:trPr>
          <w:trHeight w:val="980"/>
        </w:trPr>
        <w:tc>
          <w:tcPr>
            <w:tcW w:w="5410" w:type="dxa"/>
          </w:tcPr>
          <w:p w14:paraId="3EC40F21" w14:textId="3A8D6CD9" w:rsidR="000F5EDF" w:rsidRPr="005B5418" w:rsidRDefault="000F5EDF" w:rsidP="00343610">
            <w:pPr>
              <w:pStyle w:val="FAM-Table-outline"/>
              <w:widowControl/>
              <w:numPr>
                <w:ilvl w:val="0"/>
                <w:numId w:val="17"/>
              </w:numPr>
              <w:adjustRightInd/>
              <w:spacing w:line="240" w:lineRule="auto"/>
              <w:textAlignment w:val="auto"/>
              <w:rPr>
                <w:rFonts w:eastAsia="Arial Unicode MS" w:cs="Arial"/>
                <w:szCs w:val="22"/>
              </w:rPr>
            </w:pPr>
            <w:r w:rsidRPr="005B5418">
              <w:rPr>
                <w:rFonts w:eastAsia="Arial Unicode MS"/>
              </w:rPr>
              <w:t>Does the administrative entity recognize actuarial gains and losses</w:t>
            </w:r>
            <w:r w:rsidR="008077AD" w:rsidRPr="005B5418">
              <w:t xml:space="preserve"> </w:t>
            </w:r>
            <w:r w:rsidR="008077AD" w:rsidRPr="005B5418">
              <w:rPr>
                <w:rFonts w:eastAsia="Arial Unicode MS"/>
              </w:rPr>
              <w:t>immediately,</w:t>
            </w:r>
            <w:r w:rsidRPr="005B5418">
              <w:rPr>
                <w:rStyle w:val="FootnoteReference"/>
                <w:rFonts w:eastAsia="Arial Unicode MS" w:cs="Arial"/>
                <w:szCs w:val="22"/>
              </w:rPr>
              <w:footnoteReference w:id="165"/>
            </w:r>
            <w:r w:rsidRPr="005B5418">
              <w:rPr>
                <w:rFonts w:eastAsia="Arial Unicode MS"/>
              </w:rPr>
              <w:t xml:space="preserve"> without amortization? (SFFAS 5, par</w:t>
            </w:r>
            <w:r w:rsidR="008077AD" w:rsidRPr="005B5418">
              <w:rPr>
                <w:rFonts w:eastAsia="Arial Unicode MS"/>
              </w:rPr>
              <w:t>a</w:t>
            </w:r>
            <w:r w:rsidRPr="005B5418">
              <w:rPr>
                <w:rFonts w:eastAsia="Arial Unicode MS"/>
              </w:rPr>
              <w:t>. 69)</w:t>
            </w:r>
          </w:p>
        </w:tc>
        <w:tc>
          <w:tcPr>
            <w:tcW w:w="965" w:type="dxa"/>
          </w:tcPr>
          <w:p w14:paraId="02852A14" w14:textId="77777777" w:rsidR="000F5EDF" w:rsidRPr="005B5418" w:rsidRDefault="000F5EDF" w:rsidP="008848DA">
            <w:pPr>
              <w:pStyle w:val="Table-Cell-CenterBoldBefore6ptAfter6pt"/>
              <w:spacing w:before="60" w:after="60"/>
              <w:rPr>
                <w:rFonts w:cs="Arial"/>
              </w:rPr>
            </w:pPr>
          </w:p>
        </w:tc>
        <w:tc>
          <w:tcPr>
            <w:tcW w:w="3211" w:type="dxa"/>
          </w:tcPr>
          <w:p w14:paraId="49ABE083" w14:textId="77777777" w:rsidR="000F5EDF" w:rsidRPr="005B5418" w:rsidRDefault="000F5EDF" w:rsidP="008848DA">
            <w:pPr>
              <w:pStyle w:val="Table-Cell-Left"/>
              <w:spacing w:before="60" w:after="60" w:line="240" w:lineRule="auto"/>
              <w:rPr>
                <w:rFonts w:cs="Arial"/>
              </w:rPr>
            </w:pPr>
          </w:p>
        </w:tc>
      </w:tr>
      <w:tr w:rsidR="000F5EDF" w:rsidRPr="005B5418" w14:paraId="47EC7BD0" w14:textId="77777777" w:rsidTr="00DA6DCF">
        <w:trPr>
          <w:trHeight w:val="1817"/>
        </w:trPr>
        <w:tc>
          <w:tcPr>
            <w:tcW w:w="5410" w:type="dxa"/>
          </w:tcPr>
          <w:p w14:paraId="23066494" w14:textId="77777777" w:rsidR="000F5EDF" w:rsidRPr="005B5418" w:rsidRDefault="000F5EDF" w:rsidP="00CF6813">
            <w:pPr>
              <w:pStyle w:val="FAM-Table-outline"/>
              <w:spacing w:line="240" w:lineRule="auto"/>
              <w:rPr>
                <w:rFonts w:eastAsia="Arial Unicode MS"/>
              </w:rPr>
            </w:pPr>
            <w:r w:rsidRPr="005B5418">
              <w:rPr>
                <w:rFonts w:eastAsia="Arial Unicode MS"/>
              </w:rPr>
              <w:t>Does the administrative entity report pension plan revenue for the sum of contributions from</w:t>
            </w:r>
          </w:p>
          <w:p w14:paraId="474D54DC" w14:textId="77777777" w:rsidR="000F5EDF" w:rsidRPr="005B5418" w:rsidRDefault="000F5EDF" w:rsidP="005425ED">
            <w:pPr>
              <w:pStyle w:val="FAM-Table-outline2"/>
              <w:spacing w:line="240" w:lineRule="auto"/>
              <w:ind w:left="1140" w:hanging="443"/>
            </w:pPr>
            <w:r w:rsidRPr="005B5418">
              <w:t xml:space="preserve">the employer,  </w:t>
            </w:r>
          </w:p>
          <w:p w14:paraId="7CBD669E" w14:textId="77777777" w:rsidR="000F5EDF" w:rsidRPr="005B5418" w:rsidRDefault="000F5EDF" w:rsidP="005425ED">
            <w:pPr>
              <w:pStyle w:val="FAM-Table-outline2"/>
              <w:spacing w:line="240" w:lineRule="auto"/>
              <w:ind w:left="1140" w:hanging="443"/>
            </w:pPr>
            <w:r w:rsidRPr="005B5418">
              <w:t>its employees,</w:t>
            </w:r>
            <w:r w:rsidRPr="005B5418">
              <w:rPr>
                <w:rStyle w:val="FootnoteReference"/>
              </w:rPr>
              <w:footnoteReference w:id="166"/>
            </w:r>
            <w:r w:rsidRPr="005B5418">
              <w:t xml:space="preserve"> and </w:t>
            </w:r>
          </w:p>
          <w:p w14:paraId="0916AE6B" w14:textId="472C16E9" w:rsidR="000F5EDF" w:rsidRPr="005B5418" w:rsidRDefault="000F5EDF" w:rsidP="005425ED">
            <w:pPr>
              <w:pStyle w:val="FAM-Table-outline2"/>
              <w:spacing w:line="240" w:lineRule="auto"/>
              <w:ind w:left="1140" w:hanging="443"/>
              <w:rPr>
                <w:rFonts w:eastAsia="Arial Unicode MS"/>
              </w:rPr>
            </w:pPr>
            <w:r w:rsidRPr="005B5418">
              <w:t>interest on the plan’s investments? (SFFAS 5, par</w:t>
            </w:r>
            <w:r w:rsidR="008077AD" w:rsidRPr="005B5418">
              <w:t>as</w:t>
            </w:r>
            <w:r w:rsidRPr="005B5418">
              <w:t>. 73 and 78)</w:t>
            </w:r>
            <w:r w:rsidRPr="005B5418">
              <w:br w:type="page"/>
            </w:r>
          </w:p>
        </w:tc>
        <w:tc>
          <w:tcPr>
            <w:tcW w:w="965" w:type="dxa"/>
          </w:tcPr>
          <w:p w14:paraId="462DEB74" w14:textId="77777777" w:rsidR="000F5EDF" w:rsidRPr="005B5418" w:rsidRDefault="000F5EDF" w:rsidP="008848DA">
            <w:pPr>
              <w:pStyle w:val="Table-Cell-CenterBoldBefore6ptAfter6pt"/>
              <w:spacing w:before="60" w:after="60"/>
              <w:rPr>
                <w:rFonts w:cs="Arial"/>
              </w:rPr>
            </w:pPr>
          </w:p>
        </w:tc>
        <w:tc>
          <w:tcPr>
            <w:tcW w:w="3211" w:type="dxa"/>
          </w:tcPr>
          <w:p w14:paraId="6AAE9DE6" w14:textId="77777777" w:rsidR="000F5EDF" w:rsidRPr="005B5418" w:rsidRDefault="000F5EDF" w:rsidP="008848DA">
            <w:pPr>
              <w:pStyle w:val="Table-Cell-Left"/>
              <w:spacing w:before="60" w:after="60" w:line="240" w:lineRule="auto"/>
              <w:rPr>
                <w:rFonts w:cs="Arial"/>
              </w:rPr>
            </w:pPr>
          </w:p>
        </w:tc>
      </w:tr>
      <w:tr w:rsidR="000F5EDF" w:rsidRPr="005B5418" w14:paraId="73FFF4B9" w14:textId="77777777" w:rsidTr="00DA6DCF">
        <w:trPr>
          <w:trHeight w:val="1817"/>
        </w:trPr>
        <w:tc>
          <w:tcPr>
            <w:tcW w:w="5410" w:type="dxa"/>
          </w:tcPr>
          <w:p w14:paraId="5656ACAF" w14:textId="1AA55E77" w:rsidR="000F5EDF" w:rsidRPr="005B5418" w:rsidRDefault="000F5EDF" w:rsidP="00343610">
            <w:pPr>
              <w:pStyle w:val="FAM-Table-outline"/>
              <w:widowControl/>
              <w:numPr>
                <w:ilvl w:val="0"/>
                <w:numId w:val="17"/>
              </w:numPr>
              <w:adjustRightInd/>
              <w:spacing w:line="240" w:lineRule="auto"/>
              <w:textAlignment w:val="auto"/>
              <w:rPr>
                <w:rFonts w:eastAsia="Arial Unicode MS" w:cs="Arial"/>
                <w:szCs w:val="22"/>
              </w:rPr>
            </w:pPr>
            <w:r w:rsidRPr="005B5418">
              <w:rPr>
                <w:rFonts w:eastAsia="Arial Unicode MS"/>
              </w:rPr>
              <w:t>Does the administrative entity report the liability and recognize the expense for the net amount of all components</w:t>
            </w:r>
            <w:r w:rsidR="008077AD" w:rsidRPr="005B5418">
              <w:t xml:space="preserve"> </w:t>
            </w:r>
            <w:r w:rsidR="008077AD" w:rsidRPr="005B5418">
              <w:rPr>
                <w:rFonts w:eastAsia="Arial Unicode MS"/>
              </w:rPr>
              <w:t>of the pension plan’s cost,</w:t>
            </w:r>
            <w:r w:rsidRPr="005B5418">
              <w:rPr>
                <w:rStyle w:val="FootnoteReference"/>
                <w:rFonts w:eastAsia="Arial Unicode MS" w:cs="Arial"/>
                <w:szCs w:val="22"/>
              </w:rPr>
              <w:footnoteReference w:id="167"/>
            </w:r>
            <w:r w:rsidRPr="005B5418">
              <w:rPr>
                <w:rFonts w:eastAsia="Arial Unicode MS"/>
              </w:rPr>
              <w:t xml:space="preserve"> including in instances </w:t>
            </w:r>
            <w:r w:rsidR="008077AD" w:rsidRPr="005B5418">
              <w:rPr>
                <w:rFonts w:eastAsia="Arial Unicode MS"/>
              </w:rPr>
              <w:t xml:space="preserve">where </w:t>
            </w:r>
            <w:r w:rsidRPr="005B5418">
              <w:rPr>
                <w:rFonts w:eastAsia="Arial Unicode MS"/>
              </w:rPr>
              <w:t>it is also the employer entity? (SFFAS 5, par</w:t>
            </w:r>
            <w:r w:rsidR="008077AD" w:rsidRPr="005B5418">
              <w:rPr>
                <w:rFonts w:eastAsia="Arial Unicode MS"/>
              </w:rPr>
              <w:t>as</w:t>
            </w:r>
            <w:r w:rsidRPr="005B5418">
              <w:rPr>
                <w:rFonts w:eastAsia="Arial Unicode MS"/>
              </w:rPr>
              <w:t>. 71</w:t>
            </w:r>
            <w:r w:rsidR="008077AD" w:rsidRPr="005B5418">
              <w:rPr>
                <w:rFonts w:eastAsia="Arial Unicode MS"/>
              </w:rPr>
              <w:t>–</w:t>
            </w:r>
            <w:r w:rsidRPr="005B5418">
              <w:rPr>
                <w:rFonts w:eastAsia="Arial Unicode MS"/>
              </w:rPr>
              <w:t>72 and 76)</w:t>
            </w:r>
          </w:p>
        </w:tc>
        <w:tc>
          <w:tcPr>
            <w:tcW w:w="965" w:type="dxa"/>
          </w:tcPr>
          <w:p w14:paraId="562B9269" w14:textId="77777777" w:rsidR="000F5EDF" w:rsidRPr="005B5418" w:rsidRDefault="000F5EDF" w:rsidP="008848DA">
            <w:pPr>
              <w:pStyle w:val="Table-Cell-CenterBoldBefore6ptAfter6pt"/>
              <w:spacing w:before="60" w:after="60"/>
              <w:rPr>
                <w:rFonts w:cs="Arial"/>
              </w:rPr>
            </w:pPr>
          </w:p>
        </w:tc>
        <w:tc>
          <w:tcPr>
            <w:tcW w:w="3211" w:type="dxa"/>
          </w:tcPr>
          <w:p w14:paraId="609CA201" w14:textId="77777777" w:rsidR="000F5EDF" w:rsidRPr="005B5418" w:rsidRDefault="000F5EDF" w:rsidP="008848DA">
            <w:pPr>
              <w:pStyle w:val="Table-Cell-Left"/>
              <w:spacing w:before="60" w:after="60" w:line="240" w:lineRule="auto"/>
              <w:rPr>
                <w:rFonts w:cs="Arial"/>
              </w:rPr>
            </w:pPr>
          </w:p>
        </w:tc>
      </w:tr>
      <w:tr w:rsidR="005D3ACF" w:rsidRPr="005B5418" w14:paraId="2FEA2FC7" w14:textId="77777777" w:rsidTr="00DA6DCF">
        <w:trPr>
          <w:trHeight w:val="1817"/>
        </w:trPr>
        <w:tc>
          <w:tcPr>
            <w:tcW w:w="5410" w:type="dxa"/>
          </w:tcPr>
          <w:p w14:paraId="3D5C60C8" w14:textId="56558089"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cs="Arial"/>
                <w:szCs w:val="22"/>
              </w:rPr>
              <w:t>Does the administrative entity use the aggregate entry age normal actuarial cost method (or other actuarial cost method, if the results are not materially different and an explanation is provided) applied on the basis of a level percentage of earnings to calculate pension liabilities and expenses? (SFFAS 5, par</w:t>
            </w:r>
            <w:r w:rsidR="008077AD" w:rsidRPr="005B5418">
              <w:rPr>
                <w:rFonts w:eastAsia="Arial Unicode MS" w:cs="Arial"/>
                <w:szCs w:val="22"/>
              </w:rPr>
              <w:t>as</w:t>
            </w:r>
            <w:r w:rsidRPr="005B5418">
              <w:rPr>
                <w:rFonts w:eastAsia="Arial Unicode MS" w:cs="Arial"/>
                <w:szCs w:val="22"/>
              </w:rPr>
              <w:t>. 64 and 71)</w:t>
            </w:r>
          </w:p>
        </w:tc>
        <w:tc>
          <w:tcPr>
            <w:tcW w:w="965" w:type="dxa"/>
          </w:tcPr>
          <w:p w14:paraId="1BF9B100" w14:textId="77777777" w:rsidR="005D3ACF" w:rsidRPr="005B5418" w:rsidRDefault="005D3ACF" w:rsidP="008848DA">
            <w:pPr>
              <w:pStyle w:val="Table-Cell-CenterBoldBefore6ptAfter6pt"/>
              <w:spacing w:before="60" w:after="60"/>
              <w:rPr>
                <w:rFonts w:cs="Arial"/>
              </w:rPr>
            </w:pPr>
          </w:p>
        </w:tc>
        <w:tc>
          <w:tcPr>
            <w:tcW w:w="3211" w:type="dxa"/>
          </w:tcPr>
          <w:p w14:paraId="55080665" w14:textId="77777777" w:rsidR="005D3ACF" w:rsidRPr="005B5418" w:rsidRDefault="005D3ACF" w:rsidP="008848DA">
            <w:pPr>
              <w:pStyle w:val="Table-Cell-Left"/>
              <w:spacing w:before="60" w:after="60" w:line="240" w:lineRule="auto"/>
              <w:rPr>
                <w:rFonts w:cs="Arial"/>
              </w:rPr>
            </w:pPr>
          </w:p>
        </w:tc>
      </w:tr>
      <w:tr w:rsidR="005D3ACF" w:rsidRPr="005B5418" w14:paraId="1A98A390" w14:textId="77777777" w:rsidTr="00DA6DCF">
        <w:trPr>
          <w:trHeight w:val="713"/>
        </w:trPr>
        <w:tc>
          <w:tcPr>
            <w:tcW w:w="5410" w:type="dxa"/>
          </w:tcPr>
          <w:p w14:paraId="4637AC06" w14:textId="4A1A85B2"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 xml:space="preserve">Are estimated pension liabilities and expenses measured as of the end of the fiscal year (or </w:t>
            </w:r>
            <w:r w:rsidRPr="005B5418">
              <w:rPr>
                <w:rFonts w:eastAsia="Arial Unicode MS"/>
              </w:rPr>
              <w:lastRenderedPageBreak/>
              <w:t>other reporting period</w:t>
            </w:r>
            <w:r w:rsidR="00585659" w:rsidRPr="005B5418">
              <w:rPr>
                <w:rFonts w:eastAsia="Arial Unicode MS"/>
              </w:rPr>
              <w:t>,</w:t>
            </w:r>
            <w:r w:rsidRPr="005B5418">
              <w:rPr>
                <w:rFonts w:eastAsia="Arial Unicode MS"/>
              </w:rPr>
              <w:t xml:space="preserve"> if applicable)?</w:t>
            </w:r>
            <w:r w:rsidRPr="005B5418">
              <w:rPr>
                <w:rStyle w:val="FootnoteReference"/>
                <w:rFonts w:eastAsia="Arial Unicode MS"/>
              </w:rPr>
              <w:footnoteReference w:id="168"/>
            </w:r>
            <w:r w:rsidRPr="005B5418">
              <w:rPr>
                <w:rFonts w:eastAsia="Arial Unicode MS"/>
              </w:rPr>
              <w:t xml:space="preserve"> (SFFAS 33, par</w:t>
            </w:r>
            <w:r w:rsidR="00585659" w:rsidRPr="005B5418">
              <w:rPr>
                <w:rFonts w:eastAsia="Arial Unicode MS"/>
              </w:rPr>
              <w:t>a</w:t>
            </w:r>
            <w:r w:rsidRPr="005B5418">
              <w:rPr>
                <w:rFonts w:eastAsia="Arial Unicode MS"/>
              </w:rPr>
              <w:t>. 33)</w:t>
            </w:r>
          </w:p>
        </w:tc>
        <w:tc>
          <w:tcPr>
            <w:tcW w:w="965" w:type="dxa"/>
          </w:tcPr>
          <w:p w14:paraId="60CF4E00" w14:textId="77777777" w:rsidR="005D3ACF" w:rsidRPr="005B5418" w:rsidRDefault="005D3ACF" w:rsidP="008848DA">
            <w:pPr>
              <w:pStyle w:val="Table-Cell-CenterBoldBefore6ptAfter6pt"/>
              <w:spacing w:before="60" w:after="60"/>
              <w:rPr>
                <w:rFonts w:cs="Arial"/>
              </w:rPr>
            </w:pPr>
          </w:p>
        </w:tc>
        <w:tc>
          <w:tcPr>
            <w:tcW w:w="3211" w:type="dxa"/>
          </w:tcPr>
          <w:p w14:paraId="0BF03E74" w14:textId="77777777" w:rsidR="005D3ACF" w:rsidRPr="005B5418" w:rsidRDefault="005D3ACF" w:rsidP="008848DA">
            <w:pPr>
              <w:pStyle w:val="Table-Cell-Left"/>
              <w:spacing w:before="60" w:after="60" w:line="240" w:lineRule="auto"/>
              <w:rPr>
                <w:rFonts w:cs="Arial"/>
              </w:rPr>
            </w:pPr>
          </w:p>
        </w:tc>
      </w:tr>
      <w:tr w:rsidR="005D3ACF" w:rsidRPr="005B5418" w14:paraId="0EE3F9AD" w14:textId="77777777" w:rsidTr="00DA6DCF">
        <w:trPr>
          <w:trHeight w:val="1817"/>
        </w:trPr>
        <w:tc>
          <w:tcPr>
            <w:tcW w:w="5410" w:type="dxa"/>
          </w:tcPr>
          <w:p w14:paraId="6CC7805C" w14:textId="6C97451B"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use the Standards of Practice of the Actuarial Standards Board to guide its selection of the actuarial assumptions used to calculate the pension liability (and expense)? (SFFAS 5, par</w:t>
            </w:r>
            <w:r w:rsidR="00585659" w:rsidRPr="005B5418">
              <w:rPr>
                <w:rFonts w:eastAsia="Arial Unicode MS"/>
              </w:rPr>
              <w:t>a</w:t>
            </w:r>
            <w:r w:rsidRPr="005B5418">
              <w:rPr>
                <w:rFonts w:eastAsia="Arial Unicode MS"/>
              </w:rPr>
              <w:t>. 65)</w:t>
            </w:r>
          </w:p>
        </w:tc>
        <w:tc>
          <w:tcPr>
            <w:tcW w:w="965" w:type="dxa"/>
          </w:tcPr>
          <w:p w14:paraId="3C943A57" w14:textId="77777777" w:rsidR="005D3ACF" w:rsidRPr="005B5418" w:rsidRDefault="005D3ACF" w:rsidP="008848DA">
            <w:pPr>
              <w:pStyle w:val="Table-Cell-CenterBoldBefore6ptAfter6pt"/>
              <w:spacing w:before="60" w:after="60"/>
              <w:rPr>
                <w:rFonts w:cs="Arial"/>
              </w:rPr>
            </w:pPr>
          </w:p>
        </w:tc>
        <w:tc>
          <w:tcPr>
            <w:tcW w:w="3211" w:type="dxa"/>
          </w:tcPr>
          <w:p w14:paraId="1D8EEB42" w14:textId="77777777" w:rsidR="005D3ACF" w:rsidRPr="005B5418" w:rsidRDefault="005D3ACF" w:rsidP="008848DA">
            <w:pPr>
              <w:pStyle w:val="Table-Cell-Left"/>
              <w:spacing w:before="60" w:after="60" w:line="240" w:lineRule="auto"/>
              <w:rPr>
                <w:rFonts w:cs="Arial"/>
              </w:rPr>
            </w:pPr>
          </w:p>
        </w:tc>
      </w:tr>
      <w:tr w:rsidR="005D3ACF" w:rsidRPr="005B5418" w14:paraId="6D5B0A1B" w14:textId="77777777" w:rsidTr="00DA6DCF">
        <w:trPr>
          <w:trHeight w:val="1115"/>
        </w:trPr>
        <w:tc>
          <w:tcPr>
            <w:tcW w:w="5410" w:type="dxa"/>
          </w:tcPr>
          <w:p w14:paraId="5AEE2C40" w14:textId="77777777" w:rsidR="005D3ACF" w:rsidRPr="005B5418" w:rsidRDefault="005D3ACF" w:rsidP="00CF6813">
            <w:pPr>
              <w:pStyle w:val="FAM-Table-outline"/>
              <w:spacing w:line="240" w:lineRule="auto"/>
              <w:rPr>
                <w:rFonts w:eastAsia="Arial Unicode MS"/>
              </w:rPr>
            </w:pPr>
            <w:r w:rsidRPr="005B5418">
              <w:rPr>
                <w:rFonts w:eastAsia="Arial Unicode MS"/>
              </w:rPr>
              <w:t xml:space="preserve">Does the administrative entity </w:t>
            </w:r>
          </w:p>
          <w:p w14:paraId="7E247B3F" w14:textId="00B67D83" w:rsidR="005D3ACF" w:rsidRPr="005B5418" w:rsidRDefault="005D3ACF" w:rsidP="005425ED">
            <w:pPr>
              <w:pStyle w:val="FAM-Table-outline2"/>
              <w:spacing w:line="240" w:lineRule="auto"/>
              <w:ind w:left="1140" w:hanging="443"/>
            </w:pPr>
            <w:r w:rsidRPr="005B5418">
              <w:t xml:space="preserve">base the discount rate assumption for present value measurements of pension plan liabilities on marketable Treasury securities of similar maturities to the cash flows of the payments for which the estimate is being made and </w:t>
            </w:r>
          </w:p>
          <w:p w14:paraId="58992495" w14:textId="476EF1EB" w:rsidR="005D3ACF" w:rsidRPr="005B5418" w:rsidRDefault="005D3ACF" w:rsidP="005425ED">
            <w:pPr>
              <w:pStyle w:val="FAM-Table-outline2"/>
              <w:spacing w:line="240" w:lineRule="auto"/>
              <w:ind w:left="1140" w:hanging="443"/>
              <w:rPr>
                <w:rFonts w:eastAsia="Arial Unicode MS"/>
              </w:rPr>
            </w:pPr>
            <w:r w:rsidRPr="005B5418">
              <w:t>match the discount rates with the expected timing of the associated expected cash outflow</w:t>
            </w:r>
            <w:r w:rsidR="004B521D" w:rsidRPr="005B5418">
              <w:t>?</w:t>
            </w:r>
            <w:r w:rsidRPr="005B5418">
              <w:rPr>
                <w:rStyle w:val="FootnoteReference"/>
              </w:rPr>
              <w:footnoteReference w:id="169"/>
            </w:r>
            <w:r w:rsidRPr="005B5418">
              <w:t xml:space="preserve"> (SFFAS 5, par</w:t>
            </w:r>
            <w:r w:rsidR="00585659" w:rsidRPr="005B5418">
              <w:t>a</w:t>
            </w:r>
            <w:r w:rsidRPr="005B5418">
              <w:t>. 66)</w:t>
            </w:r>
          </w:p>
        </w:tc>
        <w:tc>
          <w:tcPr>
            <w:tcW w:w="965" w:type="dxa"/>
          </w:tcPr>
          <w:p w14:paraId="061D5C59" w14:textId="77777777" w:rsidR="005D3ACF" w:rsidRPr="005B5418" w:rsidRDefault="005D3ACF" w:rsidP="008848DA">
            <w:pPr>
              <w:pStyle w:val="Table-Cell-CenterBoldBefore6ptAfter6pt"/>
              <w:spacing w:before="60" w:after="60"/>
              <w:rPr>
                <w:rFonts w:cs="Arial"/>
              </w:rPr>
            </w:pPr>
          </w:p>
        </w:tc>
        <w:tc>
          <w:tcPr>
            <w:tcW w:w="3211" w:type="dxa"/>
          </w:tcPr>
          <w:p w14:paraId="2F6C6B3F" w14:textId="77777777" w:rsidR="005D3ACF" w:rsidRPr="005B5418" w:rsidRDefault="005D3ACF" w:rsidP="008848DA">
            <w:pPr>
              <w:pStyle w:val="Table-Cell-Left"/>
              <w:spacing w:before="60" w:after="60" w:line="240" w:lineRule="auto"/>
              <w:rPr>
                <w:rFonts w:cs="Arial"/>
              </w:rPr>
            </w:pPr>
          </w:p>
        </w:tc>
      </w:tr>
      <w:tr w:rsidR="005D3ACF" w:rsidRPr="005B5418" w14:paraId="2CA82FFC" w14:textId="77777777" w:rsidTr="00DA6DCF">
        <w:trPr>
          <w:trHeight w:val="1817"/>
        </w:trPr>
        <w:tc>
          <w:tcPr>
            <w:tcW w:w="5410" w:type="dxa"/>
          </w:tcPr>
          <w:p w14:paraId="589F8CD1" w14:textId="43611B10"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 the rates used to develop the discount rate assumptions for present value measurement of pension liabilities reflect average historical rates on marketable Treasury securities</w:t>
            </w:r>
            <w:r w:rsidR="00585659" w:rsidRPr="005B5418">
              <w:rPr>
                <w:rFonts w:eastAsia="Arial Unicode MS"/>
              </w:rPr>
              <w:t>,</w:t>
            </w:r>
            <w:r w:rsidRPr="005B5418">
              <w:rPr>
                <w:rFonts w:eastAsia="Arial Unicode MS"/>
              </w:rPr>
              <w:t xml:space="preserve"> rather than giving undue weight to the current or very recent past experience of such rates?</w:t>
            </w:r>
            <w:r w:rsidRPr="005B5418">
              <w:rPr>
                <w:rStyle w:val="FootnoteReference"/>
                <w:rFonts w:eastAsia="Arial Unicode MS" w:cs="Arial"/>
                <w:szCs w:val="22"/>
              </w:rPr>
              <w:footnoteReference w:id="170"/>
            </w:r>
            <w:r w:rsidRPr="005B5418">
              <w:rPr>
                <w:rFonts w:eastAsia="Arial Unicode MS"/>
              </w:rPr>
              <w:t xml:space="preserve"> (SFFAS 5, par</w:t>
            </w:r>
            <w:r w:rsidR="00585659" w:rsidRPr="005B5418">
              <w:rPr>
                <w:rFonts w:eastAsia="Arial Unicode MS"/>
              </w:rPr>
              <w:t>a</w:t>
            </w:r>
            <w:r w:rsidRPr="005B5418">
              <w:rPr>
                <w:rFonts w:eastAsia="Arial Unicode MS"/>
              </w:rPr>
              <w:t>. 66)</w:t>
            </w:r>
          </w:p>
        </w:tc>
        <w:tc>
          <w:tcPr>
            <w:tcW w:w="965" w:type="dxa"/>
          </w:tcPr>
          <w:p w14:paraId="7BEA140D" w14:textId="77777777" w:rsidR="005D3ACF" w:rsidRPr="005B5418" w:rsidRDefault="005D3ACF" w:rsidP="008848DA">
            <w:pPr>
              <w:pStyle w:val="Table-Cell-CenterBoldBefore6ptAfter6pt"/>
              <w:spacing w:before="60" w:after="60"/>
              <w:rPr>
                <w:rFonts w:cs="Arial"/>
              </w:rPr>
            </w:pPr>
          </w:p>
        </w:tc>
        <w:tc>
          <w:tcPr>
            <w:tcW w:w="3211" w:type="dxa"/>
          </w:tcPr>
          <w:p w14:paraId="5E1026AA" w14:textId="77777777" w:rsidR="005D3ACF" w:rsidRPr="005B5418" w:rsidRDefault="005D3ACF" w:rsidP="008848DA">
            <w:pPr>
              <w:pStyle w:val="Table-Cell-Left"/>
              <w:spacing w:before="60" w:after="60" w:line="240" w:lineRule="auto"/>
              <w:rPr>
                <w:rFonts w:cs="Arial"/>
              </w:rPr>
            </w:pPr>
          </w:p>
        </w:tc>
      </w:tr>
      <w:tr w:rsidR="005D3ACF" w:rsidRPr="005B5418" w14:paraId="0B5DD275" w14:textId="77777777" w:rsidTr="00DA6DCF">
        <w:trPr>
          <w:trHeight w:val="1817"/>
        </w:trPr>
        <w:tc>
          <w:tcPr>
            <w:tcW w:w="5410" w:type="dxa"/>
          </w:tcPr>
          <w:p w14:paraId="4B45A36C" w14:textId="35950841"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use a minimum of five historical rates as of the appropriate reporting dates for each maturity when developing the average historical Treasury rates? (SFFAS 5, par</w:t>
            </w:r>
            <w:r w:rsidR="000772A3" w:rsidRPr="005B5418">
              <w:rPr>
                <w:rFonts w:eastAsia="Arial Unicode MS"/>
              </w:rPr>
              <w:t>a</w:t>
            </w:r>
            <w:r w:rsidRPr="005B5418">
              <w:rPr>
                <w:rFonts w:eastAsia="Arial Unicode MS"/>
              </w:rPr>
              <w:t>. 66)</w:t>
            </w:r>
          </w:p>
        </w:tc>
        <w:tc>
          <w:tcPr>
            <w:tcW w:w="965" w:type="dxa"/>
          </w:tcPr>
          <w:p w14:paraId="499B4E03" w14:textId="77777777" w:rsidR="005D3ACF" w:rsidRPr="005B5418" w:rsidRDefault="005D3ACF" w:rsidP="008848DA">
            <w:pPr>
              <w:pStyle w:val="Table-Cell-CenterBoldBefore6ptAfter6pt"/>
              <w:spacing w:before="60" w:after="60"/>
              <w:rPr>
                <w:rFonts w:cs="Arial"/>
              </w:rPr>
            </w:pPr>
          </w:p>
        </w:tc>
        <w:tc>
          <w:tcPr>
            <w:tcW w:w="3211" w:type="dxa"/>
          </w:tcPr>
          <w:p w14:paraId="660C9284" w14:textId="77777777" w:rsidR="005D3ACF" w:rsidRPr="005B5418" w:rsidRDefault="005D3ACF" w:rsidP="008848DA">
            <w:pPr>
              <w:pStyle w:val="Table-Cell-Left"/>
              <w:spacing w:before="60" w:after="60" w:line="240" w:lineRule="auto"/>
              <w:rPr>
                <w:rFonts w:cs="Arial"/>
              </w:rPr>
            </w:pPr>
          </w:p>
        </w:tc>
      </w:tr>
      <w:tr w:rsidR="005D3ACF" w:rsidRPr="005B5418" w14:paraId="5AFE56D4" w14:textId="77777777" w:rsidTr="008848DA">
        <w:trPr>
          <w:trHeight w:val="602"/>
        </w:trPr>
        <w:tc>
          <w:tcPr>
            <w:tcW w:w="5410" w:type="dxa"/>
          </w:tcPr>
          <w:p w14:paraId="295F99B0" w14:textId="2990DB52"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lastRenderedPageBreak/>
              <w:t>Is the number of historical rates used by the administrative entity to calculate the average rates consistent from period to period? (SFFAS 5, par</w:t>
            </w:r>
            <w:r w:rsidR="000772A3" w:rsidRPr="005B5418">
              <w:rPr>
                <w:rFonts w:eastAsia="Arial Unicode MS"/>
              </w:rPr>
              <w:t>a</w:t>
            </w:r>
            <w:r w:rsidRPr="005B5418">
              <w:rPr>
                <w:rFonts w:eastAsia="Arial Unicode MS"/>
              </w:rPr>
              <w:t>. 66)</w:t>
            </w:r>
          </w:p>
        </w:tc>
        <w:tc>
          <w:tcPr>
            <w:tcW w:w="965" w:type="dxa"/>
          </w:tcPr>
          <w:p w14:paraId="5397BDD8" w14:textId="77777777" w:rsidR="005D3ACF" w:rsidRPr="005B5418" w:rsidRDefault="005D3ACF" w:rsidP="008848DA">
            <w:pPr>
              <w:pStyle w:val="Table-Cell-CenterBoldBefore6ptAfter6pt"/>
              <w:spacing w:before="60" w:after="60"/>
              <w:rPr>
                <w:rFonts w:cs="Arial"/>
              </w:rPr>
            </w:pPr>
          </w:p>
        </w:tc>
        <w:tc>
          <w:tcPr>
            <w:tcW w:w="3211" w:type="dxa"/>
          </w:tcPr>
          <w:p w14:paraId="7F5AD730" w14:textId="77777777" w:rsidR="005D3ACF" w:rsidRPr="005B5418" w:rsidRDefault="005D3ACF" w:rsidP="008848DA">
            <w:pPr>
              <w:pStyle w:val="Table-Cell-Left"/>
              <w:spacing w:before="60" w:after="60" w:line="240" w:lineRule="auto"/>
              <w:rPr>
                <w:rFonts w:cs="Arial"/>
              </w:rPr>
            </w:pPr>
          </w:p>
        </w:tc>
      </w:tr>
      <w:tr w:rsidR="005D3ACF" w:rsidRPr="005B5418" w14:paraId="0A05970E" w14:textId="77777777" w:rsidTr="00DA6DCF">
        <w:trPr>
          <w:trHeight w:val="1295"/>
        </w:trPr>
        <w:tc>
          <w:tcPr>
            <w:tcW w:w="5410" w:type="dxa"/>
          </w:tcPr>
          <w:p w14:paraId="6A55EFBC" w14:textId="4193E5ED"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Are the historical rates used by the administrative entity to calculate the average rates sequential? (SFFAS 5, par</w:t>
            </w:r>
            <w:r w:rsidR="000772A3" w:rsidRPr="005B5418">
              <w:rPr>
                <w:rFonts w:eastAsia="Arial Unicode MS"/>
              </w:rPr>
              <w:t>a</w:t>
            </w:r>
            <w:r w:rsidRPr="005B5418">
              <w:rPr>
                <w:rFonts w:eastAsia="Arial Unicode MS"/>
              </w:rPr>
              <w:t>. 66)</w:t>
            </w:r>
          </w:p>
        </w:tc>
        <w:tc>
          <w:tcPr>
            <w:tcW w:w="965" w:type="dxa"/>
          </w:tcPr>
          <w:p w14:paraId="7DDAEEA3" w14:textId="77777777" w:rsidR="005D3ACF" w:rsidRPr="005B5418" w:rsidRDefault="005D3ACF" w:rsidP="008848DA">
            <w:pPr>
              <w:pStyle w:val="Table-Cell-CenterBoldBefore6ptAfter6pt"/>
              <w:spacing w:before="60" w:after="60"/>
              <w:rPr>
                <w:rFonts w:cs="Arial"/>
              </w:rPr>
            </w:pPr>
          </w:p>
        </w:tc>
        <w:tc>
          <w:tcPr>
            <w:tcW w:w="3211" w:type="dxa"/>
          </w:tcPr>
          <w:p w14:paraId="5301E045" w14:textId="77777777" w:rsidR="005D3ACF" w:rsidRPr="005B5418" w:rsidRDefault="005D3ACF" w:rsidP="008848DA">
            <w:pPr>
              <w:pStyle w:val="Table-Cell-Left"/>
              <w:spacing w:before="60" w:after="60" w:line="240" w:lineRule="auto"/>
              <w:rPr>
                <w:rFonts w:cs="Arial"/>
              </w:rPr>
            </w:pPr>
          </w:p>
        </w:tc>
      </w:tr>
      <w:tr w:rsidR="005D3ACF" w:rsidRPr="005B5418" w14:paraId="7CB1F05C" w14:textId="77777777" w:rsidTr="00DA6DCF">
        <w:trPr>
          <w:trHeight w:val="575"/>
        </w:trPr>
        <w:tc>
          <w:tcPr>
            <w:tcW w:w="5410" w:type="dxa"/>
          </w:tcPr>
          <w:p w14:paraId="13809B5A" w14:textId="40149331"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 xml:space="preserve">If there are cash flows that are projected to occur in future years for which Treasury securities are not available or that extend beyond maturities for which Treasury securities are available </w:t>
            </w:r>
            <w:r w:rsidR="000772A3" w:rsidRPr="005B5418">
              <w:rPr>
                <w:rFonts w:eastAsia="Arial Unicode MS"/>
              </w:rPr>
              <w:t>(</w:t>
            </w:r>
            <w:r w:rsidRPr="005B5418">
              <w:rPr>
                <w:rFonts w:eastAsia="Arial Unicode MS"/>
              </w:rPr>
              <w:t>e.g.</w:t>
            </w:r>
            <w:r w:rsidR="003E522F" w:rsidRPr="005B5418">
              <w:rPr>
                <w:rFonts w:eastAsia="Arial Unicode MS"/>
              </w:rPr>
              <w:t>,</w:t>
            </w:r>
            <w:r w:rsidRPr="005B5418">
              <w:rPr>
                <w:rFonts w:eastAsia="Arial Unicode MS"/>
              </w:rPr>
              <w:t xml:space="preserve"> beyond the 30-year security</w:t>
            </w:r>
            <w:r w:rsidR="000772A3" w:rsidRPr="005B5418">
              <w:rPr>
                <w:rFonts w:eastAsia="Arial Unicode MS"/>
              </w:rPr>
              <w:t>)</w:t>
            </w:r>
            <w:r w:rsidRPr="005B5418">
              <w:rPr>
                <w:rFonts w:eastAsia="Arial Unicode MS"/>
              </w:rPr>
              <w:t>, does the administrative entity incorporate expected refinancing rates extrapolated from historical Treasury borrowing rates in the assumed discount rate? (SFFAS 5, par</w:t>
            </w:r>
            <w:r w:rsidR="000772A3" w:rsidRPr="005B5418">
              <w:rPr>
                <w:rFonts w:eastAsia="Arial Unicode MS"/>
              </w:rPr>
              <w:t>a</w:t>
            </w:r>
            <w:r w:rsidRPr="005B5418">
              <w:rPr>
                <w:rFonts w:eastAsia="Arial Unicode MS"/>
              </w:rPr>
              <w:t>. 66)</w:t>
            </w:r>
          </w:p>
        </w:tc>
        <w:tc>
          <w:tcPr>
            <w:tcW w:w="965" w:type="dxa"/>
          </w:tcPr>
          <w:p w14:paraId="47D48610" w14:textId="77777777" w:rsidR="005D3ACF" w:rsidRPr="005B5418" w:rsidRDefault="005D3ACF" w:rsidP="008848DA">
            <w:pPr>
              <w:pStyle w:val="Table-Cell-CenterBoldBefore6ptAfter6pt"/>
              <w:spacing w:before="60" w:after="60"/>
              <w:rPr>
                <w:rFonts w:cs="Arial"/>
              </w:rPr>
            </w:pPr>
          </w:p>
        </w:tc>
        <w:tc>
          <w:tcPr>
            <w:tcW w:w="3211" w:type="dxa"/>
          </w:tcPr>
          <w:p w14:paraId="3F2800C2" w14:textId="77777777" w:rsidR="005D3ACF" w:rsidRPr="005B5418" w:rsidRDefault="005D3ACF" w:rsidP="008848DA">
            <w:pPr>
              <w:pStyle w:val="Table-Cell-Left"/>
              <w:spacing w:before="60" w:after="60" w:line="240" w:lineRule="auto"/>
              <w:rPr>
                <w:rFonts w:cs="Arial"/>
              </w:rPr>
            </w:pPr>
          </w:p>
        </w:tc>
      </w:tr>
      <w:tr w:rsidR="005D3ACF" w:rsidRPr="005B5418" w14:paraId="343841C1" w14:textId="77777777" w:rsidTr="00DA6DCF">
        <w:trPr>
          <w:trHeight w:val="1268"/>
        </w:trPr>
        <w:tc>
          <w:tcPr>
            <w:tcW w:w="5410" w:type="dxa"/>
          </w:tcPr>
          <w:p w14:paraId="515EEA1D" w14:textId="2C81FD16"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use a valuation date for the full actuarial valuation of pensions that is consistently followed from year to year? (SFFAS 33, par</w:t>
            </w:r>
            <w:r w:rsidR="000772A3" w:rsidRPr="005B5418">
              <w:rPr>
                <w:rFonts w:eastAsia="Arial Unicode MS"/>
              </w:rPr>
              <w:t>a</w:t>
            </w:r>
            <w:r w:rsidRPr="005B5418">
              <w:rPr>
                <w:rFonts w:eastAsia="Arial Unicode MS"/>
              </w:rPr>
              <w:t>. 34)</w:t>
            </w:r>
          </w:p>
        </w:tc>
        <w:tc>
          <w:tcPr>
            <w:tcW w:w="965" w:type="dxa"/>
          </w:tcPr>
          <w:p w14:paraId="41483B91" w14:textId="77777777" w:rsidR="005D3ACF" w:rsidRPr="005B5418" w:rsidRDefault="005D3ACF" w:rsidP="008848DA">
            <w:pPr>
              <w:pStyle w:val="Table-Cell-CenterBoldBefore6ptAfter6pt"/>
              <w:spacing w:before="60" w:after="60"/>
              <w:rPr>
                <w:rFonts w:cs="Arial"/>
              </w:rPr>
            </w:pPr>
          </w:p>
        </w:tc>
        <w:tc>
          <w:tcPr>
            <w:tcW w:w="3211" w:type="dxa"/>
          </w:tcPr>
          <w:p w14:paraId="0B220C23" w14:textId="77777777" w:rsidR="005D3ACF" w:rsidRPr="005B5418" w:rsidRDefault="005D3ACF" w:rsidP="008848DA">
            <w:pPr>
              <w:pStyle w:val="Table-Cell-Left"/>
              <w:spacing w:before="60" w:after="60" w:line="240" w:lineRule="auto"/>
              <w:rPr>
                <w:rFonts w:cs="Arial"/>
              </w:rPr>
            </w:pPr>
          </w:p>
        </w:tc>
      </w:tr>
      <w:tr w:rsidR="005D3ACF" w:rsidRPr="005B5418" w14:paraId="14191452" w14:textId="77777777" w:rsidTr="00DA6DCF">
        <w:trPr>
          <w:trHeight w:val="1817"/>
        </w:trPr>
        <w:tc>
          <w:tcPr>
            <w:tcW w:w="5410" w:type="dxa"/>
          </w:tcPr>
          <w:p w14:paraId="6D3F54F0" w14:textId="40EC1CE2"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calculate the pension liability as the actuarial present value of all future benefits, based on projected salaries and total projected service, less the actuarial present value of future normal cost contributions that would be made for and by the employees under the plan? (SFFAS 5, par</w:t>
            </w:r>
            <w:r w:rsidR="000772A3" w:rsidRPr="005B5418">
              <w:rPr>
                <w:rFonts w:eastAsia="Arial Unicode MS"/>
              </w:rPr>
              <w:t>a</w:t>
            </w:r>
            <w:r w:rsidRPr="005B5418">
              <w:rPr>
                <w:rFonts w:eastAsia="Arial Unicode MS"/>
              </w:rPr>
              <w:t>. 71)</w:t>
            </w:r>
          </w:p>
        </w:tc>
        <w:tc>
          <w:tcPr>
            <w:tcW w:w="965" w:type="dxa"/>
          </w:tcPr>
          <w:p w14:paraId="31AA747F" w14:textId="77777777" w:rsidR="005D3ACF" w:rsidRPr="005B5418" w:rsidRDefault="005D3ACF" w:rsidP="008848DA">
            <w:pPr>
              <w:pStyle w:val="Table-Cell-CenterBoldBefore6ptAfter6pt"/>
              <w:spacing w:before="60" w:after="60"/>
              <w:rPr>
                <w:rFonts w:cs="Arial"/>
              </w:rPr>
            </w:pPr>
          </w:p>
        </w:tc>
        <w:tc>
          <w:tcPr>
            <w:tcW w:w="3211" w:type="dxa"/>
          </w:tcPr>
          <w:p w14:paraId="734408F8" w14:textId="77777777" w:rsidR="005D3ACF" w:rsidRPr="005B5418" w:rsidRDefault="005D3ACF" w:rsidP="008848DA">
            <w:pPr>
              <w:pStyle w:val="Table-Cell-Left"/>
              <w:spacing w:before="60" w:after="60" w:line="240" w:lineRule="auto"/>
              <w:rPr>
                <w:rFonts w:cs="Arial"/>
              </w:rPr>
            </w:pPr>
          </w:p>
        </w:tc>
      </w:tr>
      <w:tr w:rsidR="005D3ACF" w:rsidRPr="005B5418" w14:paraId="68382A1C" w14:textId="77777777" w:rsidTr="00DA6DCF">
        <w:trPr>
          <w:trHeight w:val="1817"/>
        </w:trPr>
        <w:tc>
          <w:tcPr>
            <w:tcW w:w="5410" w:type="dxa"/>
          </w:tcPr>
          <w:p w14:paraId="212D5BF1" w14:textId="02B37BFB"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 the projected salaries used by the administrative entity to calculate the pension liability reflect an estimate of the future compensation levels of the individual employees involved, including future changes attributed to the general price level, productivity, seniority, promotion</w:t>
            </w:r>
            <w:r w:rsidR="00F16F1E" w:rsidRPr="005B5418">
              <w:rPr>
                <w:rFonts w:eastAsia="Arial Unicode MS"/>
              </w:rPr>
              <w:t>,</w:t>
            </w:r>
            <w:r w:rsidRPr="005B5418">
              <w:rPr>
                <w:rFonts w:eastAsia="Arial Unicode MS"/>
              </w:rPr>
              <w:t xml:space="preserve"> and other factors? (SFFAS 5, par</w:t>
            </w:r>
            <w:r w:rsidR="00F16F1E" w:rsidRPr="005B5418">
              <w:rPr>
                <w:rFonts w:eastAsia="Arial Unicode MS"/>
              </w:rPr>
              <w:t>a</w:t>
            </w:r>
            <w:r w:rsidRPr="005B5418">
              <w:rPr>
                <w:rFonts w:eastAsia="Arial Unicode MS"/>
              </w:rPr>
              <w:t>. 71)</w:t>
            </w:r>
          </w:p>
        </w:tc>
        <w:tc>
          <w:tcPr>
            <w:tcW w:w="965" w:type="dxa"/>
          </w:tcPr>
          <w:p w14:paraId="642CF155" w14:textId="77777777" w:rsidR="005D3ACF" w:rsidRPr="005B5418" w:rsidRDefault="005D3ACF" w:rsidP="008848DA">
            <w:pPr>
              <w:pStyle w:val="Table-Cell-CenterBoldBefore6ptAfter6pt"/>
              <w:spacing w:before="60" w:after="60"/>
              <w:rPr>
                <w:rFonts w:cs="Arial"/>
              </w:rPr>
            </w:pPr>
          </w:p>
        </w:tc>
        <w:tc>
          <w:tcPr>
            <w:tcW w:w="3211" w:type="dxa"/>
          </w:tcPr>
          <w:p w14:paraId="2B334058" w14:textId="77777777" w:rsidR="005D3ACF" w:rsidRPr="005B5418" w:rsidRDefault="005D3ACF" w:rsidP="008848DA">
            <w:pPr>
              <w:pStyle w:val="Table-Cell-Left"/>
              <w:spacing w:before="60" w:after="60" w:line="240" w:lineRule="auto"/>
              <w:rPr>
                <w:rFonts w:cs="Arial"/>
              </w:rPr>
            </w:pPr>
          </w:p>
        </w:tc>
      </w:tr>
      <w:tr w:rsidR="005D3ACF" w:rsidRPr="005B5418" w14:paraId="7196FC9B" w14:textId="77777777" w:rsidTr="00DA6DCF">
        <w:trPr>
          <w:trHeight w:val="1061"/>
        </w:trPr>
        <w:tc>
          <w:tcPr>
            <w:tcW w:w="5410" w:type="dxa"/>
          </w:tcPr>
          <w:p w14:paraId="4DB47293" w14:textId="59DDD670"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report pension assets separately from the pension liabilities rather than netting them? (SFFAS 5, par</w:t>
            </w:r>
            <w:r w:rsidR="00F16F1E" w:rsidRPr="005B5418">
              <w:rPr>
                <w:rFonts w:eastAsia="Arial Unicode MS"/>
              </w:rPr>
              <w:t>a</w:t>
            </w:r>
            <w:r w:rsidRPr="005B5418">
              <w:rPr>
                <w:rFonts w:eastAsia="Arial Unicode MS"/>
              </w:rPr>
              <w:t>. 68)</w:t>
            </w:r>
          </w:p>
        </w:tc>
        <w:tc>
          <w:tcPr>
            <w:tcW w:w="965" w:type="dxa"/>
          </w:tcPr>
          <w:p w14:paraId="1E9C5BA7" w14:textId="77777777" w:rsidR="005D3ACF" w:rsidRPr="005B5418" w:rsidRDefault="005D3ACF" w:rsidP="008848DA">
            <w:pPr>
              <w:pStyle w:val="Table-Cell-CenterBoldBefore6ptAfter6pt"/>
              <w:spacing w:before="60" w:after="60"/>
              <w:rPr>
                <w:rFonts w:cs="Arial"/>
              </w:rPr>
            </w:pPr>
          </w:p>
        </w:tc>
        <w:tc>
          <w:tcPr>
            <w:tcW w:w="3211" w:type="dxa"/>
          </w:tcPr>
          <w:p w14:paraId="6F74DEDF" w14:textId="77777777" w:rsidR="005D3ACF" w:rsidRPr="005B5418" w:rsidRDefault="005D3ACF" w:rsidP="008848DA">
            <w:pPr>
              <w:pStyle w:val="Table-Cell-Left"/>
              <w:spacing w:before="60" w:after="60" w:line="240" w:lineRule="auto"/>
              <w:rPr>
                <w:rFonts w:cs="Arial"/>
              </w:rPr>
            </w:pPr>
          </w:p>
        </w:tc>
      </w:tr>
      <w:tr w:rsidR="005D3ACF" w:rsidRPr="005B5418" w14:paraId="5E758D05" w14:textId="77777777" w:rsidTr="00DA6DCF">
        <w:trPr>
          <w:trHeight w:val="1223"/>
        </w:trPr>
        <w:tc>
          <w:tcPr>
            <w:tcW w:w="5410" w:type="dxa"/>
          </w:tcPr>
          <w:p w14:paraId="4865C037" w14:textId="3ADD5338"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lastRenderedPageBreak/>
              <w:t>Does the administrative entity carry pension assets at their acquisition cost, adjusted for amortization, if appropriate? (SFFAS 5, par</w:t>
            </w:r>
            <w:r w:rsidR="00F16F1E" w:rsidRPr="005B5418">
              <w:rPr>
                <w:rFonts w:eastAsia="Arial Unicode MS"/>
              </w:rPr>
              <w:t>a</w:t>
            </w:r>
            <w:r w:rsidRPr="005B5418">
              <w:rPr>
                <w:rFonts w:eastAsia="Arial Unicode MS"/>
              </w:rPr>
              <w:t>. 68)</w:t>
            </w:r>
          </w:p>
        </w:tc>
        <w:tc>
          <w:tcPr>
            <w:tcW w:w="965" w:type="dxa"/>
          </w:tcPr>
          <w:p w14:paraId="028BEC34" w14:textId="77777777" w:rsidR="005D3ACF" w:rsidRPr="005B5418" w:rsidRDefault="005D3ACF" w:rsidP="008848DA">
            <w:pPr>
              <w:pStyle w:val="Table-Cell-CenterBoldBefore6ptAfter6pt"/>
              <w:spacing w:before="60" w:after="60"/>
              <w:rPr>
                <w:rFonts w:cs="Arial"/>
              </w:rPr>
            </w:pPr>
          </w:p>
        </w:tc>
        <w:tc>
          <w:tcPr>
            <w:tcW w:w="3211" w:type="dxa"/>
          </w:tcPr>
          <w:p w14:paraId="4CF141C9" w14:textId="77777777" w:rsidR="005D3ACF" w:rsidRPr="005B5418" w:rsidRDefault="005D3ACF" w:rsidP="008848DA">
            <w:pPr>
              <w:pStyle w:val="Table-Cell-Left"/>
              <w:spacing w:before="60" w:after="60" w:line="240" w:lineRule="auto"/>
              <w:rPr>
                <w:rFonts w:cs="Arial"/>
              </w:rPr>
            </w:pPr>
          </w:p>
        </w:tc>
      </w:tr>
      <w:tr w:rsidR="00A83BA4" w:rsidRPr="005B5418" w14:paraId="19EC4BCF" w14:textId="77777777" w:rsidTr="00DA6DCF">
        <w:trPr>
          <w:trHeight w:val="422"/>
        </w:trPr>
        <w:tc>
          <w:tcPr>
            <w:tcW w:w="9586" w:type="dxa"/>
            <w:gridSpan w:val="3"/>
          </w:tcPr>
          <w:p w14:paraId="5EAFD0DB" w14:textId="77777777" w:rsidR="00A83BA4" w:rsidRPr="005B5418" w:rsidRDefault="00A83BA4" w:rsidP="008848DA">
            <w:pPr>
              <w:pStyle w:val="Table-Cell-Left"/>
              <w:spacing w:before="60" w:after="60" w:line="240" w:lineRule="auto"/>
              <w:rPr>
                <w:rFonts w:eastAsia="Arial Unicode MS" w:cs="Arial"/>
                <w:b/>
                <w:sz w:val="22"/>
                <w:szCs w:val="22"/>
              </w:rPr>
            </w:pPr>
            <w:r w:rsidRPr="005B5418">
              <w:rPr>
                <w:rFonts w:eastAsia="Arial Unicode MS" w:cs="Arial"/>
                <w:b/>
                <w:sz w:val="22"/>
                <w:szCs w:val="22"/>
              </w:rPr>
              <w:t>ORB</w:t>
            </w:r>
          </w:p>
        </w:tc>
      </w:tr>
      <w:tr w:rsidR="005D3ACF" w:rsidRPr="005B5418" w14:paraId="3D801404" w14:textId="77777777" w:rsidTr="00DA6DCF">
        <w:trPr>
          <w:trHeight w:val="872"/>
        </w:trPr>
        <w:tc>
          <w:tcPr>
            <w:tcW w:w="9586" w:type="dxa"/>
            <w:gridSpan w:val="3"/>
          </w:tcPr>
          <w:p w14:paraId="19250D68" w14:textId="74A07115" w:rsidR="005D3ACF" w:rsidRPr="005B5418" w:rsidRDefault="005D3ACF" w:rsidP="008848DA">
            <w:pPr>
              <w:pStyle w:val="Table-Cell-Left"/>
              <w:spacing w:before="60" w:after="60" w:line="240" w:lineRule="auto"/>
              <w:jc w:val="left"/>
              <w:rPr>
                <w:rFonts w:cs="Arial"/>
              </w:rPr>
            </w:pPr>
            <w:r w:rsidRPr="005B5418">
              <w:rPr>
                <w:rFonts w:eastAsia="Arial Unicode MS" w:cs="Arial"/>
                <w:sz w:val="22"/>
                <w:szCs w:val="22"/>
              </w:rPr>
              <w:t>ORB include</w:t>
            </w:r>
            <w:r w:rsidR="00314573" w:rsidRPr="005B5418">
              <w:rPr>
                <w:rFonts w:eastAsia="Arial Unicode MS" w:cs="Arial"/>
                <w:sz w:val="22"/>
                <w:szCs w:val="22"/>
              </w:rPr>
              <w:t>s</w:t>
            </w:r>
            <w:r w:rsidRPr="005B5418">
              <w:rPr>
                <w:rFonts w:eastAsia="Arial Unicode MS" w:cs="Arial"/>
                <w:sz w:val="22"/>
                <w:szCs w:val="22"/>
              </w:rPr>
              <w:t xml:space="preserve"> all forms of benefits to retirees or their beneficiaries provided outside the pension plan</w:t>
            </w:r>
            <w:r w:rsidR="00314573" w:rsidRPr="005B5418">
              <w:rPr>
                <w:rFonts w:eastAsia="Arial Unicode MS" w:cs="Arial"/>
                <w:sz w:val="22"/>
                <w:szCs w:val="22"/>
              </w:rPr>
              <w:t>, including</w:t>
            </w:r>
            <w:r w:rsidRPr="005B5418">
              <w:rPr>
                <w:rFonts w:eastAsia="Arial Unicode MS" w:cs="Arial"/>
                <w:sz w:val="22"/>
                <w:szCs w:val="22"/>
              </w:rPr>
              <w:t xml:space="preserve"> retirement health benefits. (SFFAS 5, par</w:t>
            </w:r>
            <w:r w:rsidR="00314573" w:rsidRPr="005B5418">
              <w:rPr>
                <w:rFonts w:eastAsia="Arial Unicode MS" w:cs="Arial"/>
                <w:sz w:val="22"/>
                <w:szCs w:val="22"/>
              </w:rPr>
              <w:t>as</w:t>
            </w:r>
            <w:r w:rsidRPr="005B5418">
              <w:rPr>
                <w:rFonts w:eastAsia="Arial Unicode MS" w:cs="Arial"/>
                <w:sz w:val="22"/>
                <w:szCs w:val="22"/>
              </w:rPr>
              <w:t xml:space="preserve">. 58 and 79) </w:t>
            </w:r>
          </w:p>
        </w:tc>
      </w:tr>
      <w:tr w:rsidR="00122C75" w:rsidRPr="005B5418" w14:paraId="316F14C8" w14:textId="77777777" w:rsidTr="00DA6DCF">
        <w:trPr>
          <w:cantSplit/>
          <w:trHeight w:val="377"/>
        </w:trPr>
        <w:tc>
          <w:tcPr>
            <w:tcW w:w="9586" w:type="dxa"/>
            <w:gridSpan w:val="3"/>
          </w:tcPr>
          <w:p w14:paraId="758CB0FF" w14:textId="77777777" w:rsidR="00122C75" w:rsidRPr="005B5418" w:rsidRDefault="00122C75" w:rsidP="008848DA">
            <w:pPr>
              <w:spacing w:before="60" w:after="60" w:line="240" w:lineRule="auto"/>
              <w:rPr>
                <w:rFonts w:ascii="Arial" w:hAnsi="Arial" w:cs="Arial"/>
                <w:b/>
              </w:rPr>
            </w:pPr>
            <w:r w:rsidRPr="005B5418">
              <w:rPr>
                <w:rFonts w:ascii="Arial" w:hAnsi="Arial" w:cs="Arial"/>
                <w:b/>
              </w:rPr>
              <w:t>Accounting for Employer Entity</w:t>
            </w:r>
          </w:p>
        </w:tc>
      </w:tr>
      <w:tr w:rsidR="00122C75" w:rsidRPr="005B5418" w14:paraId="6C4165B3" w14:textId="77777777" w:rsidTr="00DA6DCF">
        <w:trPr>
          <w:trHeight w:val="1430"/>
        </w:trPr>
        <w:tc>
          <w:tcPr>
            <w:tcW w:w="5410" w:type="dxa"/>
          </w:tcPr>
          <w:p w14:paraId="0D7D1719" w14:textId="456249B7" w:rsidR="00122C75" w:rsidRPr="005B5418" w:rsidRDefault="00122C75" w:rsidP="00343610">
            <w:pPr>
              <w:pStyle w:val="FAM-Table-outline"/>
              <w:widowControl/>
              <w:numPr>
                <w:ilvl w:val="0"/>
                <w:numId w:val="17"/>
              </w:numPr>
              <w:adjustRightInd/>
              <w:spacing w:line="240" w:lineRule="auto"/>
              <w:textAlignment w:val="auto"/>
              <w:rPr>
                <w:rFonts w:eastAsia="Arial Unicode MS"/>
              </w:rPr>
            </w:pPr>
            <w:r w:rsidRPr="005B5418">
              <w:rPr>
                <w:rFonts w:eastAsia="Arial Unicode MS"/>
              </w:rPr>
              <w:t>Does the employer entity report ORB expenses equal to the service cost (normal cost) for its employees for the accounting period, less the amount contributed by the employees</w:t>
            </w:r>
            <w:r w:rsidR="003C1B1E" w:rsidRPr="005B5418">
              <w:rPr>
                <w:rFonts w:eastAsia="Arial Unicode MS"/>
              </w:rPr>
              <w:t>, if any</w:t>
            </w:r>
            <w:r w:rsidRPr="005B5418">
              <w:rPr>
                <w:rFonts w:eastAsia="Arial Unicode MS"/>
              </w:rPr>
              <w:t>? (SFFAS 5, par</w:t>
            </w:r>
            <w:r w:rsidR="00314573" w:rsidRPr="005B5418">
              <w:rPr>
                <w:rFonts w:eastAsia="Arial Unicode MS"/>
              </w:rPr>
              <w:t>a</w:t>
            </w:r>
            <w:r w:rsidRPr="005B5418">
              <w:rPr>
                <w:rFonts w:eastAsia="Arial Unicode MS"/>
              </w:rPr>
              <w:t>. 90)</w:t>
            </w:r>
          </w:p>
        </w:tc>
        <w:tc>
          <w:tcPr>
            <w:tcW w:w="965" w:type="dxa"/>
          </w:tcPr>
          <w:p w14:paraId="12EBD6C7" w14:textId="77777777" w:rsidR="00122C75" w:rsidRPr="005B5418" w:rsidRDefault="00122C75" w:rsidP="008848DA">
            <w:pPr>
              <w:pStyle w:val="Table-Cell-CenterBoldBefore6ptAfter6pt"/>
              <w:spacing w:before="60" w:after="60"/>
              <w:rPr>
                <w:rFonts w:cs="Arial"/>
              </w:rPr>
            </w:pPr>
          </w:p>
        </w:tc>
        <w:tc>
          <w:tcPr>
            <w:tcW w:w="3211" w:type="dxa"/>
          </w:tcPr>
          <w:p w14:paraId="7C9B48B6" w14:textId="77777777" w:rsidR="00122C75" w:rsidRPr="005B5418" w:rsidRDefault="00122C75" w:rsidP="008848DA">
            <w:pPr>
              <w:pStyle w:val="Table-Cell-Left"/>
              <w:spacing w:before="60" w:after="60" w:line="240" w:lineRule="auto"/>
              <w:rPr>
                <w:rFonts w:cs="Arial"/>
              </w:rPr>
            </w:pPr>
          </w:p>
        </w:tc>
      </w:tr>
      <w:tr w:rsidR="00122C75" w:rsidRPr="005B5418" w14:paraId="50346C3B" w14:textId="77777777" w:rsidTr="00DA6DCF">
        <w:trPr>
          <w:trHeight w:val="845"/>
        </w:trPr>
        <w:tc>
          <w:tcPr>
            <w:tcW w:w="5410" w:type="dxa"/>
          </w:tcPr>
          <w:p w14:paraId="23E78056" w14:textId="77777777" w:rsidR="00122C75" w:rsidRPr="005B5418" w:rsidRDefault="00122C75" w:rsidP="00CF6813">
            <w:pPr>
              <w:pStyle w:val="FAM-Table-outline"/>
              <w:spacing w:line="240" w:lineRule="auto"/>
              <w:rPr>
                <w:rFonts w:eastAsia="Arial Unicode MS"/>
              </w:rPr>
            </w:pPr>
            <w:r w:rsidRPr="005B5418">
              <w:rPr>
                <w:rFonts w:eastAsia="Arial Unicode MS"/>
              </w:rPr>
              <w:t>Is the employer entity’s ORB expense balanced by</w:t>
            </w:r>
          </w:p>
          <w:p w14:paraId="033323E9" w14:textId="77777777" w:rsidR="00122C75" w:rsidRPr="005B5418" w:rsidRDefault="00122C75" w:rsidP="005425ED">
            <w:pPr>
              <w:pStyle w:val="FAM-Table-outline2"/>
              <w:spacing w:line="240" w:lineRule="auto"/>
              <w:ind w:left="1140" w:hanging="443"/>
            </w:pPr>
            <w:r w:rsidRPr="005B5418">
              <w:t>a decrease to its “fund balance with Treasury” for the amount of its contribution to the ORB plan, if any, and, if this does not equal the full expense,</w:t>
            </w:r>
          </w:p>
          <w:p w14:paraId="5BF54BC1" w14:textId="33D8D914" w:rsidR="00122C75" w:rsidRPr="005B5418" w:rsidRDefault="00122C75" w:rsidP="005425ED">
            <w:pPr>
              <w:pStyle w:val="FAM-Table-outline2"/>
              <w:spacing w:line="240" w:lineRule="auto"/>
              <w:ind w:left="1140" w:hanging="443"/>
              <w:rPr>
                <w:rFonts w:eastAsia="Arial Unicode MS"/>
              </w:rPr>
            </w:pPr>
            <w:r w:rsidRPr="005B5418">
              <w:t>an increase to an account representing an intragovernmental imputed financing source (e.g., “imputed financing-expenses paid by other entities”)? (SFFAS 5, par</w:t>
            </w:r>
            <w:r w:rsidR="0025701F" w:rsidRPr="005B5418">
              <w:t>a</w:t>
            </w:r>
            <w:r w:rsidRPr="005B5418">
              <w:t>. 91)</w:t>
            </w:r>
          </w:p>
        </w:tc>
        <w:tc>
          <w:tcPr>
            <w:tcW w:w="965" w:type="dxa"/>
          </w:tcPr>
          <w:p w14:paraId="6C680819" w14:textId="77777777" w:rsidR="00122C75" w:rsidRPr="005B5418" w:rsidRDefault="00122C75" w:rsidP="008848DA">
            <w:pPr>
              <w:pStyle w:val="Table-Cell-CenterBoldBefore6ptAfter6pt"/>
              <w:spacing w:before="60" w:after="60"/>
              <w:rPr>
                <w:rFonts w:cs="Arial"/>
              </w:rPr>
            </w:pPr>
          </w:p>
        </w:tc>
        <w:tc>
          <w:tcPr>
            <w:tcW w:w="3211" w:type="dxa"/>
          </w:tcPr>
          <w:p w14:paraId="6E0BA7E2" w14:textId="77777777" w:rsidR="00122C75" w:rsidRPr="005B5418" w:rsidRDefault="00122C75" w:rsidP="008848DA">
            <w:pPr>
              <w:pStyle w:val="Table-Cell-Left"/>
              <w:spacing w:before="60" w:after="60" w:line="240" w:lineRule="auto"/>
              <w:rPr>
                <w:rFonts w:cs="Arial"/>
              </w:rPr>
            </w:pPr>
          </w:p>
        </w:tc>
      </w:tr>
      <w:tr w:rsidR="00065BA2" w:rsidRPr="005B5418" w14:paraId="6CEF5368" w14:textId="77777777" w:rsidTr="00DA6DCF">
        <w:trPr>
          <w:cantSplit/>
          <w:trHeight w:val="332"/>
        </w:trPr>
        <w:tc>
          <w:tcPr>
            <w:tcW w:w="9586" w:type="dxa"/>
            <w:gridSpan w:val="3"/>
          </w:tcPr>
          <w:p w14:paraId="0628F944" w14:textId="77777777" w:rsidR="00065BA2" w:rsidRPr="005B5418" w:rsidRDefault="00065BA2" w:rsidP="008848DA">
            <w:pPr>
              <w:spacing w:before="60" w:after="60" w:line="240" w:lineRule="auto"/>
              <w:rPr>
                <w:rFonts w:ascii="Arial" w:hAnsi="Arial" w:cs="Arial"/>
                <w:b/>
              </w:rPr>
            </w:pPr>
            <w:r w:rsidRPr="005B5418">
              <w:rPr>
                <w:rFonts w:ascii="Arial" w:hAnsi="Arial" w:cs="Arial"/>
                <w:b/>
              </w:rPr>
              <w:t>Accounting</w:t>
            </w:r>
            <w:r w:rsidR="00C51123" w:rsidRPr="005B5418">
              <w:rPr>
                <w:rFonts w:ascii="Arial" w:hAnsi="Arial" w:cs="Arial"/>
                <w:b/>
              </w:rPr>
              <w:t xml:space="preserve"> for Administrative Entity</w:t>
            </w:r>
          </w:p>
        </w:tc>
      </w:tr>
      <w:tr w:rsidR="005D3ACF" w:rsidRPr="005B5418" w14:paraId="594341BB" w14:textId="77777777" w:rsidTr="00DA6DCF">
        <w:trPr>
          <w:trHeight w:val="1817"/>
        </w:trPr>
        <w:tc>
          <w:tcPr>
            <w:tcW w:w="5410" w:type="dxa"/>
          </w:tcPr>
          <w:p w14:paraId="345FB558" w14:textId="2501F4E6"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use the aggregate entry age normal actuarial cost method (or other actuarial cost method, if the results are not materially different and an explanation is provided) applied on the basis of service rendered by each employee to calculate ORB liabilities and expenses? (SFFAS 5, par</w:t>
            </w:r>
            <w:r w:rsidR="00100B4F" w:rsidRPr="005B5418">
              <w:rPr>
                <w:rFonts w:eastAsia="Arial Unicode MS"/>
              </w:rPr>
              <w:t>a</w:t>
            </w:r>
            <w:r w:rsidRPr="005B5418">
              <w:rPr>
                <w:rFonts w:eastAsia="Arial Unicode MS"/>
              </w:rPr>
              <w:t>. 82)</w:t>
            </w:r>
          </w:p>
        </w:tc>
        <w:tc>
          <w:tcPr>
            <w:tcW w:w="965" w:type="dxa"/>
          </w:tcPr>
          <w:p w14:paraId="56BCAE7C" w14:textId="77777777" w:rsidR="005D3ACF" w:rsidRPr="005B5418" w:rsidRDefault="005D3ACF" w:rsidP="008848DA">
            <w:pPr>
              <w:pStyle w:val="Table-Cell-CenterBoldBefore6ptAfter6pt"/>
              <w:spacing w:before="60" w:after="60"/>
              <w:rPr>
                <w:rFonts w:cs="Arial"/>
              </w:rPr>
            </w:pPr>
          </w:p>
        </w:tc>
        <w:tc>
          <w:tcPr>
            <w:tcW w:w="3211" w:type="dxa"/>
          </w:tcPr>
          <w:p w14:paraId="1F7EA9C2" w14:textId="77777777" w:rsidR="005D3ACF" w:rsidRPr="005B5418" w:rsidRDefault="005D3ACF" w:rsidP="008848DA">
            <w:pPr>
              <w:pStyle w:val="Table-Cell-Left"/>
              <w:spacing w:before="60" w:after="60" w:line="240" w:lineRule="auto"/>
              <w:rPr>
                <w:rFonts w:cs="Arial"/>
              </w:rPr>
            </w:pPr>
          </w:p>
        </w:tc>
      </w:tr>
      <w:tr w:rsidR="005D3ACF" w:rsidRPr="005B5418" w14:paraId="5FB0A907" w14:textId="77777777" w:rsidTr="00DA6DCF">
        <w:trPr>
          <w:trHeight w:val="1817"/>
        </w:trPr>
        <w:tc>
          <w:tcPr>
            <w:tcW w:w="5410" w:type="dxa"/>
          </w:tcPr>
          <w:p w14:paraId="043D7D00" w14:textId="77777777" w:rsidR="005D3ACF" w:rsidRPr="005B5418" w:rsidRDefault="005D3ACF" w:rsidP="00CF6813">
            <w:pPr>
              <w:pStyle w:val="FAM-Table-outline"/>
              <w:spacing w:line="240" w:lineRule="auto"/>
              <w:rPr>
                <w:rFonts w:eastAsia="Arial Unicode MS"/>
              </w:rPr>
            </w:pPr>
            <w:r w:rsidRPr="005B5418">
              <w:rPr>
                <w:rFonts w:eastAsia="Arial Unicode MS"/>
              </w:rPr>
              <w:t>Does the administrative entity calculate ORB liabilities and amounts for ORB plans’ financial reports using</w:t>
            </w:r>
          </w:p>
          <w:p w14:paraId="45F12937" w14:textId="18674146" w:rsidR="005D3ACF" w:rsidRPr="005B5418" w:rsidRDefault="005D3ACF" w:rsidP="005425ED">
            <w:pPr>
              <w:pStyle w:val="FAM-Table-outline2"/>
              <w:spacing w:line="240" w:lineRule="auto"/>
              <w:ind w:left="1140" w:hanging="443"/>
            </w:pPr>
            <w:r w:rsidRPr="005B5418">
              <w:t xml:space="preserve">general actuarial and economic assumptions that are consistent with those used for federal employee </w:t>
            </w:r>
            <w:r w:rsidRPr="005B5418">
              <w:lastRenderedPageBreak/>
              <w:t>pensions and</w:t>
            </w:r>
          </w:p>
          <w:p w14:paraId="4FC6F002" w14:textId="09EED6EA" w:rsidR="005D3ACF" w:rsidRPr="005B5418" w:rsidRDefault="005D3ACF" w:rsidP="005425ED">
            <w:pPr>
              <w:pStyle w:val="FAM-Table-outline2"/>
              <w:spacing w:line="240" w:lineRule="auto"/>
              <w:ind w:left="1140" w:hanging="443"/>
              <w:rPr>
                <w:rFonts w:eastAsia="Arial Unicode MS"/>
              </w:rPr>
            </w:pPr>
            <w:r w:rsidRPr="005B5418">
              <w:t>a long-term health care cost trend assumption that is consistent with Medicare projections or other authoritative sources appropriate for the population covered by the plan? (SFFAS 5, par</w:t>
            </w:r>
            <w:r w:rsidR="00100B4F" w:rsidRPr="005B5418">
              <w:t>a</w:t>
            </w:r>
            <w:r w:rsidRPr="005B5418">
              <w:t>. 83)</w:t>
            </w:r>
          </w:p>
        </w:tc>
        <w:tc>
          <w:tcPr>
            <w:tcW w:w="965" w:type="dxa"/>
          </w:tcPr>
          <w:p w14:paraId="1DF24C14" w14:textId="77777777" w:rsidR="005D3ACF" w:rsidRPr="005B5418" w:rsidRDefault="005D3ACF" w:rsidP="008848DA">
            <w:pPr>
              <w:pStyle w:val="Table-Cell-CenterBoldBefore6ptAfter6pt"/>
              <w:spacing w:before="60" w:after="60"/>
              <w:rPr>
                <w:rFonts w:cs="Arial"/>
              </w:rPr>
            </w:pPr>
          </w:p>
        </w:tc>
        <w:tc>
          <w:tcPr>
            <w:tcW w:w="3211" w:type="dxa"/>
          </w:tcPr>
          <w:p w14:paraId="735D5C73" w14:textId="77777777" w:rsidR="005D3ACF" w:rsidRPr="005B5418" w:rsidRDefault="005D3ACF" w:rsidP="008848DA">
            <w:pPr>
              <w:pStyle w:val="Table-Cell-Left"/>
              <w:spacing w:before="60" w:after="60" w:line="240" w:lineRule="auto"/>
              <w:rPr>
                <w:rFonts w:cs="Arial"/>
              </w:rPr>
            </w:pPr>
          </w:p>
        </w:tc>
      </w:tr>
      <w:tr w:rsidR="005D3ACF" w:rsidRPr="005B5418" w14:paraId="381B86FC" w14:textId="77777777" w:rsidTr="00DA6DCF">
        <w:trPr>
          <w:trHeight w:val="1817"/>
        </w:trPr>
        <w:tc>
          <w:tcPr>
            <w:tcW w:w="5410" w:type="dxa"/>
          </w:tcPr>
          <w:p w14:paraId="1751581F" w14:textId="1415F878"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develop the discount rate assumption for present value measurements of ORB liabilities in accordance with SFFAS 5, par</w:t>
            </w:r>
            <w:r w:rsidR="00100B4F" w:rsidRPr="005B5418">
              <w:rPr>
                <w:rFonts w:eastAsia="Arial Unicode MS"/>
              </w:rPr>
              <w:t>agraph</w:t>
            </w:r>
            <w:r w:rsidRPr="005B5418">
              <w:rPr>
                <w:rFonts w:eastAsia="Arial Unicode MS"/>
              </w:rPr>
              <w:t xml:space="preserve"> 66</w:t>
            </w:r>
            <w:r w:rsidR="00100B4F" w:rsidRPr="005B5418">
              <w:rPr>
                <w:rFonts w:eastAsia="Arial Unicode MS"/>
              </w:rPr>
              <w:t>,</w:t>
            </w:r>
            <w:r w:rsidRPr="005B5418">
              <w:rPr>
                <w:rFonts w:eastAsia="Arial Unicode MS"/>
              </w:rPr>
              <w:t xml:space="preserve"> as described in detail for pension liabilities above? (SFFAS 5, par</w:t>
            </w:r>
            <w:r w:rsidR="00100B4F" w:rsidRPr="005B5418">
              <w:rPr>
                <w:rFonts w:eastAsia="Arial Unicode MS"/>
              </w:rPr>
              <w:t>a</w:t>
            </w:r>
            <w:r w:rsidRPr="005B5418">
              <w:rPr>
                <w:rFonts w:eastAsia="Arial Unicode MS"/>
              </w:rPr>
              <w:t>. 83)</w:t>
            </w:r>
          </w:p>
        </w:tc>
        <w:tc>
          <w:tcPr>
            <w:tcW w:w="965" w:type="dxa"/>
          </w:tcPr>
          <w:p w14:paraId="26AE6A4A" w14:textId="77777777" w:rsidR="005D3ACF" w:rsidRPr="005B5418" w:rsidRDefault="005D3ACF" w:rsidP="008848DA">
            <w:pPr>
              <w:pStyle w:val="Table-Cell-CenterBoldBefore6ptAfter6pt"/>
              <w:spacing w:before="60" w:after="60"/>
              <w:rPr>
                <w:rFonts w:cs="Arial"/>
              </w:rPr>
            </w:pPr>
          </w:p>
        </w:tc>
        <w:tc>
          <w:tcPr>
            <w:tcW w:w="3211" w:type="dxa"/>
          </w:tcPr>
          <w:p w14:paraId="0C30683C" w14:textId="77777777" w:rsidR="005D3ACF" w:rsidRPr="005B5418" w:rsidRDefault="005D3ACF" w:rsidP="008848DA">
            <w:pPr>
              <w:pStyle w:val="Table-Cell-Left"/>
              <w:spacing w:before="60" w:after="60" w:line="240" w:lineRule="auto"/>
              <w:rPr>
                <w:rFonts w:cs="Arial"/>
              </w:rPr>
            </w:pPr>
          </w:p>
        </w:tc>
      </w:tr>
      <w:tr w:rsidR="005D3ACF" w:rsidRPr="005B5418" w14:paraId="15476F60" w14:textId="77777777" w:rsidTr="00DA6DCF">
        <w:trPr>
          <w:trHeight w:val="1295"/>
        </w:trPr>
        <w:tc>
          <w:tcPr>
            <w:tcW w:w="5410" w:type="dxa"/>
          </w:tcPr>
          <w:p w14:paraId="13164C70" w14:textId="4B53EBF0"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Is the accrual period for ORB liabilities based on the expected retirement age rather than the age when the employee first becomes eligible for retirement benefits? (SFFAS 5, par</w:t>
            </w:r>
            <w:r w:rsidR="00100B4F" w:rsidRPr="005B5418">
              <w:rPr>
                <w:rFonts w:eastAsia="Arial Unicode MS"/>
              </w:rPr>
              <w:t>a</w:t>
            </w:r>
            <w:r w:rsidRPr="005B5418">
              <w:rPr>
                <w:rFonts w:eastAsia="Arial Unicode MS"/>
              </w:rPr>
              <w:t>. 84)</w:t>
            </w:r>
          </w:p>
        </w:tc>
        <w:tc>
          <w:tcPr>
            <w:tcW w:w="965" w:type="dxa"/>
          </w:tcPr>
          <w:p w14:paraId="597F24D3" w14:textId="77777777" w:rsidR="005D3ACF" w:rsidRPr="005B5418" w:rsidRDefault="005D3ACF" w:rsidP="008848DA">
            <w:pPr>
              <w:pStyle w:val="Table-Cell-CenterBoldBefore6ptAfter6pt"/>
              <w:spacing w:before="60" w:after="60"/>
              <w:rPr>
                <w:rFonts w:cs="Arial"/>
              </w:rPr>
            </w:pPr>
          </w:p>
        </w:tc>
        <w:tc>
          <w:tcPr>
            <w:tcW w:w="3211" w:type="dxa"/>
          </w:tcPr>
          <w:p w14:paraId="7DB49F12" w14:textId="77777777" w:rsidR="005D3ACF" w:rsidRPr="005B5418" w:rsidRDefault="005D3ACF" w:rsidP="008848DA">
            <w:pPr>
              <w:pStyle w:val="Table-Cell-Left"/>
              <w:spacing w:before="60" w:after="60" w:line="240" w:lineRule="auto"/>
              <w:rPr>
                <w:rFonts w:cs="Arial"/>
              </w:rPr>
            </w:pPr>
          </w:p>
        </w:tc>
      </w:tr>
      <w:tr w:rsidR="005D3ACF" w:rsidRPr="005B5418" w14:paraId="7A01BE98" w14:textId="77777777" w:rsidTr="00DA6DCF">
        <w:trPr>
          <w:trHeight w:val="1817"/>
        </w:trPr>
        <w:tc>
          <w:tcPr>
            <w:tcW w:w="5410" w:type="dxa"/>
          </w:tcPr>
          <w:p w14:paraId="708876D6" w14:textId="7E9CE295"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calculate the ORB liability as the actuarial present value of all future benefits less the actuarial present value of future normal cost contributions that would be made for and by the employees under the plan? (SFFAS 5, par</w:t>
            </w:r>
            <w:r w:rsidR="00100B4F" w:rsidRPr="005B5418">
              <w:rPr>
                <w:rFonts w:eastAsia="Arial Unicode MS"/>
              </w:rPr>
              <w:t>a</w:t>
            </w:r>
            <w:r w:rsidRPr="005B5418">
              <w:rPr>
                <w:rFonts w:eastAsia="Arial Unicode MS"/>
              </w:rPr>
              <w:t>. 88)</w:t>
            </w:r>
          </w:p>
        </w:tc>
        <w:tc>
          <w:tcPr>
            <w:tcW w:w="965" w:type="dxa"/>
          </w:tcPr>
          <w:p w14:paraId="3E43DC17" w14:textId="77777777" w:rsidR="005D3ACF" w:rsidRPr="005B5418" w:rsidRDefault="005D3ACF" w:rsidP="008848DA">
            <w:pPr>
              <w:pStyle w:val="Table-Cell-CenterBoldBefore6ptAfter6pt"/>
              <w:spacing w:before="60" w:after="60"/>
              <w:rPr>
                <w:rFonts w:cs="Arial"/>
              </w:rPr>
            </w:pPr>
          </w:p>
        </w:tc>
        <w:tc>
          <w:tcPr>
            <w:tcW w:w="3211" w:type="dxa"/>
          </w:tcPr>
          <w:p w14:paraId="4C5F2B02" w14:textId="77777777" w:rsidR="005D3ACF" w:rsidRPr="005B5418" w:rsidRDefault="005D3ACF" w:rsidP="008848DA">
            <w:pPr>
              <w:pStyle w:val="Table-Cell-Left"/>
              <w:spacing w:before="60" w:after="60" w:line="240" w:lineRule="auto"/>
              <w:rPr>
                <w:rFonts w:cs="Arial"/>
              </w:rPr>
            </w:pPr>
          </w:p>
        </w:tc>
      </w:tr>
      <w:tr w:rsidR="005D3ACF" w:rsidRPr="005B5418" w14:paraId="0ABC1DA8" w14:textId="77777777" w:rsidTr="00DA6DCF">
        <w:trPr>
          <w:trHeight w:val="1043"/>
        </w:trPr>
        <w:tc>
          <w:tcPr>
            <w:tcW w:w="5410" w:type="dxa"/>
          </w:tcPr>
          <w:p w14:paraId="2FF9C960" w14:textId="56ECC62E"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report ORB assets separately from ORB liabilities rather than netting them? (SFFAS 5, par</w:t>
            </w:r>
            <w:r w:rsidR="005C21CF" w:rsidRPr="005B5418">
              <w:rPr>
                <w:rFonts w:eastAsia="Arial Unicode MS"/>
              </w:rPr>
              <w:t>a</w:t>
            </w:r>
            <w:r w:rsidRPr="005B5418">
              <w:rPr>
                <w:rFonts w:eastAsia="Arial Unicode MS"/>
              </w:rPr>
              <w:t>. 85)</w:t>
            </w:r>
          </w:p>
        </w:tc>
        <w:tc>
          <w:tcPr>
            <w:tcW w:w="965" w:type="dxa"/>
          </w:tcPr>
          <w:p w14:paraId="1CAF40F8" w14:textId="77777777" w:rsidR="005D3ACF" w:rsidRPr="005B5418" w:rsidRDefault="005D3ACF" w:rsidP="008848DA">
            <w:pPr>
              <w:pStyle w:val="Table-Cell-CenterBoldBefore6ptAfter6pt"/>
              <w:spacing w:before="60" w:after="60"/>
              <w:rPr>
                <w:rFonts w:cs="Arial"/>
              </w:rPr>
            </w:pPr>
          </w:p>
        </w:tc>
        <w:tc>
          <w:tcPr>
            <w:tcW w:w="3211" w:type="dxa"/>
          </w:tcPr>
          <w:p w14:paraId="0A5C1C73" w14:textId="77777777" w:rsidR="005D3ACF" w:rsidRPr="005B5418" w:rsidRDefault="005D3ACF" w:rsidP="008848DA">
            <w:pPr>
              <w:pStyle w:val="Table-Cell-Left"/>
              <w:spacing w:before="60" w:after="60" w:line="240" w:lineRule="auto"/>
              <w:rPr>
                <w:rFonts w:cs="Arial"/>
              </w:rPr>
            </w:pPr>
          </w:p>
        </w:tc>
      </w:tr>
      <w:tr w:rsidR="005D3ACF" w:rsidRPr="005B5418" w14:paraId="079B8172" w14:textId="77777777" w:rsidTr="00DA6DCF">
        <w:trPr>
          <w:trHeight w:val="1250"/>
        </w:trPr>
        <w:tc>
          <w:tcPr>
            <w:tcW w:w="5410" w:type="dxa"/>
          </w:tcPr>
          <w:p w14:paraId="6DCA5A25" w14:textId="0D82C3E2"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carry ORB assets at their acquisition cost, adjusted for amortization, if appropriate? (SFFAS 5, par</w:t>
            </w:r>
            <w:r w:rsidR="005C21CF" w:rsidRPr="005B5418">
              <w:rPr>
                <w:rFonts w:eastAsia="Arial Unicode MS"/>
              </w:rPr>
              <w:t>a</w:t>
            </w:r>
            <w:r w:rsidRPr="005B5418">
              <w:rPr>
                <w:rFonts w:eastAsia="Arial Unicode MS"/>
              </w:rPr>
              <w:t>. 85)</w:t>
            </w:r>
          </w:p>
        </w:tc>
        <w:tc>
          <w:tcPr>
            <w:tcW w:w="965" w:type="dxa"/>
          </w:tcPr>
          <w:p w14:paraId="06F12C6A" w14:textId="77777777" w:rsidR="005D3ACF" w:rsidRPr="005B5418" w:rsidRDefault="005D3ACF" w:rsidP="008848DA">
            <w:pPr>
              <w:pStyle w:val="Table-Cell-CenterBoldBefore6ptAfter6pt"/>
              <w:spacing w:before="60" w:after="60"/>
              <w:rPr>
                <w:rFonts w:cs="Arial"/>
              </w:rPr>
            </w:pPr>
          </w:p>
        </w:tc>
        <w:tc>
          <w:tcPr>
            <w:tcW w:w="3211" w:type="dxa"/>
          </w:tcPr>
          <w:p w14:paraId="6D41926E" w14:textId="77777777" w:rsidR="005D3ACF" w:rsidRPr="005B5418" w:rsidRDefault="005D3ACF" w:rsidP="008848DA">
            <w:pPr>
              <w:pStyle w:val="Table-Cell-Left"/>
              <w:spacing w:before="60" w:after="60" w:line="240" w:lineRule="auto"/>
              <w:rPr>
                <w:rFonts w:cs="Arial"/>
              </w:rPr>
            </w:pPr>
          </w:p>
        </w:tc>
      </w:tr>
      <w:tr w:rsidR="005D3ACF" w:rsidRPr="005B5418" w14:paraId="11F87C7C" w14:textId="77777777" w:rsidTr="00DA6DCF">
        <w:trPr>
          <w:trHeight w:val="1205"/>
        </w:trPr>
        <w:tc>
          <w:tcPr>
            <w:tcW w:w="5410" w:type="dxa"/>
          </w:tcPr>
          <w:p w14:paraId="73C1B313" w14:textId="476E56F4"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t>Are estimated ORB liabilities and expenses measured as of the end of the fiscal year (or other reporting period</w:t>
            </w:r>
            <w:r w:rsidR="005C21CF" w:rsidRPr="005B5418">
              <w:rPr>
                <w:rFonts w:eastAsia="Arial Unicode MS"/>
              </w:rPr>
              <w:t>,</w:t>
            </w:r>
            <w:r w:rsidRPr="005B5418">
              <w:rPr>
                <w:rFonts w:eastAsia="Arial Unicode MS"/>
              </w:rPr>
              <w:t xml:space="preserve"> if applicable)</w:t>
            </w:r>
            <w:r w:rsidR="003E522F" w:rsidRPr="005B5418">
              <w:rPr>
                <w:rFonts w:eastAsia="Arial Unicode MS"/>
              </w:rPr>
              <w:t>?</w:t>
            </w:r>
            <w:r w:rsidRPr="005B5418">
              <w:rPr>
                <w:rStyle w:val="FootnoteReference"/>
                <w:rFonts w:eastAsia="Arial Unicode MS"/>
              </w:rPr>
              <w:footnoteReference w:id="171"/>
            </w:r>
            <w:r w:rsidRPr="005B5418">
              <w:rPr>
                <w:rFonts w:eastAsia="Arial Unicode MS"/>
              </w:rPr>
              <w:t xml:space="preserve"> (SFFAS 33, par</w:t>
            </w:r>
            <w:r w:rsidR="005C21CF" w:rsidRPr="005B5418">
              <w:rPr>
                <w:rFonts w:eastAsia="Arial Unicode MS"/>
              </w:rPr>
              <w:t>a</w:t>
            </w:r>
            <w:r w:rsidRPr="005B5418">
              <w:rPr>
                <w:rFonts w:eastAsia="Arial Unicode MS"/>
              </w:rPr>
              <w:t>. 33)</w:t>
            </w:r>
          </w:p>
        </w:tc>
        <w:tc>
          <w:tcPr>
            <w:tcW w:w="965" w:type="dxa"/>
          </w:tcPr>
          <w:p w14:paraId="68FFD6BD" w14:textId="77777777" w:rsidR="005D3ACF" w:rsidRPr="005B5418" w:rsidRDefault="005D3ACF" w:rsidP="008848DA">
            <w:pPr>
              <w:pStyle w:val="Table-Cell-CenterBoldBefore6ptAfter6pt"/>
              <w:spacing w:before="60" w:after="60"/>
              <w:rPr>
                <w:rFonts w:cs="Arial"/>
              </w:rPr>
            </w:pPr>
          </w:p>
        </w:tc>
        <w:tc>
          <w:tcPr>
            <w:tcW w:w="3211" w:type="dxa"/>
          </w:tcPr>
          <w:p w14:paraId="39DDEDCC" w14:textId="77777777" w:rsidR="005D3ACF" w:rsidRPr="005B5418" w:rsidRDefault="005D3ACF" w:rsidP="008848DA">
            <w:pPr>
              <w:pStyle w:val="Table-Cell-Left"/>
              <w:spacing w:before="60" w:after="60" w:line="240" w:lineRule="auto"/>
              <w:rPr>
                <w:rFonts w:cs="Arial"/>
              </w:rPr>
            </w:pPr>
          </w:p>
        </w:tc>
      </w:tr>
      <w:tr w:rsidR="005D3ACF" w:rsidRPr="005B5418" w14:paraId="3C978D63" w14:textId="77777777" w:rsidTr="00DA6DCF">
        <w:trPr>
          <w:trHeight w:val="1295"/>
        </w:trPr>
        <w:tc>
          <w:tcPr>
            <w:tcW w:w="5410" w:type="dxa"/>
          </w:tcPr>
          <w:p w14:paraId="04CC5E91" w14:textId="206996CA" w:rsidR="005D3ACF" w:rsidRPr="005B5418" w:rsidRDefault="005D3ACF" w:rsidP="00343610">
            <w:pPr>
              <w:pStyle w:val="FAM-Table-outline"/>
              <w:widowControl/>
              <w:numPr>
                <w:ilvl w:val="0"/>
                <w:numId w:val="17"/>
              </w:numPr>
              <w:adjustRightInd/>
              <w:spacing w:line="240" w:lineRule="auto"/>
              <w:textAlignment w:val="auto"/>
              <w:rPr>
                <w:rFonts w:cs="Arial"/>
              </w:rPr>
            </w:pPr>
            <w:r w:rsidRPr="005B5418">
              <w:rPr>
                <w:rFonts w:eastAsia="Arial Unicode MS"/>
              </w:rPr>
              <w:lastRenderedPageBreak/>
              <w:t>Does the administrative entity use a valuation date for the full actuarial valuation of ORB that is consistently followed from year to year? (SFFAS 33, par</w:t>
            </w:r>
            <w:r w:rsidR="005C21CF" w:rsidRPr="005B5418">
              <w:rPr>
                <w:rFonts w:eastAsia="Arial Unicode MS"/>
              </w:rPr>
              <w:t>a</w:t>
            </w:r>
            <w:r w:rsidRPr="005B5418">
              <w:rPr>
                <w:rFonts w:eastAsia="Arial Unicode MS"/>
              </w:rPr>
              <w:t>. 34)</w:t>
            </w:r>
          </w:p>
        </w:tc>
        <w:tc>
          <w:tcPr>
            <w:tcW w:w="965" w:type="dxa"/>
          </w:tcPr>
          <w:p w14:paraId="2F549906" w14:textId="77777777" w:rsidR="005D3ACF" w:rsidRPr="005B5418" w:rsidRDefault="005D3ACF" w:rsidP="008848DA">
            <w:pPr>
              <w:pStyle w:val="Table-Cell-CenterBoldBefore6ptAfter6pt"/>
              <w:spacing w:before="60" w:after="60"/>
              <w:rPr>
                <w:rFonts w:cs="Arial"/>
              </w:rPr>
            </w:pPr>
          </w:p>
        </w:tc>
        <w:tc>
          <w:tcPr>
            <w:tcW w:w="3211" w:type="dxa"/>
          </w:tcPr>
          <w:p w14:paraId="5B7F456F" w14:textId="77777777" w:rsidR="005D3ACF" w:rsidRPr="005B5418" w:rsidRDefault="005D3ACF" w:rsidP="008848DA">
            <w:pPr>
              <w:pStyle w:val="Table-Cell-Left"/>
              <w:spacing w:before="60" w:after="60" w:line="240" w:lineRule="auto"/>
              <w:rPr>
                <w:rFonts w:cs="Arial"/>
              </w:rPr>
            </w:pPr>
          </w:p>
        </w:tc>
      </w:tr>
      <w:tr w:rsidR="000F5EDF" w:rsidRPr="005B5418" w14:paraId="4FFCFA18" w14:textId="77777777" w:rsidTr="00DA6DCF">
        <w:trPr>
          <w:trHeight w:val="1520"/>
        </w:trPr>
        <w:tc>
          <w:tcPr>
            <w:tcW w:w="5410" w:type="dxa"/>
          </w:tcPr>
          <w:p w14:paraId="1D17F58B" w14:textId="7E393B14" w:rsidR="000F5EDF" w:rsidRPr="005B5418" w:rsidRDefault="000F5EDF" w:rsidP="00343610">
            <w:pPr>
              <w:pStyle w:val="FAM-Table-outline"/>
              <w:widowControl/>
              <w:numPr>
                <w:ilvl w:val="0"/>
                <w:numId w:val="17"/>
              </w:numPr>
              <w:adjustRightInd/>
              <w:spacing w:line="240" w:lineRule="auto"/>
              <w:textAlignment w:val="auto"/>
              <w:rPr>
                <w:rFonts w:eastAsia="Arial Unicode MS"/>
              </w:rPr>
            </w:pPr>
            <w:r w:rsidRPr="005B5418">
              <w:rPr>
                <w:rFonts w:eastAsia="Arial Unicode MS"/>
              </w:rPr>
              <w:t>When a new ORB plan is initiated or a current one amended, does the administrative entity recognize all past and prior service costs or gains immediately, without amortization? (SFFAS 5, par</w:t>
            </w:r>
            <w:r w:rsidR="00212945" w:rsidRPr="005B5418">
              <w:rPr>
                <w:rFonts w:eastAsia="Arial Unicode MS"/>
              </w:rPr>
              <w:t>as</w:t>
            </w:r>
            <w:r w:rsidRPr="005B5418">
              <w:rPr>
                <w:rFonts w:eastAsia="Arial Unicode MS"/>
              </w:rPr>
              <w:t>. 86</w:t>
            </w:r>
            <w:r w:rsidR="00212945" w:rsidRPr="005B5418">
              <w:rPr>
                <w:rFonts w:eastAsia="Arial Unicode MS"/>
              </w:rPr>
              <w:t>–</w:t>
            </w:r>
            <w:r w:rsidRPr="005B5418">
              <w:rPr>
                <w:rFonts w:eastAsia="Arial Unicode MS"/>
              </w:rPr>
              <w:t>87)</w:t>
            </w:r>
          </w:p>
        </w:tc>
        <w:tc>
          <w:tcPr>
            <w:tcW w:w="965" w:type="dxa"/>
          </w:tcPr>
          <w:p w14:paraId="3B33A286" w14:textId="77777777" w:rsidR="000F5EDF" w:rsidRPr="005B5418" w:rsidRDefault="000F5EDF" w:rsidP="008848DA">
            <w:pPr>
              <w:pStyle w:val="Table-Cell-CenterBoldBefore6ptAfter6pt"/>
              <w:spacing w:before="60" w:after="60"/>
              <w:rPr>
                <w:rFonts w:cs="Arial"/>
              </w:rPr>
            </w:pPr>
          </w:p>
        </w:tc>
        <w:tc>
          <w:tcPr>
            <w:tcW w:w="3211" w:type="dxa"/>
          </w:tcPr>
          <w:p w14:paraId="46EEBE07" w14:textId="77777777" w:rsidR="000F5EDF" w:rsidRPr="005B5418" w:rsidRDefault="000F5EDF" w:rsidP="008848DA">
            <w:pPr>
              <w:pStyle w:val="Table-Cell-Left"/>
              <w:spacing w:before="60" w:after="60" w:line="240" w:lineRule="auto"/>
              <w:rPr>
                <w:rFonts w:cs="Arial"/>
              </w:rPr>
            </w:pPr>
          </w:p>
        </w:tc>
      </w:tr>
      <w:tr w:rsidR="000F5EDF" w:rsidRPr="005B5418" w14:paraId="5B26AD4E" w14:textId="77777777" w:rsidTr="00DA6DCF">
        <w:trPr>
          <w:trHeight w:val="1241"/>
        </w:trPr>
        <w:tc>
          <w:tcPr>
            <w:tcW w:w="5410" w:type="dxa"/>
          </w:tcPr>
          <w:p w14:paraId="3713459C" w14:textId="5A469B84" w:rsidR="000F5EDF" w:rsidRPr="005B5418" w:rsidRDefault="000F5EDF" w:rsidP="00343610">
            <w:pPr>
              <w:pStyle w:val="FAM-Table-outline"/>
              <w:widowControl/>
              <w:numPr>
                <w:ilvl w:val="0"/>
                <w:numId w:val="17"/>
              </w:numPr>
              <w:adjustRightInd/>
              <w:spacing w:line="240" w:lineRule="auto"/>
              <w:textAlignment w:val="auto"/>
              <w:rPr>
                <w:rFonts w:eastAsia="Arial Unicode MS"/>
              </w:rPr>
            </w:pPr>
            <w:r w:rsidRPr="005B5418">
              <w:rPr>
                <w:rFonts w:eastAsia="Arial Unicode MS"/>
              </w:rPr>
              <w:t>Does the administrative entity recognize all actuarial gains and losses from changes in the ORB liability immediately, without amortization? (SFFAS 5, par</w:t>
            </w:r>
            <w:r w:rsidR="00C552A2" w:rsidRPr="005B5418">
              <w:rPr>
                <w:rFonts w:eastAsia="Arial Unicode MS"/>
              </w:rPr>
              <w:t>as</w:t>
            </w:r>
            <w:r w:rsidRPr="005B5418">
              <w:rPr>
                <w:rFonts w:eastAsia="Arial Unicode MS"/>
              </w:rPr>
              <w:t>. 86</w:t>
            </w:r>
            <w:r w:rsidR="00C552A2" w:rsidRPr="005B5418">
              <w:rPr>
                <w:rFonts w:eastAsia="Arial Unicode MS"/>
              </w:rPr>
              <w:t>–</w:t>
            </w:r>
            <w:r w:rsidRPr="005B5418">
              <w:rPr>
                <w:rFonts w:eastAsia="Arial Unicode MS"/>
              </w:rPr>
              <w:t>87)</w:t>
            </w:r>
          </w:p>
        </w:tc>
        <w:tc>
          <w:tcPr>
            <w:tcW w:w="965" w:type="dxa"/>
          </w:tcPr>
          <w:p w14:paraId="796231CF" w14:textId="77777777" w:rsidR="000F5EDF" w:rsidRPr="005B5418" w:rsidRDefault="000F5EDF" w:rsidP="008848DA">
            <w:pPr>
              <w:pStyle w:val="Table-Cell-CenterBoldBefore6ptAfter6pt"/>
              <w:spacing w:before="60" w:after="60"/>
              <w:rPr>
                <w:rFonts w:cs="Arial"/>
              </w:rPr>
            </w:pPr>
          </w:p>
        </w:tc>
        <w:tc>
          <w:tcPr>
            <w:tcW w:w="3211" w:type="dxa"/>
          </w:tcPr>
          <w:p w14:paraId="471DBE9F" w14:textId="77777777" w:rsidR="000F5EDF" w:rsidRPr="005B5418" w:rsidRDefault="000F5EDF" w:rsidP="008848DA">
            <w:pPr>
              <w:pStyle w:val="Table-Cell-Left"/>
              <w:spacing w:before="60" w:after="60" w:line="240" w:lineRule="auto"/>
              <w:rPr>
                <w:rFonts w:cs="Arial"/>
              </w:rPr>
            </w:pPr>
          </w:p>
        </w:tc>
      </w:tr>
      <w:tr w:rsidR="000F5EDF" w:rsidRPr="005B5418" w14:paraId="20AC1A4D" w14:textId="77777777" w:rsidTr="00DA6DCF">
        <w:trPr>
          <w:trHeight w:val="1151"/>
        </w:trPr>
        <w:tc>
          <w:tcPr>
            <w:tcW w:w="5410" w:type="dxa"/>
          </w:tcPr>
          <w:p w14:paraId="75D3777A" w14:textId="4812A01B" w:rsidR="000F5EDF" w:rsidRPr="005B5418" w:rsidRDefault="000F5EDF" w:rsidP="00343610">
            <w:pPr>
              <w:pStyle w:val="FAM-Table-outline"/>
              <w:widowControl/>
              <w:numPr>
                <w:ilvl w:val="0"/>
                <w:numId w:val="17"/>
              </w:numPr>
              <w:adjustRightInd/>
              <w:spacing w:line="240" w:lineRule="auto"/>
              <w:textAlignment w:val="auto"/>
              <w:rPr>
                <w:rFonts w:eastAsia="Arial Unicode MS"/>
              </w:rPr>
            </w:pPr>
            <w:r w:rsidRPr="005B5418">
              <w:rPr>
                <w:rFonts w:eastAsia="Arial Unicode MS"/>
              </w:rPr>
              <w:t>Does the administrative entity report ORB revenue for the sum of contributions from the employer entity and its employees? (SFFAS 5, par</w:t>
            </w:r>
            <w:r w:rsidR="00C552A2" w:rsidRPr="005B5418">
              <w:rPr>
                <w:rFonts w:eastAsia="Arial Unicode MS"/>
              </w:rPr>
              <w:t>a</w:t>
            </w:r>
            <w:r w:rsidRPr="005B5418">
              <w:rPr>
                <w:rFonts w:eastAsia="Arial Unicode MS"/>
              </w:rPr>
              <w:t>. 89)</w:t>
            </w:r>
          </w:p>
        </w:tc>
        <w:tc>
          <w:tcPr>
            <w:tcW w:w="965" w:type="dxa"/>
          </w:tcPr>
          <w:p w14:paraId="4C9B83F9" w14:textId="77777777" w:rsidR="000F5EDF" w:rsidRPr="005B5418" w:rsidRDefault="000F5EDF" w:rsidP="008848DA">
            <w:pPr>
              <w:pStyle w:val="Table-Cell-CenterBoldBefore6ptAfter6pt"/>
              <w:spacing w:before="60" w:after="60"/>
              <w:rPr>
                <w:rFonts w:cs="Arial"/>
              </w:rPr>
            </w:pPr>
          </w:p>
        </w:tc>
        <w:tc>
          <w:tcPr>
            <w:tcW w:w="3211" w:type="dxa"/>
          </w:tcPr>
          <w:p w14:paraId="0522BCA8" w14:textId="77777777" w:rsidR="000F5EDF" w:rsidRPr="005B5418" w:rsidRDefault="000F5EDF" w:rsidP="008848DA">
            <w:pPr>
              <w:pStyle w:val="Table-Cell-Left"/>
              <w:spacing w:before="60" w:after="60" w:line="240" w:lineRule="auto"/>
              <w:rPr>
                <w:rFonts w:cs="Arial"/>
              </w:rPr>
            </w:pPr>
          </w:p>
        </w:tc>
      </w:tr>
      <w:tr w:rsidR="000F5EDF" w:rsidRPr="005B5418" w14:paraId="4960842A" w14:textId="77777777" w:rsidTr="00DA6DCF">
        <w:trPr>
          <w:trHeight w:val="1466"/>
        </w:trPr>
        <w:tc>
          <w:tcPr>
            <w:tcW w:w="5410" w:type="dxa"/>
          </w:tcPr>
          <w:p w14:paraId="0579C854" w14:textId="68FEFF1F" w:rsidR="000F5EDF" w:rsidRPr="005B5418" w:rsidRDefault="000F5EDF" w:rsidP="00343610">
            <w:pPr>
              <w:pStyle w:val="FAM-Table-outline"/>
              <w:widowControl/>
              <w:numPr>
                <w:ilvl w:val="0"/>
                <w:numId w:val="17"/>
              </w:numPr>
              <w:adjustRightInd/>
              <w:spacing w:line="240" w:lineRule="auto"/>
              <w:textAlignment w:val="auto"/>
              <w:rPr>
                <w:rFonts w:eastAsia="Arial Unicode MS"/>
              </w:rPr>
            </w:pPr>
            <w:r w:rsidRPr="005B5418">
              <w:rPr>
                <w:rFonts w:eastAsia="Arial Unicode MS"/>
              </w:rPr>
              <w:t>Does the administrative entity report the liability and recognize the expense for the net amount of all components</w:t>
            </w:r>
            <w:r w:rsidR="0046644D" w:rsidRPr="005B5418">
              <w:rPr>
                <w:rFonts w:eastAsia="Arial Unicode MS"/>
              </w:rPr>
              <w:t xml:space="preserve"> of ORB costs,</w:t>
            </w:r>
            <w:r w:rsidRPr="005B5418">
              <w:rPr>
                <w:rStyle w:val="FootnoteReference"/>
                <w:rFonts w:eastAsia="Arial Unicode MS"/>
              </w:rPr>
              <w:footnoteReference w:id="172"/>
            </w:r>
            <w:r w:rsidRPr="005B5418">
              <w:rPr>
                <w:rFonts w:eastAsia="Arial Unicode MS"/>
              </w:rPr>
              <w:t xml:space="preserve"> including in instances that it is also the employer entity? (SFFAS 5, par</w:t>
            </w:r>
            <w:r w:rsidR="0046644D" w:rsidRPr="005B5418">
              <w:rPr>
                <w:rFonts w:eastAsia="Arial Unicode MS"/>
              </w:rPr>
              <w:t>as</w:t>
            </w:r>
            <w:r w:rsidRPr="005B5418">
              <w:rPr>
                <w:rFonts w:eastAsia="Arial Unicode MS"/>
              </w:rPr>
              <w:t>. 88 and 92)</w:t>
            </w:r>
          </w:p>
        </w:tc>
        <w:tc>
          <w:tcPr>
            <w:tcW w:w="965" w:type="dxa"/>
          </w:tcPr>
          <w:p w14:paraId="2C06F584" w14:textId="77777777" w:rsidR="000F5EDF" w:rsidRPr="005B5418" w:rsidRDefault="000F5EDF" w:rsidP="008848DA">
            <w:pPr>
              <w:pStyle w:val="Table-Cell-CenterBoldBefore6ptAfter6pt"/>
              <w:spacing w:before="60" w:after="60"/>
              <w:rPr>
                <w:rFonts w:cs="Arial"/>
              </w:rPr>
            </w:pPr>
          </w:p>
        </w:tc>
        <w:tc>
          <w:tcPr>
            <w:tcW w:w="3211" w:type="dxa"/>
          </w:tcPr>
          <w:p w14:paraId="220588DE" w14:textId="77777777" w:rsidR="000F5EDF" w:rsidRPr="005B5418" w:rsidRDefault="000F5EDF" w:rsidP="008848DA">
            <w:pPr>
              <w:pStyle w:val="Table-Cell-Left"/>
              <w:spacing w:before="60" w:after="60" w:line="240" w:lineRule="auto"/>
              <w:rPr>
                <w:rFonts w:cs="Arial"/>
              </w:rPr>
            </w:pPr>
          </w:p>
        </w:tc>
      </w:tr>
      <w:tr w:rsidR="00A83BA4" w:rsidRPr="005B5418" w14:paraId="23A49B69" w14:textId="77777777" w:rsidTr="008848DA">
        <w:trPr>
          <w:trHeight w:hRule="exact" w:val="461"/>
        </w:trPr>
        <w:tc>
          <w:tcPr>
            <w:tcW w:w="9586" w:type="dxa"/>
            <w:gridSpan w:val="3"/>
          </w:tcPr>
          <w:p w14:paraId="16BB1F18" w14:textId="77777777" w:rsidR="00A83BA4" w:rsidRPr="005B5418" w:rsidRDefault="00A83BA4" w:rsidP="008848DA">
            <w:pPr>
              <w:pStyle w:val="Table-Cell-Left"/>
              <w:spacing w:before="60" w:after="60" w:line="240" w:lineRule="auto"/>
              <w:rPr>
                <w:rFonts w:eastAsia="Arial Unicode MS" w:cs="Arial"/>
                <w:b/>
                <w:sz w:val="22"/>
                <w:szCs w:val="22"/>
              </w:rPr>
            </w:pPr>
            <w:r w:rsidRPr="005B5418">
              <w:rPr>
                <w:rFonts w:eastAsia="Arial Unicode MS" w:cs="Arial"/>
                <w:b/>
                <w:sz w:val="22"/>
                <w:szCs w:val="22"/>
              </w:rPr>
              <w:t>OPEB</w:t>
            </w:r>
          </w:p>
        </w:tc>
      </w:tr>
      <w:tr w:rsidR="00504F62" w:rsidRPr="005B5418" w14:paraId="56F375AA" w14:textId="77777777" w:rsidTr="00DA6DCF">
        <w:trPr>
          <w:trHeight w:val="1817"/>
        </w:trPr>
        <w:tc>
          <w:tcPr>
            <w:tcW w:w="9586" w:type="dxa"/>
            <w:gridSpan w:val="3"/>
          </w:tcPr>
          <w:p w14:paraId="56E4514F" w14:textId="7C008F0A" w:rsidR="003E522F" w:rsidRPr="005B5418" w:rsidRDefault="00504F62" w:rsidP="008848DA">
            <w:pPr>
              <w:pStyle w:val="Table-Cell-Left"/>
              <w:spacing w:before="60" w:after="60" w:line="240" w:lineRule="auto"/>
              <w:ind w:left="-23"/>
              <w:jc w:val="left"/>
              <w:rPr>
                <w:rFonts w:eastAsia="Arial Unicode MS" w:cs="Arial"/>
                <w:sz w:val="22"/>
                <w:szCs w:val="22"/>
              </w:rPr>
            </w:pPr>
            <w:r w:rsidRPr="005B5418">
              <w:rPr>
                <w:rFonts w:eastAsia="Arial Unicode MS" w:cs="Arial"/>
                <w:sz w:val="22"/>
                <w:szCs w:val="22"/>
              </w:rPr>
              <w:t xml:space="preserve">OPEB </w:t>
            </w:r>
            <w:r w:rsidR="00964BAA" w:rsidRPr="005B5418">
              <w:rPr>
                <w:rFonts w:eastAsia="Arial Unicode MS" w:cs="Arial"/>
                <w:sz w:val="22"/>
                <w:szCs w:val="22"/>
              </w:rPr>
              <w:t xml:space="preserve">is </w:t>
            </w:r>
            <w:r w:rsidRPr="005B5418">
              <w:rPr>
                <w:rFonts w:eastAsia="Arial Unicode MS" w:cs="Arial"/>
                <w:sz w:val="22"/>
                <w:szCs w:val="22"/>
              </w:rPr>
              <w:t>provided to former or inactive employees, beneficiaries, and covered dependents outside pension or ORB plans. Postemployment benefits can include salary continuation, severance benefits, counseling and training, continuation of health care or other benefits, unemployment, worke</w:t>
            </w:r>
            <w:r w:rsidR="00964BAA" w:rsidRPr="005B5418">
              <w:rPr>
                <w:rFonts w:eastAsia="Arial Unicode MS" w:cs="Arial"/>
                <w:sz w:val="22"/>
                <w:szCs w:val="22"/>
              </w:rPr>
              <w:t>rs’</w:t>
            </w:r>
            <w:r w:rsidRPr="005B5418">
              <w:rPr>
                <w:rFonts w:eastAsia="Arial Unicode MS" w:cs="Arial"/>
                <w:sz w:val="22"/>
                <w:szCs w:val="22"/>
              </w:rPr>
              <w:t xml:space="preserve"> compensation, and veterans’ disability compensation benefits paid by the employer. (SFFAS 4, par</w:t>
            </w:r>
            <w:r w:rsidR="00964BAA" w:rsidRPr="005B5418">
              <w:rPr>
                <w:rFonts w:eastAsia="Arial Unicode MS" w:cs="Arial"/>
                <w:sz w:val="22"/>
                <w:szCs w:val="22"/>
              </w:rPr>
              <w:t>a</w:t>
            </w:r>
            <w:r w:rsidRPr="005B5418">
              <w:rPr>
                <w:rFonts w:eastAsia="Arial Unicode MS" w:cs="Arial"/>
                <w:sz w:val="22"/>
                <w:szCs w:val="22"/>
              </w:rPr>
              <w:t>. 96; SFFAS 5, par</w:t>
            </w:r>
            <w:r w:rsidR="00964BAA" w:rsidRPr="005B5418">
              <w:rPr>
                <w:rFonts w:eastAsia="Arial Unicode MS" w:cs="Arial"/>
                <w:sz w:val="22"/>
                <w:szCs w:val="22"/>
              </w:rPr>
              <w:t>as</w:t>
            </w:r>
            <w:r w:rsidRPr="005B5418">
              <w:rPr>
                <w:rFonts w:eastAsia="Arial Unicode MS" w:cs="Arial"/>
                <w:sz w:val="22"/>
                <w:szCs w:val="22"/>
              </w:rPr>
              <w:t xml:space="preserve">. 57 and 94) </w:t>
            </w:r>
          </w:p>
          <w:p w14:paraId="3C7C6E57" w14:textId="77777777" w:rsidR="005839AB" w:rsidRPr="005B5418" w:rsidRDefault="005839AB" w:rsidP="008848DA">
            <w:pPr>
              <w:pStyle w:val="Table-Cell-Left"/>
              <w:spacing w:before="60" w:after="60" w:line="240" w:lineRule="auto"/>
              <w:ind w:left="-23"/>
              <w:jc w:val="left"/>
              <w:rPr>
                <w:rFonts w:eastAsia="Arial Unicode MS" w:cs="Arial"/>
                <w:b/>
                <w:sz w:val="22"/>
                <w:szCs w:val="22"/>
              </w:rPr>
            </w:pPr>
          </w:p>
          <w:p w14:paraId="5301F01B" w14:textId="77777777" w:rsidR="00A827BE" w:rsidRPr="005B5418" w:rsidRDefault="00A827BE" w:rsidP="008848DA">
            <w:pPr>
              <w:pStyle w:val="Table-Cell-Left"/>
              <w:spacing w:before="60" w:after="60" w:line="240" w:lineRule="auto"/>
              <w:ind w:left="-23"/>
              <w:jc w:val="left"/>
              <w:rPr>
                <w:rFonts w:eastAsia="Arial Unicode MS" w:cs="Arial"/>
                <w:b/>
                <w:sz w:val="22"/>
                <w:szCs w:val="22"/>
              </w:rPr>
            </w:pPr>
            <w:r w:rsidRPr="005B5418">
              <w:rPr>
                <w:rFonts w:eastAsia="Arial Unicode MS" w:cs="Arial"/>
                <w:b/>
                <w:sz w:val="22"/>
                <w:szCs w:val="22"/>
              </w:rPr>
              <w:t>For OPEB, it is common for the employer entity to also be the administrative entity</w:t>
            </w:r>
            <w:r w:rsidR="005839AB" w:rsidRPr="005B5418">
              <w:rPr>
                <w:rFonts w:eastAsia="Arial Unicode MS" w:cs="Arial"/>
                <w:b/>
                <w:sz w:val="22"/>
                <w:szCs w:val="22"/>
              </w:rPr>
              <w:t>.</w:t>
            </w:r>
          </w:p>
          <w:p w14:paraId="47F49A10" w14:textId="77777777" w:rsidR="005839AB" w:rsidRPr="005B5418" w:rsidRDefault="005839AB" w:rsidP="008848DA">
            <w:pPr>
              <w:pStyle w:val="Table-Cell-Left"/>
              <w:spacing w:before="60" w:after="60" w:line="240" w:lineRule="auto"/>
              <w:ind w:left="-23"/>
              <w:jc w:val="left"/>
              <w:rPr>
                <w:rFonts w:eastAsia="Arial Unicode MS" w:cs="Arial"/>
                <w:b/>
                <w:sz w:val="22"/>
                <w:szCs w:val="22"/>
              </w:rPr>
            </w:pPr>
          </w:p>
          <w:p w14:paraId="3DAD4A8D" w14:textId="77777777" w:rsidR="005839AB" w:rsidRPr="005B5418" w:rsidRDefault="005839AB" w:rsidP="008848DA">
            <w:pPr>
              <w:pStyle w:val="Table-Cell-Left"/>
              <w:spacing w:before="60" w:after="60" w:line="240" w:lineRule="auto"/>
              <w:ind w:left="-23"/>
              <w:jc w:val="left"/>
              <w:rPr>
                <w:rFonts w:eastAsia="Arial Unicode MS" w:cs="Arial"/>
                <w:b/>
                <w:sz w:val="22"/>
                <w:szCs w:val="22"/>
              </w:rPr>
            </w:pPr>
          </w:p>
          <w:p w14:paraId="4C810690" w14:textId="77777777" w:rsidR="005839AB" w:rsidRPr="005B5418" w:rsidRDefault="005839AB" w:rsidP="008848DA">
            <w:pPr>
              <w:pStyle w:val="Table-Cell-Left"/>
              <w:spacing w:before="60" w:after="60" w:line="240" w:lineRule="auto"/>
              <w:ind w:left="-23"/>
              <w:jc w:val="left"/>
              <w:rPr>
                <w:rFonts w:eastAsia="Arial Unicode MS" w:cs="Arial"/>
                <w:b/>
                <w:sz w:val="22"/>
                <w:szCs w:val="22"/>
              </w:rPr>
            </w:pPr>
          </w:p>
          <w:p w14:paraId="101028A2" w14:textId="7C1854FA" w:rsidR="005839AB" w:rsidRPr="005B5418" w:rsidRDefault="005839AB" w:rsidP="009D1DBB">
            <w:pPr>
              <w:pStyle w:val="Table-Cell-Left"/>
              <w:spacing w:before="60" w:after="60" w:line="240" w:lineRule="auto"/>
              <w:jc w:val="left"/>
              <w:rPr>
                <w:rFonts w:cs="Arial"/>
                <w:b/>
              </w:rPr>
            </w:pPr>
          </w:p>
        </w:tc>
      </w:tr>
      <w:tr w:rsidR="00065BA2" w:rsidRPr="005B5418" w14:paraId="766DFD4D" w14:textId="77777777" w:rsidTr="00DA6DCF">
        <w:trPr>
          <w:cantSplit/>
          <w:trHeight w:val="296"/>
        </w:trPr>
        <w:tc>
          <w:tcPr>
            <w:tcW w:w="9586" w:type="dxa"/>
            <w:gridSpan w:val="3"/>
          </w:tcPr>
          <w:p w14:paraId="54F5D80B" w14:textId="77777777" w:rsidR="00065BA2" w:rsidRPr="005B5418" w:rsidRDefault="00065BA2" w:rsidP="008848DA">
            <w:pPr>
              <w:spacing w:before="60" w:after="60" w:line="240" w:lineRule="auto"/>
              <w:rPr>
                <w:rFonts w:ascii="Arial" w:hAnsi="Arial" w:cs="Arial"/>
                <w:b/>
              </w:rPr>
            </w:pPr>
            <w:r w:rsidRPr="005B5418">
              <w:rPr>
                <w:rFonts w:ascii="Arial" w:hAnsi="Arial" w:cs="Arial"/>
                <w:b/>
              </w:rPr>
              <w:lastRenderedPageBreak/>
              <w:t>Accounting</w:t>
            </w:r>
          </w:p>
        </w:tc>
      </w:tr>
      <w:tr w:rsidR="00504F62" w:rsidRPr="005B5418" w14:paraId="56B9721B" w14:textId="77777777" w:rsidTr="00DA6DCF">
        <w:trPr>
          <w:trHeight w:val="1817"/>
        </w:trPr>
        <w:tc>
          <w:tcPr>
            <w:tcW w:w="5410" w:type="dxa"/>
          </w:tcPr>
          <w:p w14:paraId="749B74F8" w14:textId="3A95EC23" w:rsidR="00504F62" w:rsidRPr="005B5418" w:rsidRDefault="00504F62"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entity recognize a liability and expense for OPEB when a future outflow or other sacrifice of resources is probable and measurable on the basis of events occurring on or before the reporting date? (SFFAS 5, par</w:t>
            </w:r>
            <w:r w:rsidR="004C64C9" w:rsidRPr="005B5418">
              <w:rPr>
                <w:rFonts w:eastAsia="Arial Unicode MS"/>
              </w:rPr>
              <w:t>a</w:t>
            </w:r>
            <w:r w:rsidRPr="005B5418">
              <w:rPr>
                <w:rFonts w:eastAsia="Arial Unicode MS"/>
              </w:rPr>
              <w:t>. 95)</w:t>
            </w:r>
          </w:p>
        </w:tc>
        <w:tc>
          <w:tcPr>
            <w:tcW w:w="965" w:type="dxa"/>
          </w:tcPr>
          <w:p w14:paraId="0AE353FF" w14:textId="77777777" w:rsidR="00504F62" w:rsidRPr="005B5418" w:rsidRDefault="00504F62" w:rsidP="008848DA">
            <w:pPr>
              <w:pStyle w:val="Table-Cell-CenterBoldBefore6ptAfter6pt"/>
              <w:spacing w:before="60" w:after="60"/>
              <w:rPr>
                <w:rFonts w:cs="Arial"/>
              </w:rPr>
            </w:pPr>
          </w:p>
        </w:tc>
        <w:tc>
          <w:tcPr>
            <w:tcW w:w="3211" w:type="dxa"/>
          </w:tcPr>
          <w:p w14:paraId="4E1A0187" w14:textId="77777777" w:rsidR="00504F62" w:rsidRPr="005B5418" w:rsidRDefault="00504F62" w:rsidP="008848DA">
            <w:pPr>
              <w:pStyle w:val="Table-Cell-Left"/>
              <w:spacing w:before="60" w:after="60" w:line="240" w:lineRule="auto"/>
              <w:rPr>
                <w:rFonts w:cs="Arial"/>
              </w:rPr>
            </w:pPr>
          </w:p>
        </w:tc>
      </w:tr>
      <w:tr w:rsidR="00504F62" w:rsidRPr="005B5418" w14:paraId="7BAEBC50" w14:textId="77777777" w:rsidTr="00DA6DCF">
        <w:trPr>
          <w:trHeight w:val="935"/>
        </w:trPr>
        <w:tc>
          <w:tcPr>
            <w:tcW w:w="5410" w:type="dxa"/>
          </w:tcPr>
          <w:p w14:paraId="235B5C63" w14:textId="15F949EF" w:rsidR="00504F62" w:rsidRPr="005B5418" w:rsidRDefault="00504F62" w:rsidP="00343610">
            <w:pPr>
              <w:pStyle w:val="FAM-Table-outline"/>
              <w:widowControl/>
              <w:numPr>
                <w:ilvl w:val="0"/>
                <w:numId w:val="17"/>
              </w:numPr>
              <w:adjustRightInd/>
              <w:spacing w:line="240" w:lineRule="auto"/>
              <w:textAlignment w:val="auto"/>
              <w:rPr>
                <w:rFonts w:cs="Arial"/>
              </w:rPr>
            </w:pPr>
            <w:r w:rsidRPr="005B5418">
              <w:rPr>
                <w:rFonts w:eastAsia="Arial Unicode MS"/>
              </w:rPr>
              <w:t xml:space="preserve">Does the entity recognize the long-term </w:t>
            </w:r>
            <w:r w:rsidR="004C64C9" w:rsidRPr="005B5418">
              <w:rPr>
                <w:rFonts w:eastAsia="Arial Unicode MS"/>
              </w:rPr>
              <w:t>OPEB</w:t>
            </w:r>
            <w:r w:rsidRPr="005B5418">
              <w:rPr>
                <w:rFonts w:eastAsia="Arial Unicode MS"/>
              </w:rPr>
              <w:t xml:space="preserve"> liability as the present value of future payments discounted at the interest rate on marketable Treasury securities of similar maturity following the requirements of SFFAS 5, par</w:t>
            </w:r>
            <w:r w:rsidR="004C64C9" w:rsidRPr="005B5418">
              <w:rPr>
                <w:rFonts w:eastAsia="Arial Unicode MS"/>
              </w:rPr>
              <w:t xml:space="preserve">agraph </w:t>
            </w:r>
            <w:r w:rsidRPr="005B5418">
              <w:rPr>
                <w:rFonts w:eastAsia="Arial Unicode MS"/>
              </w:rPr>
              <w:t>66</w:t>
            </w:r>
            <w:r w:rsidR="004C64C9" w:rsidRPr="005B5418">
              <w:rPr>
                <w:rFonts w:eastAsia="Arial Unicode MS"/>
              </w:rPr>
              <w:t>,</w:t>
            </w:r>
            <w:r w:rsidRPr="005B5418">
              <w:rPr>
                <w:rFonts w:eastAsia="Arial Unicode MS"/>
              </w:rPr>
              <w:t xml:space="preserve"> as discussed in detail for pensions above? (SFFAS 5, par</w:t>
            </w:r>
            <w:r w:rsidR="004C64C9" w:rsidRPr="005B5418">
              <w:rPr>
                <w:rFonts w:eastAsia="Arial Unicode MS"/>
              </w:rPr>
              <w:t>a</w:t>
            </w:r>
            <w:r w:rsidRPr="005B5418">
              <w:rPr>
                <w:rFonts w:eastAsia="Arial Unicode MS"/>
              </w:rPr>
              <w:t>. 95)</w:t>
            </w:r>
          </w:p>
        </w:tc>
        <w:tc>
          <w:tcPr>
            <w:tcW w:w="965" w:type="dxa"/>
          </w:tcPr>
          <w:p w14:paraId="02F40EFF" w14:textId="77777777" w:rsidR="00504F62" w:rsidRPr="005B5418" w:rsidRDefault="00504F62" w:rsidP="008848DA">
            <w:pPr>
              <w:pStyle w:val="Table-Cell-CenterBoldBefore6ptAfter6pt"/>
              <w:spacing w:before="60" w:after="60"/>
              <w:rPr>
                <w:rFonts w:cs="Arial"/>
              </w:rPr>
            </w:pPr>
          </w:p>
        </w:tc>
        <w:tc>
          <w:tcPr>
            <w:tcW w:w="3211" w:type="dxa"/>
          </w:tcPr>
          <w:p w14:paraId="67EFF59F" w14:textId="77777777" w:rsidR="00504F62" w:rsidRPr="005B5418" w:rsidRDefault="00504F62" w:rsidP="008848DA">
            <w:pPr>
              <w:pStyle w:val="Table-Cell-Left"/>
              <w:spacing w:before="60" w:after="60" w:line="240" w:lineRule="auto"/>
              <w:rPr>
                <w:rFonts w:cs="Arial"/>
              </w:rPr>
            </w:pPr>
          </w:p>
        </w:tc>
      </w:tr>
      <w:tr w:rsidR="00504F62" w:rsidRPr="005B5418" w14:paraId="23F1D313" w14:textId="77777777" w:rsidTr="00DA6DCF">
        <w:trPr>
          <w:trHeight w:val="710"/>
        </w:trPr>
        <w:tc>
          <w:tcPr>
            <w:tcW w:w="5410" w:type="dxa"/>
          </w:tcPr>
          <w:p w14:paraId="797B3AF3" w14:textId="5591D469" w:rsidR="00504F62" w:rsidRPr="005B5418" w:rsidRDefault="00504F62" w:rsidP="00343610">
            <w:pPr>
              <w:pStyle w:val="FAM-Table-outline"/>
              <w:widowControl/>
              <w:numPr>
                <w:ilvl w:val="0"/>
                <w:numId w:val="17"/>
              </w:numPr>
              <w:adjustRightInd/>
              <w:spacing w:line="240" w:lineRule="auto"/>
              <w:textAlignment w:val="auto"/>
              <w:rPr>
                <w:rFonts w:cs="Arial"/>
              </w:rPr>
            </w:pPr>
            <w:r w:rsidRPr="005B5418">
              <w:rPr>
                <w:rFonts w:eastAsia="Arial Unicode MS"/>
              </w:rPr>
              <w:t>Are estimated OPEB liabilities and expenses measured as of the end of the fiscal year (or other reporting period</w:t>
            </w:r>
            <w:r w:rsidR="004C64C9" w:rsidRPr="005B5418">
              <w:rPr>
                <w:rFonts w:eastAsia="Arial Unicode MS"/>
              </w:rPr>
              <w:t>,</w:t>
            </w:r>
            <w:r w:rsidRPr="005B5418">
              <w:rPr>
                <w:rFonts w:eastAsia="Arial Unicode MS"/>
              </w:rPr>
              <w:t xml:space="preserve"> if applicable)?</w:t>
            </w:r>
            <w:r w:rsidRPr="005B5418">
              <w:rPr>
                <w:rStyle w:val="FootnoteReference"/>
                <w:rFonts w:eastAsia="Arial Unicode MS"/>
              </w:rPr>
              <w:footnoteReference w:id="173"/>
            </w:r>
            <w:r w:rsidRPr="005B5418">
              <w:rPr>
                <w:rFonts w:eastAsia="Arial Unicode MS"/>
              </w:rPr>
              <w:t xml:space="preserve"> (SFFAS 33, par</w:t>
            </w:r>
            <w:r w:rsidR="004C64C9" w:rsidRPr="005B5418">
              <w:rPr>
                <w:rFonts w:eastAsia="Arial Unicode MS"/>
              </w:rPr>
              <w:t>a</w:t>
            </w:r>
            <w:r w:rsidRPr="005B5418">
              <w:rPr>
                <w:rFonts w:eastAsia="Arial Unicode MS"/>
              </w:rPr>
              <w:t>. 33)</w:t>
            </w:r>
          </w:p>
        </w:tc>
        <w:tc>
          <w:tcPr>
            <w:tcW w:w="965" w:type="dxa"/>
          </w:tcPr>
          <w:p w14:paraId="07918014" w14:textId="77777777" w:rsidR="00504F62" w:rsidRPr="005B5418" w:rsidRDefault="00504F62" w:rsidP="008848DA">
            <w:pPr>
              <w:pStyle w:val="Table-Cell-CenterBoldBefore6ptAfter6pt"/>
              <w:spacing w:before="60" w:after="60"/>
              <w:rPr>
                <w:rFonts w:cs="Arial"/>
              </w:rPr>
            </w:pPr>
          </w:p>
        </w:tc>
        <w:tc>
          <w:tcPr>
            <w:tcW w:w="3211" w:type="dxa"/>
          </w:tcPr>
          <w:p w14:paraId="73EB4638" w14:textId="77777777" w:rsidR="00504F62" w:rsidRPr="005B5418" w:rsidRDefault="00504F62" w:rsidP="008848DA">
            <w:pPr>
              <w:pStyle w:val="Table-Cell-Left"/>
              <w:spacing w:before="60" w:after="60" w:line="240" w:lineRule="auto"/>
              <w:rPr>
                <w:rFonts w:cs="Arial"/>
              </w:rPr>
            </w:pPr>
          </w:p>
        </w:tc>
      </w:tr>
      <w:tr w:rsidR="00504F62" w:rsidRPr="005B5418" w14:paraId="30F60B0F" w14:textId="77777777" w:rsidTr="00DA6DCF">
        <w:trPr>
          <w:trHeight w:val="1232"/>
        </w:trPr>
        <w:tc>
          <w:tcPr>
            <w:tcW w:w="5410" w:type="dxa"/>
          </w:tcPr>
          <w:p w14:paraId="0F3B35C7" w14:textId="5D41D885" w:rsidR="00504F62" w:rsidRPr="005B5418" w:rsidRDefault="00504F62" w:rsidP="00343610">
            <w:pPr>
              <w:pStyle w:val="FAM-Table-outline"/>
              <w:widowControl/>
              <w:numPr>
                <w:ilvl w:val="0"/>
                <w:numId w:val="17"/>
              </w:numPr>
              <w:adjustRightInd/>
              <w:spacing w:line="240" w:lineRule="auto"/>
              <w:textAlignment w:val="auto"/>
              <w:rPr>
                <w:rFonts w:cs="Arial"/>
              </w:rPr>
            </w:pPr>
            <w:r w:rsidRPr="005B5418">
              <w:rPr>
                <w:rFonts w:eastAsia="Arial Unicode MS"/>
              </w:rPr>
              <w:t>Does the administrative entity use a valuation date for the full actuarial valuation of OPEB that is consistently followed from year to year? (SFFAS 33, par</w:t>
            </w:r>
            <w:r w:rsidR="00F45389" w:rsidRPr="005B5418">
              <w:rPr>
                <w:rFonts w:eastAsia="Arial Unicode MS"/>
              </w:rPr>
              <w:t>a</w:t>
            </w:r>
            <w:r w:rsidRPr="005B5418">
              <w:rPr>
                <w:rFonts w:eastAsia="Arial Unicode MS"/>
              </w:rPr>
              <w:t>. 34)</w:t>
            </w:r>
          </w:p>
        </w:tc>
        <w:tc>
          <w:tcPr>
            <w:tcW w:w="965" w:type="dxa"/>
          </w:tcPr>
          <w:p w14:paraId="6D8ADDC5" w14:textId="77777777" w:rsidR="00504F62" w:rsidRPr="005B5418" w:rsidRDefault="00504F62" w:rsidP="008848DA">
            <w:pPr>
              <w:pStyle w:val="Table-Cell-CenterBoldBefore6ptAfter6pt"/>
              <w:spacing w:before="60" w:after="60"/>
              <w:rPr>
                <w:rFonts w:cs="Arial"/>
              </w:rPr>
            </w:pPr>
          </w:p>
        </w:tc>
        <w:tc>
          <w:tcPr>
            <w:tcW w:w="3211" w:type="dxa"/>
          </w:tcPr>
          <w:p w14:paraId="036ABD8A" w14:textId="77777777" w:rsidR="00504F62" w:rsidRPr="005B5418" w:rsidRDefault="00504F62" w:rsidP="008848DA">
            <w:pPr>
              <w:pStyle w:val="Table-Cell-Left"/>
              <w:spacing w:before="60" w:after="60" w:line="240" w:lineRule="auto"/>
              <w:rPr>
                <w:rFonts w:cs="Arial"/>
              </w:rPr>
            </w:pPr>
          </w:p>
        </w:tc>
      </w:tr>
      <w:tr w:rsidR="00065BA2" w:rsidRPr="005B5418" w14:paraId="78E288B3" w14:textId="77777777" w:rsidTr="00DA6DCF">
        <w:trPr>
          <w:cantSplit/>
          <w:trHeight w:val="251"/>
        </w:trPr>
        <w:tc>
          <w:tcPr>
            <w:tcW w:w="9586" w:type="dxa"/>
            <w:gridSpan w:val="3"/>
          </w:tcPr>
          <w:p w14:paraId="6A131391" w14:textId="3CD82CE5" w:rsidR="00065BA2" w:rsidRPr="005B5418" w:rsidRDefault="00065BA2" w:rsidP="008848DA">
            <w:pPr>
              <w:spacing w:before="60" w:after="60" w:line="240" w:lineRule="auto"/>
              <w:rPr>
                <w:rFonts w:ascii="Arial" w:hAnsi="Arial" w:cs="Arial"/>
                <w:b/>
              </w:rPr>
            </w:pPr>
            <w:r w:rsidRPr="005B5418">
              <w:rPr>
                <w:rFonts w:ascii="Arial" w:hAnsi="Arial" w:cs="Arial"/>
                <w:b/>
              </w:rPr>
              <w:t>Disclosure</w:t>
            </w:r>
            <w:r w:rsidR="00FA7A6A" w:rsidRPr="005B5418">
              <w:rPr>
                <w:rFonts w:ascii="Arial" w:hAnsi="Arial" w:cs="Arial"/>
                <w:b/>
              </w:rPr>
              <w:t xml:space="preserve"> </w:t>
            </w:r>
            <w:r w:rsidR="00674437" w:rsidRPr="005B5418">
              <w:rPr>
                <w:rFonts w:ascii="Arial" w:hAnsi="Arial" w:cs="Arial"/>
                <w:b/>
              </w:rPr>
              <w:t>–</w:t>
            </w:r>
            <w:r w:rsidR="009D5778" w:rsidRPr="005B5418">
              <w:rPr>
                <w:rFonts w:ascii="Arial" w:hAnsi="Arial" w:cs="Arial"/>
                <w:b/>
              </w:rPr>
              <w:t xml:space="preserve"> </w:t>
            </w:r>
            <w:r w:rsidR="00FA7A6A" w:rsidRPr="005B5418">
              <w:rPr>
                <w:rFonts w:ascii="Arial" w:hAnsi="Arial" w:cs="Arial"/>
                <w:b/>
              </w:rPr>
              <w:t>Federal Employee and Veteran</w:t>
            </w:r>
            <w:r w:rsidR="00935832" w:rsidRPr="005B5418">
              <w:rPr>
                <w:rFonts w:ascii="Arial" w:hAnsi="Arial" w:cs="Arial"/>
                <w:b/>
              </w:rPr>
              <w:t>s</w:t>
            </w:r>
            <w:r w:rsidR="00FA7A6A" w:rsidRPr="005B5418">
              <w:rPr>
                <w:rFonts w:ascii="Arial" w:hAnsi="Arial" w:cs="Arial"/>
                <w:b/>
              </w:rPr>
              <w:t xml:space="preserve"> Benefits</w:t>
            </w:r>
            <w:r w:rsidR="009D5778" w:rsidRPr="005B5418">
              <w:rPr>
                <w:rFonts w:ascii="Arial" w:hAnsi="Arial" w:cs="Arial"/>
                <w:b/>
              </w:rPr>
              <w:t xml:space="preserve"> – Pension, ORB</w:t>
            </w:r>
            <w:r w:rsidR="00A43DF0" w:rsidRPr="005B5418">
              <w:rPr>
                <w:rFonts w:ascii="Arial" w:hAnsi="Arial" w:cs="Arial"/>
                <w:b/>
              </w:rPr>
              <w:t>,</w:t>
            </w:r>
            <w:r w:rsidR="009D5778" w:rsidRPr="005B5418">
              <w:rPr>
                <w:rFonts w:ascii="Arial" w:hAnsi="Arial" w:cs="Arial"/>
                <w:b/>
              </w:rPr>
              <w:t xml:space="preserve"> and OPEB</w:t>
            </w:r>
          </w:p>
        </w:tc>
      </w:tr>
      <w:tr w:rsidR="009118E5" w:rsidRPr="005B5418" w14:paraId="6E8E2630" w14:textId="77777777" w:rsidTr="00DA6DCF">
        <w:trPr>
          <w:trHeight w:val="1817"/>
        </w:trPr>
        <w:tc>
          <w:tcPr>
            <w:tcW w:w="5410" w:type="dxa"/>
          </w:tcPr>
          <w:p w14:paraId="25A331DE" w14:textId="060F6DC7"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Does the administrative entity, at a minimum, disclose actuarial liabilities and the assumptions used to calculate the liability for pensions, ORB, OPEB</w:t>
            </w:r>
            <w:r w:rsidR="00674437" w:rsidRPr="005B5418">
              <w:rPr>
                <w:rFonts w:cs="Arial"/>
              </w:rPr>
              <w:t>,</w:t>
            </w:r>
            <w:r w:rsidRPr="005B5418">
              <w:rPr>
                <w:rFonts w:cs="Arial"/>
              </w:rPr>
              <w:t xml:space="preserve"> and related expenses? (SFFAS 5, par</w:t>
            </w:r>
            <w:r w:rsidR="00674437" w:rsidRPr="005B5418">
              <w:rPr>
                <w:rFonts w:cs="Arial"/>
              </w:rPr>
              <w:t>as</w:t>
            </w:r>
            <w:r w:rsidRPr="005B5418">
              <w:rPr>
                <w:rFonts w:cs="Arial"/>
              </w:rPr>
              <w:t xml:space="preserve">. 67 </w:t>
            </w:r>
            <w:r w:rsidR="00674437" w:rsidRPr="005B5418">
              <w:rPr>
                <w:rFonts w:cs="Arial"/>
              </w:rPr>
              <w:t xml:space="preserve">and </w:t>
            </w:r>
            <w:r w:rsidRPr="005B5418">
              <w:rPr>
                <w:rFonts w:cs="Arial"/>
              </w:rPr>
              <w:t xml:space="preserve">83; A-136, sections II.3.2.4 </w:t>
            </w:r>
            <w:r w:rsidR="00674437" w:rsidRPr="005B5418">
              <w:rPr>
                <w:rFonts w:cs="Arial"/>
              </w:rPr>
              <w:t xml:space="preserve">and </w:t>
            </w:r>
            <w:r w:rsidRPr="005B5418">
              <w:rPr>
                <w:rFonts w:cs="Arial"/>
              </w:rPr>
              <w:t>II.3.8.15)</w:t>
            </w:r>
          </w:p>
        </w:tc>
        <w:tc>
          <w:tcPr>
            <w:tcW w:w="965" w:type="dxa"/>
          </w:tcPr>
          <w:p w14:paraId="00BCC86D" w14:textId="77777777" w:rsidR="009118E5" w:rsidRPr="005B5418" w:rsidRDefault="009118E5" w:rsidP="008848DA">
            <w:pPr>
              <w:pStyle w:val="Table-Cell-CenterBoldBefore6ptAfter6pt"/>
              <w:spacing w:before="60" w:after="60"/>
              <w:rPr>
                <w:rFonts w:cs="Arial"/>
              </w:rPr>
            </w:pPr>
          </w:p>
        </w:tc>
        <w:tc>
          <w:tcPr>
            <w:tcW w:w="3211" w:type="dxa"/>
          </w:tcPr>
          <w:p w14:paraId="6561A89B" w14:textId="77777777" w:rsidR="009118E5" w:rsidRPr="005B5418" w:rsidRDefault="009118E5" w:rsidP="008848DA">
            <w:pPr>
              <w:pStyle w:val="Table-Cell-Left"/>
              <w:spacing w:before="60" w:after="60" w:line="240" w:lineRule="auto"/>
              <w:rPr>
                <w:rFonts w:cs="Arial"/>
              </w:rPr>
            </w:pPr>
          </w:p>
        </w:tc>
      </w:tr>
      <w:tr w:rsidR="009118E5" w:rsidRPr="005B5418" w14:paraId="167FA815" w14:textId="77777777" w:rsidTr="00DA6DCF">
        <w:trPr>
          <w:trHeight w:val="2160"/>
        </w:trPr>
        <w:tc>
          <w:tcPr>
            <w:tcW w:w="5410" w:type="dxa"/>
          </w:tcPr>
          <w:p w14:paraId="5E5BE99C" w14:textId="0B036E20"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If the assumptions for a pension plan differ from the assumptions </w:t>
            </w:r>
            <w:r w:rsidR="00674437" w:rsidRPr="005B5418">
              <w:rPr>
                <w:rFonts w:cs="Arial"/>
              </w:rPr>
              <w:t>that</w:t>
            </w:r>
            <w:r w:rsidRPr="005B5418">
              <w:rPr>
                <w:rFonts w:cs="Arial"/>
              </w:rPr>
              <w:t xml:space="preserve"> the three primary plans—CSRS, FERS, and MRS—</w:t>
            </w:r>
            <w:r w:rsidR="00674437" w:rsidRPr="005B5418">
              <w:rPr>
                <w:rFonts w:cs="Arial"/>
              </w:rPr>
              <w:t xml:space="preserve">use, </w:t>
            </w:r>
            <w:r w:rsidRPr="005B5418">
              <w:rPr>
                <w:rFonts w:cs="Arial"/>
              </w:rPr>
              <w:t>does the administrative entity disclose how and why the assumptions differ from those of the primary plans? (SFFAS 5, par</w:t>
            </w:r>
            <w:r w:rsidR="00674437" w:rsidRPr="005B5418">
              <w:rPr>
                <w:rFonts w:cs="Arial"/>
              </w:rPr>
              <w:t>as</w:t>
            </w:r>
            <w:r w:rsidRPr="005B5418">
              <w:rPr>
                <w:rFonts w:cs="Arial"/>
              </w:rPr>
              <w:t xml:space="preserve">. 67 </w:t>
            </w:r>
            <w:r w:rsidR="00A43DF0" w:rsidRPr="005B5418">
              <w:rPr>
                <w:rFonts w:cs="Arial"/>
              </w:rPr>
              <w:t>and</w:t>
            </w:r>
            <w:r w:rsidRPr="005B5418">
              <w:rPr>
                <w:rFonts w:cs="Arial"/>
              </w:rPr>
              <w:t xml:space="preserve"> 157; A-136, section II.3.8.15)</w:t>
            </w:r>
          </w:p>
        </w:tc>
        <w:tc>
          <w:tcPr>
            <w:tcW w:w="965" w:type="dxa"/>
          </w:tcPr>
          <w:p w14:paraId="071DEE5A" w14:textId="77777777" w:rsidR="009118E5" w:rsidRPr="005B5418" w:rsidRDefault="009118E5" w:rsidP="008848DA">
            <w:pPr>
              <w:pStyle w:val="Table-Cell-CenterBoldBefore6ptAfter6pt"/>
              <w:spacing w:before="60" w:after="60"/>
              <w:rPr>
                <w:rFonts w:cs="Arial"/>
              </w:rPr>
            </w:pPr>
          </w:p>
        </w:tc>
        <w:tc>
          <w:tcPr>
            <w:tcW w:w="3211" w:type="dxa"/>
          </w:tcPr>
          <w:p w14:paraId="224D9CA8" w14:textId="77777777" w:rsidR="009118E5" w:rsidRPr="005B5418" w:rsidRDefault="009118E5" w:rsidP="008848DA">
            <w:pPr>
              <w:pStyle w:val="Table-Cell-Left"/>
              <w:spacing w:before="60" w:after="60" w:line="240" w:lineRule="auto"/>
              <w:rPr>
                <w:rFonts w:cs="Arial"/>
              </w:rPr>
            </w:pPr>
          </w:p>
        </w:tc>
      </w:tr>
      <w:tr w:rsidR="009118E5" w:rsidRPr="005B5418" w14:paraId="619F949E" w14:textId="77777777" w:rsidTr="00DA6DCF">
        <w:trPr>
          <w:trHeight w:val="890"/>
        </w:trPr>
        <w:tc>
          <w:tcPr>
            <w:tcW w:w="5410" w:type="dxa"/>
          </w:tcPr>
          <w:p w14:paraId="3A5FF94F" w14:textId="77777777"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lastRenderedPageBreak/>
              <w:t>For the period, does the administrative entity separately disclose individual components of pension, ORB, and OPEB retirement expense for</w:t>
            </w:r>
          </w:p>
          <w:p w14:paraId="0EEC10B6" w14:textId="62BB63E4" w:rsidR="009118E5" w:rsidRPr="005B5418" w:rsidRDefault="009118E5" w:rsidP="005425ED">
            <w:pPr>
              <w:pStyle w:val="FAM-Table-outline2"/>
              <w:numPr>
                <w:ilvl w:val="1"/>
                <w:numId w:val="65"/>
              </w:numPr>
              <w:spacing w:line="240" w:lineRule="auto"/>
              <w:ind w:left="1140" w:hanging="443"/>
            </w:pPr>
            <w:r w:rsidRPr="005B5418">
              <w:t>normal cost</w:t>
            </w:r>
            <w:r w:rsidR="00674437" w:rsidRPr="005B5418">
              <w:t>,</w:t>
            </w:r>
          </w:p>
          <w:p w14:paraId="1149D4C3" w14:textId="32E80E6B" w:rsidR="009118E5" w:rsidRPr="005B5418" w:rsidRDefault="009118E5" w:rsidP="005425ED">
            <w:pPr>
              <w:pStyle w:val="FAM-Table-outline2"/>
              <w:numPr>
                <w:ilvl w:val="1"/>
                <w:numId w:val="65"/>
              </w:numPr>
              <w:spacing w:line="240" w:lineRule="auto"/>
              <w:ind w:left="1140" w:hanging="443"/>
            </w:pPr>
            <w:r w:rsidRPr="005B5418">
              <w:t>interest on the liability balance</w:t>
            </w:r>
            <w:r w:rsidR="00674437" w:rsidRPr="005B5418">
              <w:t>,</w:t>
            </w:r>
          </w:p>
          <w:p w14:paraId="5873EA9F" w14:textId="02F8BA95" w:rsidR="009118E5" w:rsidRPr="005B5418" w:rsidRDefault="009118E5" w:rsidP="005425ED">
            <w:pPr>
              <w:pStyle w:val="FAM-Table-outline2"/>
              <w:numPr>
                <w:ilvl w:val="1"/>
                <w:numId w:val="65"/>
              </w:numPr>
              <w:spacing w:line="240" w:lineRule="auto"/>
              <w:ind w:left="1140" w:hanging="443"/>
            </w:pPr>
            <w:r w:rsidRPr="005B5418">
              <w:t>prior (and past) service costs from plan amendments (or the initiation of a new plan)</w:t>
            </w:r>
            <w:r w:rsidR="00674437" w:rsidRPr="005B5418">
              <w:t>,</w:t>
            </w:r>
            <w:r w:rsidRPr="005B5418">
              <w:t xml:space="preserve"> </w:t>
            </w:r>
          </w:p>
          <w:p w14:paraId="71FCAEEC" w14:textId="27447DE9" w:rsidR="009118E5" w:rsidRPr="005B5418" w:rsidRDefault="009118E5" w:rsidP="005425ED">
            <w:pPr>
              <w:pStyle w:val="FAM-Table-outline2"/>
              <w:numPr>
                <w:ilvl w:val="1"/>
                <w:numId w:val="65"/>
              </w:numPr>
              <w:spacing w:line="240" w:lineRule="auto"/>
              <w:ind w:left="1140" w:hanging="443"/>
            </w:pPr>
            <w:r w:rsidRPr="005B5418">
              <w:t>actuarial (gains)/losses</w:t>
            </w:r>
            <w:r w:rsidR="00674437" w:rsidRPr="005B5418">
              <w:t>,</w:t>
            </w:r>
          </w:p>
          <w:p w14:paraId="05CF99C9" w14:textId="2A751495" w:rsidR="009118E5" w:rsidRPr="005B5418" w:rsidRDefault="009118E5" w:rsidP="005425ED">
            <w:pPr>
              <w:pStyle w:val="FAM-Table-outline2"/>
              <w:numPr>
                <w:ilvl w:val="1"/>
                <w:numId w:val="65"/>
              </w:numPr>
              <w:spacing w:line="240" w:lineRule="auto"/>
              <w:ind w:left="1140" w:hanging="443"/>
            </w:pPr>
            <w:r w:rsidRPr="005B5418">
              <w:t>any (gains)/losses due to a change in the medical inflation rate assumption (for ORB)</w:t>
            </w:r>
            <w:r w:rsidR="00674437" w:rsidRPr="005B5418">
              <w:t>,</w:t>
            </w:r>
            <w:r w:rsidRPr="005B5418">
              <w:t xml:space="preserve"> and </w:t>
            </w:r>
          </w:p>
          <w:p w14:paraId="084B65DA" w14:textId="127D1AF6" w:rsidR="009118E5" w:rsidRPr="005B5418" w:rsidRDefault="009118E5" w:rsidP="005425ED">
            <w:pPr>
              <w:pStyle w:val="FAM-Table-outline2"/>
              <w:numPr>
                <w:ilvl w:val="1"/>
                <w:numId w:val="65"/>
              </w:numPr>
              <w:spacing w:line="240" w:lineRule="auto"/>
              <w:ind w:left="1140" w:hanging="443"/>
              <w:rPr>
                <w:rFonts w:cs="Arial"/>
              </w:rPr>
            </w:pPr>
            <w:r w:rsidRPr="005B5418">
              <w:t>other expenses?</w:t>
            </w:r>
            <w:r w:rsidRPr="005B5418">
              <w:br/>
              <w:t>(SFFAS 5, par</w:t>
            </w:r>
            <w:r w:rsidR="00674437" w:rsidRPr="005B5418">
              <w:t>as</w:t>
            </w:r>
            <w:r w:rsidRPr="005B5418">
              <w:t xml:space="preserve">. 72 </w:t>
            </w:r>
            <w:r w:rsidR="00674437" w:rsidRPr="005B5418">
              <w:t xml:space="preserve">and </w:t>
            </w:r>
            <w:r w:rsidRPr="005B5418">
              <w:t xml:space="preserve">88; A-136, sections II.3.2.4 </w:t>
            </w:r>
            <w:r w:rsidR="00674437" w:rsidRPr="005B5418">
              <w:t>and</w:t>
            </w:r>
            <w:r w:rsidRPr="005B5418">
              <w:t xml:space="preserve"> II.3.8.15)</w:t>
            </w:r>
          </w:p>
        </w:tc>
        <w:tc>
          <w:tcPr>
            <w:tcW w:w="965" w:type="dxa"/>
          </w:tcPr>
          <w:p w14:paraId="4F8F07A7" w14:textId="77777777" w:rsidR="009118E5" w:rsidRPr="005B5418" w:rsidRDefault="009118E5" w:rsidP="008848DA">
            <w:pPr>
              <w:pStyle w:val="Table-Cell-CenterBoldBefore6ptAfter6pt"/>
              <w:spacing w:before="60" w:after="60"/>
              <w:rPr>
                <w:rFonts w:cs="Arial"/>
                <w:lang w:val="pt-BR"/>
              </w:rPr>
            </w:pPr>
          </w:p>
        </w:tc>
        <w:tc>
          <w:tcPr>
            <w:tcW w:w="3211" w:type="dxa"/>
          </w:tcPr>
          <w:p w14:paraId="3D2578FF" w14:textId="77777777" w:rsidR="009118E5" w:rsidRPr="005B5418" w:rsidRDefault="009118E5" w:rsidP="008848DA">
            <w:pPr>
              <w:pStyle w:val="Table-Cell-Left"/>
              <w:spacing w:before="60" w:after="60" w:line="240" w:lineRule="auto"/>
              <w:rPr>
                <w:rFonts w:cs="Arial"/>
                <w:lang w:val="pt-BR"/>
              </w:rPr>
            </w:pPr>
          </w:p>
        </w:tc>
      </w:tr>
      <w:tr w:rsidR="009118E5" w:rsidRPr="005B5418" w14:paraId="5E3ADA26" w14:textId="77777777" w:rsidTr="00DA6DCF">
        <w:trPr>
          <w:cantSplit/>
          <w:trHeight w:val="2160"/>
        </w:trPr>
        <w:tc>
          <w:tcPr>
            <w:tcW w:w="5410" w:type="dxa"/>
          </w:tcPr>
          <w:p w14:paraId="42156444" w14:textId="639C98DB"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221C0B" w:rsidRPr="005B5418">
              <w:rPr>
                <w:rFonts w:cs="Arial"/>
              </w:rPr>
              <w:t xml:space="preserve">administrative </w:t>
            </w:r>
            <w:r w:rsidRPr="005B5418">
              <w:rPr>
                <w:rFonts w:cs="Arial"/>
              </w:rPr>
              <w:t>entity disclose a reconciliation of beginning and ending pension, ORB, and OPEB liability balances with the following components and format</w:t>
            </w:r>
            <w:r w:rsidR="00BB14F9" w:rsidRPr="005B5418">
              <w:rPr>
                <w:rFonts w:cs="Arial"/>
              </w:rPr>
              <w:t>?</w:t>
            </w:r>
          </w:p>
          <w:p w14:paraId="49B449A3" w14:textId="5A5FB88E" w:rsidR="009118E5" w:rsidRPr="005B5418" w:rsidRDefault="009118E5" w:rsidP="005425ED">
            <w:pPr>
              <w:pStyle w:val="ListParagraph"/>
              <w:numPr>
                <w:ilvl w:val="0"/>
                <w:numId w:val="127"/>
              </w:numPr>
              <w:autoSpaceDE w:val="0"/>
              <w:autoSpaceDN w:val="0"/>
              <w:spacing w:line="240" w:lineRule="auto"/>
              <w:jc w:val="left"/>
              <w:rPr>
                <w:rFonts w:eastAsia="Arial Unicode MS"/>
              </w:rPr>
            </w:pPr>
            <w:r w:rsidRPr="005425ED">
              <w:rPr>
                <w:rFonts w:eastAsia="Arial Unicode MS"/>
                <w:sz w:val="22"/>
              </w:rPr>
              <w:t>Beginning liability balance</w:t>
            </w:r>
          </w:p>
          <w:p w14:paraId="2479D040" w14:textId="2453D8B1" w:rsidR="009118E5" w:rsidRPr="005B5418" w:rsidRDefault="009118E5" w:rsidP="005425ED">
            <w:pPr>
              <w:pStyle w:val="ListParagraph"/>
              <w:numPr>
                <w:ilvl w:val="0"/>
                <w:numId w:val="127"/>
              </w:numPr>
              <w:autoSpaceDE w:val="0"/>
              <w:autoSpaceDN w:val="0"/>
              <w:spacing w:line="240" w:lineRule="auto"/>
              <w:jc w:val="left"/>
              <w:rPr>
                <w:rFonts w:eastAsia="Arial Unicode MS"/>
              </w:rPr>
            </w:pPr>
            <w:r w:rsidRPr="005425ED">
              <w:rPr>
                <w:rFonts w:eastAsia="Arial Unicode MS"/>
                <w:sz w:val="22"/>
              </w:rPr>
              <w:t>Expense</w:t>
            </w:r>
          </w:p>
          <w:p w14:paraId="7036FF83" w14:textId="43FF8E88" w:rsidR="009118E5" w:rsidRPr="005B5418" w:rsidRDefault="009118E5" w:rsidP="005425ED">
            <w:pPr>
              <w:pStyle w:val="ListParagraph"/>
              <w:numPr>
                <w:ilvl w:val="1"/>
                <w:numId w:val="127"/>
              </w:numPr>
              <w:autoSpaceDE w:val="0"/>
              <w:autoSpaceDN w:val="0"/>
              <w:spacing w:line="240" w:lineRule="auto"/>
              <w:jc w:val="left"/>
            </w:pPr>
            <w:r w:rsidRPr="005425ED">
              <w:rPr>
                <w:color w:val="auto"/>
                <w:sz w:val="22"/>
              </w:rPr>
              <w:t>Normal cost</w:t>
            </w:r>
          </w:p>
          <w:p w14:paraId="08F543BF" w14:textId="703EBB2C" w:rsidR="009118E5" w:rsidRPr="005B5418" w:rsidRDefault="009118E5" w:rsidP="005425ED">
            <w:pPr>
              <w:pStyle w:val="ListParagraph"/>
              <w:numPr>
                <w:ilvl w:val="1"/>
                <w:numId w:val="127"/>
              </w:numPr>
              <w:autoSpaceDE w:val="0"/>
              <w:autoSpaceDN w:val="0"/>
              <w:spacing w:line="240" w:lineRule="auto"/>
              <w:jc w:val="left"/>
            </w:pPr>
            <w:r w:rsidRPr="005425ED">
              <w:rPr>
                <w:color w:val="auto"/>
                <w:sz w:val="22"/>
              </w:rPr>
              <w:t>Interest on the liability balance</w:t>
            </w:r>
          </w:p>
          <w:p w14:paraId="4434B34E" w14:textId="17D5019C" w:rsidR="009118E5" w:rsidRPr="005B5418" w:rsidRDefault="009118E5" w:rsidP="005425ED">
            <w:pPr>
              <w:pStyle w:val="ListParagraph"/>
              <w:numPr>
                <w:ilvl w:val="1"/>
                <w:numId w:val="127"/>
              </w:numPr>
              <w:autoSpaceDE w:val="0"/>
              <w:autoSpaceDN w:val="0"/>
              <w:spacing w:line="240" w:lineRule="auto"/>
              <w:jc w:val="left"/>
            </w:pPr>
            <w:r w:rsidRPr="005425ED">
              <w:rPr>
                <w:color w:val="auto"/>
                <w:sz w:val="22"/>
              </w:rPr>
              <w:t>Actuarial (gain)/loss</w:t>
            </w:r>
          </w:p>
          <w:p w14:paraId="34CF84AA" w14:textId="78E01432" w:rsidR="009118E5" w:rsidRPr="005B5418" w:rsidRDefault="009118E5" w:rsidP="005425ED">
            <w:pPr>
              <w:pStyle w:val="ListParagraph"/>
              <w:numPr>
                <w:ilvl w:val="2"/>
                <w:numId w:val="127"/>
              </w:numPr>
              <w:autoSpaceDE w:val="0"/>
              <w:autoSpaceDN w:val="0"/>
              <w:spacing w:line="240" w:lineRule="auto"/>
              <w:jc w:val="left"/>
              <w:rPr>
                <w:rFonts w:eastAsia="Arial Unicode MS"/>
              </w:rPr>
            </w:pPr>
            <w:r w:rsidRPr="005425ED">
              <w:rPr>
                <w:rFonts w:eastAsia="Arial Unicode MS"/>
                <w:sz w:val="22"/>
              </w:rPr>
              <w:t>From experience</w:t>
            </w:r>
          </w:p>
          <w:p w14:paraId="1821329F" w14:textId="2E1C2816" w:rsidR="009118E5" w:rsidRPr="005B5418" w:rsidRDefault="009118E5" w:rsidP="005425ED">
            <w:pPr>
              <w:pStyle w:val="ListParagraph"/>
              <w:numPr>
                <w:ilvl w:val="2"/>
                <w:numId w:val="127"/>
              </w:numPr>
              <w:autoSpaceDE w:val="0"/>
              <w:autoSpaceDN w:val="0"/>
              <w:spacing w:line="240" w:lineRule="auto"/>
              <w:jc w:val="left"/>
              <w:rPr>
                <w:rFonts w:eastAsia="Arial Unicode MS"/>
              </w:rPr>
            </w:pPr>
            <w:r w:rsidRPr="005425ED">
              <w:rPr>
                <w:rFonts w:eastAsia="Arial Unicode MS"/>
                <w:sz w:val="22"/>
              </w:rPr>
              <w:t>From assumption changes</w:t>
            </w:r>
          </w:p>
          <w:p w14:paraId="4C9FAE77" w14:textId="3AEDB0E0" w:rsidR="009118E5" w:rsidRPr="005B5418" w:rsidRDefault="009118E5" w:rsidP="005425ED">
            <w:pPr>
              <w:pStyle w:val="ListParagraph"/>
              <w:numPr>
                <w:ilvl w:val="1"/>
                <w:numId w:val="127"/>
              </w:numPr>
              <w:autoSpaceDE w:val="0"/>
              <w:autoSpaceDN w:val="0"/>
              <w:spacing w:line="240" w:lineRule="auto"/>
              <w:jc w:val="left"/>
            </w:pPr>
            <w:r w:rsidRPr="005425ED">
              <w:rPr>
                <w:color w:val="auto"/>
                <w:sz w:val="22"/>
              </w:rPr>
              <w:t>Prior service costs</w:t>
            </w:r>
          </w:p>
          <w:p w14:paraId="24F4E79E" w14:textId="5208A5B0" w:rsidR="009118E5" w:rsidRPr="005B5418" w:rsidRDefault="009118E5" w:rsidP="005425ED">
            <w:pPr>
              <w:pStyle w:val="ListParagraph"/>
              <w:numPr>
                <w:ilvl w:val="1"/>
                <w:numId w:val="127"/>
              </w:numPr>
              <w:autoSpaceDE w:val="0"/>
              <w:autoSpaceDN w:val="0"/>
              <w:spacing w:line="240" w:lineRule="auto"/>
              <w:jc w:val="left"/>
            </w:pPr>
            <w:r w:rsidRPr="005425ED">
              <w:rPr>
                <w:color w:val="auto"/>
                <w:sz w:val="22"/>
              </w:rPr>
              <w:t>Other</w:t>
            </w:r>
          </w:p>
          <w:p w14:paraId="626670D0" w14:textId="20A8D934" w:rsidR="009118E5" w:rsidRPr="005B5418" w:rsidRDefault="009118E5" w:rsidP="005425ED">
            <w:pPr>
              <w:pStyle w:val="ListParagraph"/>
              <w:numPr>
                <w:ilvl w:val="0"/>
                <w:numId w:val="127"/>
              </w:numPr>
              <w:autoSpaceDE w:val="0"/>
              <w:autoSpaceDN w:val="0"/>
              <w:spacing w:line="240" w:lineRule="auto"/>
              <w:jc w:val="left"/>
            </w:pPr>
            <w:r w:rsidRPr="005425ED">
              <w:rPr>
                <w:color w:val="auto"/>
                <w:sz w:val="22"/>
              </w:rPr>
              <w:t>Total expense</w:t>
            </w:r>
          </w:p>
          <w:p w14:paraId="0F02C24B" w14:textId="7156FE5D" w:rsidR="009118E5" w:rsidRPr="005B5418" w:rsidRDefault="009118E5" w:rsidP="005425ED">
            <w:pPr>
              <w:pStyle w:val="ListParagraph"/>
              <w:numPr>
                <w:ilvl w:val="0"/>
                <w:numId w:val="127"/>
              </w:numPr>
              <w:autoSpaceDE w:val="0"/>
              <w:autoSpaceDN w:val="0"/>
              <w:spacing w:line="240" w:lineRule="auto"/>
              <w:jc w:val="left"/>
              <w:rPr>
                <w:rFonts w:eastAsia="Arial Unicode MS"/>
              </w:rPr>
            </w:pPr>
            <w:r w:rsidRPr="005425ED">
              <w:rPr>
                <w:rFonts w:eastAsia="Arial Unicode MS"/>
                <w:sz w:val="22"/>
              </w:rPr>
              <w:t>Less amounts paid</w:t>
            </w:r>
          </w:p>
          <w:p w14:paraId="110A2AF1" w14:textId="7DC7FCFB" w:rsidR="009118E5" w:rsidRPr="005B5418" w:rsidRDefault="009118E5" w:rsidP="005425ED">
            <w:pPr>
              <w:pStyle w:val="ListParagraph"/>
              <w:numPr>
                <w:ilvl w:val="0"/>
                <w:numId w:val="127"/>
              </w:numPr>
              <w:autoSpaceDE w:val="0"/>
              <w:autoSpaceDN w:val="0"/>
              <w:spacing w:line="240" w:lineRule="auto"/>
              <w:jc w:val="left"/>
              <w:rPr>
                <w:rFonts w:eastAsia="Arial Unicode MS"/>
              </w:rPr>
            </w:pPr>
            <w:r w:rsidRPr="005425ED">
              <w:rPr>
                <w:rFonts w:eastAsia="Arial Unicode MS"/>
                <w:sz w:val="22"/>
              </w:rPr>
              <w:t>Ending liability balance</w:t>
            </w:r>
          </w:p>
          <w:p w14:paraId="4E1E2190" w14:textId="3B0A6F3D" w:rsidR="009118E5" w:rsidRPr="005B5418" w:rsidRDefault="009118E5" w:rsidP="005425ED">
            <w:pPr>
              <w:pStyle w:val="FAM-Table-outline"/>
              <w:widowControl/>
              <w:numPr>
                <w:ilvl w:val="0"/>
                <w:numId w:val="0"/>
              </w:numPr>
              <w:adjustRightInd/>
              <w:spacing w:line="240" w:lineRule="auto"/>
              <w:ind w:left="666"/>
              <w:textAlignment w:val="auto"/>
              <w:rPr>
                <w:rFonts w:cs="Arial"/>
              </w:rPr>
            </w:pPr>
            <w:r w:rsidRPr="005425ED">
              <w:t>(SFFAS 33, par</w:t>
            </w:r>
            <w:r w:rsidR="00BB14F9" w:rsidRPr="005425ED">
              <w:t>as</w:t>
            </w:r>
            <w:r w:rsidRPr="005425ED">
              <w:t>. 22</w:t>
            </w:r>
            <w:r w:rsidR="00BB14F9" w:rsidRPr="005425ED">
              <w:t>–</w:t>
            </w:r>
            <w:r w:rsidRPr="005425ED">
              <w:t>23; A-136, section II.3.8.15)</w:t>
            </w:r>
          </w:p>
        </w:tc>
        <w:tc>
          <w:tcPr>
            <w:tcW w:w="965" w:type="dxa"/>
          </w:tcPr>
          <w:p w14:paraId="74FA6C1F" w14:textId="77777777" w:rsidR="009118E5" w:rsidRPr="005B5418" w:rsidRDefault="009118E5" w:rsidP="008848DA">
            <w:pPr>
              <w:pStyle w:val="Table-Cell-CenterBoldBefore6ptAfter6pt"/>
              <w:spacing w:before="60" w:after="60"/>
              <w:rPr>
                <w:rFonts w:cs="Arial"/>
                <w:lang w:val="pt-BR"/>
              </w:rPr>
            </w:pPr>
          </w:p>
        </w:tc>
        <w:tc>
          <w:tcPr>
            <w:tcW w:w="3211" w:type="dxa"/>
          </w:tcPr>
          <w:p w14:paraId="4612E729" w14:textId="77777777" w:rsidR="009118E5" w:rsidRPr="005B5418" w:rsidRDefault="009118E5" w:rsidP="008848DA">
            <w:pPr>
              <w:pStyle w:val="Table-Cell-Left"/>
              <w:spacing w:before="60" w:after="60" w:line="240" w:lineRule="auto"/>
              <w:rPr>
                <w:rFonts w:cs="Arial"/>
                <w:lang w:val="pt-BR"/>
              </w:rPr>
            </w:pPr>
          </w:p>
        </w:tc>
      </w:tr>
      <w:tr w:rsidR="009118E5" w:rsidRPr="005B5418" w14:paraId="1548C86F" w14:textId="77777777" w:rsidTr="00DA6DCF">
        <w:trPr>
          <w:trHeight w:val="1268"/>
        </w:trPr>
        <w:tc>
          <w:tcPr>
            <w:tcW w:w="5410" w:type="dxa"/>
          </w:tcPr>
          <w:p w14:paraId="12CFBDDF" w14:textId="12668BD1"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221C0B" w:rsidRPr="005B5418">
              <w:rPr>
                <w:rFonts w:cs="Arial"/>
              </w:rPr>
              <w:t xml:space="preserve">administrative </w:t>
            </w:r>
            <w:r w:rsidRPr="005B5418">
              <w:rPr>
                <w:rFonts w:cs="Arial"/>
              </w:rPr>
              <w:t>entity break out the actuarial (gains) and losses into subcomponents from experience and from assumption changes? (SFFAS 33, par</w:t>
            </w:r>
            <w:r w:rsidR="00BB14F9" w:rsidRPr="005B5418">
              <w:rPr>
                <w:rFonts w:cs="Arial"/>
              </w:rPr>
              <w:t>a</w:t>
            </w:r>
            <w:r w:rsidRPr="005B5418">
              <w:rPr>
                <w:rFonts w:cs="Arial"/>
              </w:rPr>
              <w:t>. 23; A-136, section II.3.8.15)</w:t>
            </w:r>
          </w:p>
        </w:tc>
        <w:tc>
          <w:tcPr>
            <w:tcW w:w="965" w:type="dxa"/>
          </w:tcPr>
          <w:p w14:paraId="46B3D43A" w14:textId="77777777" w:rsidR="009118E5" w:rsidRPr="005B5418" w:rsidRDefault="009118E5" w:rsidP="008848DA">
            <w:pPr>
              <w:pStyle w:val="Table-Cell-CenterBoldBefore6ptAfter6pt"/>
              <w:spacing w:before="60" w:after="60"/>
              <w:rPr>
                <w:rFonts w:cs="Arial"/>
                <w:lang w:val="pt-BR"/>
              </w:rPr>
            </w:pPr>
          </w:p>
        </w:tc>
        <w:tc>
          <w:tcPr>
            <w:tcW w:w="3211" w:type="dxa"/>
          </w:tcPr>
          <w:p w14:paraId="7BE18218" w14:textId="77777777" w:rsidR="009118E5" w:rsidRPr="005B5418" w:rsidRDefault="009118E5" w:rsidP="008848DA">
            <w:pPr>
              <w:pStyle w:val="Table-Cell-Left"/>
              <w:spacing w:before="60" w:after="60" w:line="240" w:lineRule="auto"/>
              <w:rPr>
                <w:rFonts w:cs="Arial"/>
                <w:lang w:val="pt-BR"/>
              </w:rPr>
            </w:pPr>
          </w:p>
        </w:tc>
      </w:tr>
      <w:tr w:rsidR="009118E5" w:rsidRPr="005B5418" w14:paraId="247BFDFD" w14:textId="77777777" w:rsidTr="00DA6DCF">
        <w:trPr>
          <w:trHeight w:val="2160"/>
        </w:trPr>
        <w:tc>
          <w:tcPr>
            <w:tcW w:w="5410" w:type="dxa"/>
          </w:tcPr>
          <w:p w14:paraId="243E0B97" w14:textId="40B849B2"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lastRenderedPageBreak/>
              <w:t xml:space="preserve">In the reconciliation of the beginning and ending pension, ORB, and OPEB liability balances, does the </w:t>
            </w:r>
            <w:r w:rsidR="0073160F" w:rsidRPr="005B5418">
              <w:rPr>
                <w:rFonts w:cs="Arial"/>
              </w:rPr>
              <w:t xml:space="preserve">administrative </w:t>
            </w:r>
            <w:r w:rsidRPr="005B5418">
              <w:rPr>
                <w:rFonts w:cs="Arial"/>
              </w:rPr>
              <w:t>entity include a separate column for each significant pension, ORB, and OPEB program</w:t>
            </w:r>
            <w:r w:rsidR="00BB14F9" w:rsidRPr="005B5418">
              <w:rPr>
                <w:rFonts w:cs="Arial"/>
              </w:rPr>
              <w:t xml:space="preserve">; </w:t>
            </w:r>
            <w:r w:rsidRPr="005B5418">
              <w:rPr>
                <w:rFonts w:cs="Arial"/>
              </w:rPr>
              <w:t>an “all other” column for less significant programs, if applicable</w:t>
            </w:r>
            <w:r w:rsidR="00BB14F9" w:rsidRPr="005B5418">
              <w:rPr>
                <w:rFonts w:cs="Arial"/>
              </w:rPr>
              <w:t xml:space="preserve">; </w:t>
            </w:r>
            <w:r w:rsidRPr="005B5418">
              <w:rPr>
                <w:rFonts w:cs="Arial"/>
              </w:rPr>
              <w:t>and a “total” column for each line item of the reconciliation? (SFFAS 33, par</w:t>
            </w:r>
            <w:r w:rsidR="00BB14F9" w:rsidRPr="005B5418">
              <w:rPr>
                <w:rFonts w:cs="Arial"/>
              </w:rPr>
              <w:t>a</w:t>
            </w:r>
            <w:r w:rsidRPr="005B5418">
              <w:rPr>
                <w:rFonts w:cs="Arial"/>
              </w:rPr>
              <w:t>. 23; A-136, section II.3.8.15)</w:t>
            </w:r>
          </w:p>
        </w:tc>
        <w:tc>
          <w:tcPr>
            <w:tcW w:w="965" w:type="dxa"/>
          </w:tcPr>
          <w:p w14:paraId="7B4F5B58" w14:textId="77777777" w:rsidR="009118E5" w:rsidRPr="005B5418" w:rsidRDefault="009118E5" w:rsidP="008848DA">
            <w:pPr>
              <w:pStyle w:val="Table-Cell-CenterBoldBefore6ptAfter6pt"/>
              <w:spacing w:before="60" w:after="60"/>
              <w:rPr>
                <w:rFonts w:cs="Arial"/>
                <w:lang w:val="pt-BR"/>
              </w:rPr>
            </w:pPr>
          </w:p>
        </w:tc>
        <w:tc>
          <w:tcPr>
            <w:tcW w:w="3211" w:type="dxa"/>
          </w:tcPr>
          <w:p w14:paraId="2E7047B7" w14:textId="77777777" w:rsidR="009118E5" w:rsidRPr="005B5418" w:rsidRDefault="009118E5" w:rsidP="008848DA">
            <w:pPr>
              <w:pStyle w:val="Table-Cell-Left"/>
              <w:spacing w:before="60" w:after="60" w:line="240" w:lineRule="auto"/>
              <w:rPr>
                <w:rFonts w:cs="Arial"/>
                <w:lang w:val="pt-BR"/>
              </w:rPr>
            </w:pPr>
          </w:p>
        </w:tc>
      </w:tr>
      <w:tr w:rsidR="009118E5" w:rsidRPr="005B5418" w14:paraId="29BD6398" w14:textId="77777777" w:rsidTr="00DA6DCF">
        <w:trPr>
          <w:trHeight w:val="1322"/>
        </w:trPr>
        <w:tc>
          <w:tcPr>
            <w:tcW w:w="5410" w:type="dxa"/>
          </w:tcPr>
          <w:p w14:paraId="43CBA9D4" w14:textId="3D6E390C"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73160F" w:rsidRPr="005B5418">
              <w:rPr>
                <w:rFonts w:cs="Arial"/>
              </w:rPr>
              <w:t xml:space="preserve">administrative </w:t>
            </w:r>
            <w:r w:rsidRPr="005B5418">
              <w:rPr>
                <w:rFonts w:cs="Arial"/>
              </w:rPr>
              <w:t>entity provide disclosure relating to selecting discount rates and other assumptions? (A-136, section II.3.8.15)</w:t>
            </w:r>
          </w:p>
        </w:tc>
        <w:tc>
          <w:tcPr>
            <w:tcW w:w="965" w:type="dxa"/>
          </w:tcPr>
          <w:p w14:paraId="773EF876" w14:textId="77777777" w:rsidR="009118E5" w:rsidRPr="005B5418" w:rsidRDefault="009118E5" w:rsidP="008848DA">
            <w:pPr>
              <w:pStyle w:val="Table-Cell-CenterBoldBefore6ptAfter6pt"/>
              <w:spacing w:before="60" w:after="60"/>
              <w:rPr>
                <w:rFonts w:cs="Arial"/>
                <w:lang w:val="pt-BR"/>
              </w:rPr>
            </w:pPr>
          </w:p>
        </w:tc>
        <w:tc>
          <w:tcPr>
            <w:tcW w:w="3211" w:type="dxa"/>
          </w:tcPr>
          <w:p w14:paraId="45CECDE3" w14:textId="77777777" w:rsidR="009118E5" w:rsidRPr="005B5418" w:rsidRDefault="009118E5" w:rsidP="008848DA">
            <w:pPr>
              <w:pStyle w:val="Table-Cell-Left"/>
              <w:spacing w:before="60" w:after="60" w:line="240" w:lineRule="auto"/>
              <w:rPr>
                <w:rFonts w:cs="Arial"/>
                <w:lang w:val="pt-BR"/>
              </w:rPr>
            </w:pPr>
          </w:p>
        </w:tc>
      </w:tr>
      <w:tr w:rsidR="009118E5" w:rsidRPr="005B5418" w14:paraId="01D2EFE6" w14:textId="77777777" w:rsidTr="00DA6DCF">
        <w:trPr>
          <w:trHeight w:val="1097"/>
        </w:trPr>
        <w:tc>
          <w:tcPr>
            <w:tcW w:w="5410" w:type="dxa"/>
          </w:tcPr>
          <w:p w14:paraId="61A287CC" w14:textId="23988DDB"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73160F" w:rsidRPr="005B5418">
              <w:rPr>
                <w:rFonts w:cs="Arial"/>
              </w:rPr>
              <w:t xml:space="preserve">administrative </w:t>
            </w:r>
            <w:r w:rsidRPr="005B5418">
              <w:rPr>
                <w:rFonts w:cs="Arial"/>
              </w:rPr>
              <w:t>entity disclose changes to or from multiple discount rates, from or to a single discount rate? (SFFAS 33, par</w:t>
            </w:r>
            <w:r w:rsidR="00BB14F9" w:rsidRPr="005B5418">
              <w:rPr>
                <w:rFonts w:cs="Arial"/>
              </w:rPr>
              <w:t>a</w:t>
            </w:r>
            <w:r w:rsidRPr="005B5418">
              <w:rPr>
                <w:rFonts w:cs="Arial"/>
              </w:rPr>
              <w:t>. 28)</w:t>
            </w:r>
          </w:p>
        </w:tc>
        <w:tc>
          <w:tcPr>
            <w:tcW w:w="965" w:type="dxa"/>
          </w:tcPr>
          <w:p w14:paraId="33408530" w14:textId="77777777" w:rsidR="009118E5" w:rsidRPr="005B5418" w:rsidRDefault="009118E5" w:rsidP="008848DA">
            <w:pPr>
              <w:pStyle w:val="Table-Cell-CenterBoldBefore6ptAfter6pt"/>
              <w:spacing w:before="60" w:after="60"/>
              <w:rPr>
                <w:rFonts w:cs="Arial"/>
                <w:lang w:val="pt-BR"/>
              </w:rPr>
            </w:pPr>
          </w:p>
        </w:tc>
        <w:tc>
          <w:tcPr>
            <w:tcW w:w="3211" w:type="dxa"/>
          </w:tcPr>
          <w:p w14:paraId="4D424160" w14:textId="77777777" w:rsidR="009118E5" w:rsidRPr="005B5418" w:rsidRDefault="009118E5" w:rsidP="008848DA">
            <w:pPr>
              <w:pStyle w:val="Table-Cell-Left"/>
              <w:spacing w:before="60" w:after="60" w:line="240" w:lineRule="auto"/>
              <w:rPr>
                <w:rFonts w:cs="Arial"/>
                <w:lang w:val="pt-BR"/>
              </w:rPr>
            </w:pPr>
          </w:p>
        </w:tc>
      </w:tr>
      <w:tr w:rsidR="009118E5" w:rsidRPr="005B5418" w14:paraId="5ADC2BB2" w14:textId="77777777" w:rsidTr="00DA6DCF">
        <w:trPr>
          <w:trHeight w:val="1385"/>
        </w:trPr>
        <w:tc>
          <w:tcPr>
            <w:tcW w:w="5410" w:type="dxa"/>
          </w:tcPr>
          <w:p w14:paraId="1449ECE0" w14:textId="7CC4FE2B"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73160F" w:rsidRPr="005B5418">
              <w:rPr>
                <w:rFonts w:cs="Arial"/>
              </w:rPr>
              <w:t xml:space="preserve">administrative </w:t>
            </w:r>
            <w:r w:rsidRPr="005B5418">
              <w:rPr>
                <w:rFonts w:cs="Arial"/>
              </w:rPr>
              <w:t>entity disclose its policy regarding consistency in the number of average historical Treasury rates used to calculate the discount rates? (SFFAS 33, par</w:t>
            </w:r>
            <w:r w:rsidR="00D81663" w:rsidRPr="005B5418">
              <w:rPr>
                <w:rFonts w:cs="Arial"/>
              </w:rPr>
              <w:t>a</w:t>
            </w:r>
            <w:r w:rsidRPr="005B5418">
              <w:rPr>
                <w:rFonts w:cs="Arial"/>
              </w:rPr>
              <w:t xml:space="preserve">. 31) </w:t>
            </w:r>
          </w:p>
        </w:tc>
        <w:tc>
          <w:tcPr>
            <w:tcW w:w="965" w:type="dxa"/>
          </w:tcPr>
          <w:p w14:paraId="73110831" w14:textId="77777777" w:rsidR="009118E5" w:rsidRPr="005B5418" w:rsidRDefault="009118E5" w:rsidP="008848DA">
            <w:pPr>
              <w:pStyle w:val="Table-Cell-CenterBoldBefore6ptAfter6pt"/>
              <w:spacing w:before="60" w:after="60"/>
              <w:rPr>
                <w:rFonts w:cs="Arial"/>
                <w:lang w:val="pt-BR"/>
              </w:rPr>
            </w:pPr>
          </w:p>
        </w:tc>
        <w:tc>
          <w:tcPr>
            <w:tcW w:w="3211" w:type="dxa"/>
          </w:tcPr>
          <w:p w14:paraId="6F744732" w14:textId="77777777" w:rsidR="009118E5" w:rsidRPr="005B5418" w:rsidRDefault="009118E5" w:rsidP="008848DA">
            <w:pPr>
              <w:pStyle w:val="Table-Cell-Left"/>
              <w:spacing w:before="60" w:after="60" w:line="240" w:lineRule="auto"/>
              <w:rPr>
                <w:rFonts w:cs="Arial"/>
                <w:lang w:val="pt-BR"/>
              </w:rPr>
            </w:pPr>
          </w:p>
        </w:tc>
      </w:tr>
      <w:tr w:rsidR="009118E5" w:rsidRPr="005B5418" w14:paraId="5CF03085" w14:textId="77777777" w:rsidTr="00DA6DCF">
        <w:trPr>
          <w:trHeight w:val="2160"/>
        </w:trPr>
        <w:tc>
          <w:tcPr>
            <w:tcW w:w="5410" w:type="dxa"/>
          </w:tcPr>
          <w:p w14:paraId="4B85201C" w14:textId="6BFE5AB4"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73160F" w:rsidRPr="005B5418">
              <w:rPr>
                <w:rFonts w:cs="Arial"/>
              </w:rPr>
              <w:t xml:space="preserve">administrative </w:t>
            </w:r>
            <w:r w:rsidRPr="005B5418">
              <w:rPr>
                <w:rFonts w:cs="Arial"/>
              </w:rPr>
              <w:t>entity display gains and losses from the changes in long-term assumptions used to measure liabilities for federal civilian and military employee pensions, ORB, and OPEB, including veterans</w:t>
            </w:r>
            <w:r w:rsidR="003E522F" w:rsidRPr="005B5418">
              <w:rPr>
                <w:rFonts w:cs="Arial"/>
              </w:rPr>
              <w:t>’</w:t>
            </w:r>
            <w:r w:rsidRPr="005B5418">
              <w:rPr>
                <w:rFonts w:cs="Arial"/>
              </w:rPr>
              <w:t xml:space="preserve"> compensation as a separate line item or line items on the </w:t>
            </w:r>
            <w:r w:rsidR="00A43DF0" w:rsidRPr="005B5418">
              <w:rPr>
                <w:rFonts w:cs="Arial"/>
              </w:rPr>
              <w:t>S</w:t>
            </w:r>
            <w:r w:rsidRPr="005B5418">
              <w:rPr>
                <w:rFonts w:cs="Arial"/>
              </w:rPr>
              <w:t xml:space="preserve">tatement of </w:t>
            </w:r>
            <w:r w:rsidR="00A43DF0" w:rsidRPr="005B5418">
              <w:rPr>
                <w:rFonts w:cs="Arial"/>
              </w:rPr>
              <w:t>N</w:t>
            </w:r>
            <w:r w:rsidRPr="005B5418">
              <w:rPr>
                <w:rFonts w:cs="Arial"/>
              </w:rPr>
              <w:t xml:space="preserve">et </w:t>
            </w:r>
            <w:r w:rsidR="00A43DF0" w:rsidRPr="005B5418">
              <w:rPr>
                <w:rFonts w:cs="Arial"/>
              </w:rPr>
              <w:t>C</w:t>
            </w:r>
            <w:r w:rsidRPr="005B5418">
              <w:rPr>
                <w:rFonts w:cs="Arial"/>
              </w:rPr>
              <w:t>ost? (SFFAS 33, par</w:t>
            </w:r>
            <w:r w:rsidR="00D81663" w:rsidRPr="005B5418">
              <w:rPr>
                <w:rFonts w:cs="Arial"/>
              </w:rPr>
              <w:t>as</w:t>
            </w:r>
            <w:r w:rsidRPr="005B5418">
              <w:rPr>
                <w:rFonts w:cs="Arial"/>
              </w:rPr>
              <w:t xml:space="preserve">. 19 and 21) </w:t>
            </w:r>
          </w:p>
        </w:tc>
        <w:tc>
          <w:tcPr>
            <w:tcW w:w="965" w:type="dxa"/>
          </w:tcPr>
          <w:p w14:paraId="4D2DA0D9" w14:textId="77777777" w:rsidR="009118E5" w:rsidRPr="005B5418" w:rsidRDefault="009118E5" w:rsidP="008848DA">
            <w:pPr>
              <w:pStyle w:val="Table-Cell-CenterBoldBefore6ptAfter6pt"/>
              <w:spacing w:before="60" w:after="60"/>
              <w:rPr>
                <w:rFonts w:cs="Arial"/>
                <w:lang w:val="pt-BR"/>
              </w:rPr>
            </w:pPr>
          </w:p>
        </w:tc>
        <w:tc>
          <w:tcPr>
            <w:tcW w:w="3211" w:type="dxa"/>
          </w:tcPr>
          <w:p w14:paraId="6A807407" w14:textId="77777777" w:rsidR="009118E5" w:rsidRPr="005B5418" w:rsidRDefault="009118E5" w:rsidP="008848DA">
            <w:pPr>
              <w:pStyle w:val="Table-Cell-Left"/>
              <w:spacing w:before="60" w:after="60" w:line="240" w:lineRule="auto"/>
              <w:rPr>
                <w:rFonts w:cs="Arial"/>
                <w:lang w:val="pt-BR"/>
              </w:rPr>
            </w:pPr>
          </w:p>
        </w:tc>
      </w:tr>
      <w:tr w:rsidR="009118E5" w:rsidRPr="005B5418" w14:paraId="6F866D99" w14:textId="77777777" w:rsidTr="00DA6DCF">
        <w:trPr>
          <w:trHeight w:val="1160"/>
        </w:trPr>
        <w:tc>
          <w:tcPr>
            <w:tcW w:w="5410" w:type="dxa"/>
          </w:tcPr>
          <w:p w14:paraId="05824173" w14:textId="65166417"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73160F" w:rsidRPr="005B5418">
              <w:rPr>
                <w:rFonts w:cs="Arial"/>
              </w:rPr>
              <w:t xml:space="preserve">administrative </w:t>
            </w:r>
            <w:r w:rsidRPr="005B5418">
              <w:rPr>
                <w:rFonts w:cs="Arial"/>
              </w:rPr>
              <w:t>entity disclose all amounts for pension, post-retirement health, and life insurance, even if immaterial? (A-136, section II.3.8.15)</w:t>
            </w:r>
          </w:p>
        </w:tc>
        <w:tc>
          <w:tcPr>
            <w:tcW w:w="965" w:type="dxa"/>
          </w:tcPr>
          <w:p w14:paraId="7115982A" w14:textId="77777777" w:rsidR="009118E5" w:rsidRPr="005B5418" w:rsidRDefault="009118E5" w:rsidP="008848DA">
            <w:pPr>
              <w:pStyle w:val="Table-Cell-CenterBoldBefore6ptAfter6pt"/>
              <w:spacing w:before="60" w:after="60"/>
              <w:rPr>
                <w:rFonts w:cs="Arial"/>
                <w:lang w:val="pt-BR"/>
              </w:rPr>
            </w:pPr>
          </w:p>
        </w:tc>
        <w:tc>
          <w:tcPr>
            <w:tcW w:w="3211" w:type="dxa"/>
          </w:tcPr>
          <w:p w14:paraId="647B76B8" w14:textId="77777777" w:rsidR="009118E5" w:rsidRPr="005B5418" w:rsidRDefault="009118E5" w:rsidP="008848DA">
            <w:pPr>
              <w:pStyle w:val="Table-Cell-Left"/>
              <w:spacing w:before="60" w:after="60" w:line="240" w:lineRule="auto"/>
              <w:rPr>
                <w:rFonts w:cs="Arial"/>
                <w:lang w:val="pt-BR"/>
              </w:rPr>
            </w:pPr>
          </w:p>
        </w:tc>
      </w:tr>
      <w:tr w:rsidR="009118E5" w:rsidRPr="005B5418" w14:paraId="5B2BBAAB" w14:textId="77777777" w:rsidTr="00DA6DCF">
        <w:trPr>
          <w:trHeight w:val="1547"/>
        </w:trPr>
        <w:tc>
          <w:tcPr>
            <w:tcW w:w="5410" w:type="dxa"/>
          </w:tcPr>
          <w:p w14:paraId="132770FC" w14:textId="16D33DDB"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73160F" w:rsidRPr="005B5418">
              <w:rPr>
                <w:rFonts w:cs="Arial"/>
              </w:rPr>
              <w:t xml:space="preserve">administrative </w:t>
            </w:r>
            <w:r w:rsidRPr="005B5418">
              <w:rPr>
                <w:rFonts w:cs="Arial"/>
              </w:rPr>
              <w:t>entity disclose information related to assets, discount rates, and other assumptions? (SFFAS 33, par</w:t>
            </w:r>
            <w:r w:rsidR="00D81663" w:rsidRPr="005B5418">
              <w:rPr>
                <w:rFonts w:cs="Arial"/>
              </w:rPr>
              <w:t>as</w:t>
            </w:r>
            <w:r w:rsidRPr="005B5418">
              <w:rPr>
                <w:rFonts w:cs="Arial"/>
              </w:rPr>
              <w:t>. 25, 28, 31, and 35; SFFAS 5, par</w:t>
            </w:r>
            <w:r w:rsidR="00D81663" w:rsidRPr="005B5418">
              <w:rPr>
                <w:rFonts w:cs="Arial"/>
              </w:rPr>
              <w:t>as</w:t>
            </w:r>
            <w:r w:rsidRPr="005B5418">
              <w:rPr>
                <w:rFonts w:cs="Arial"/>
              </w:rPr>
              <w:t>. 67</w:t>
            </w:r>
            <w:r w:rsidR="00D81663" w:rsidRPr="005B5418">
              <w:rPr>
                <w:rFonts w:cs="Arial"/>
              </w:rPr>
              <w:t>–</w:t>
            </w:r>
            <w:r w:rsidRPr="005B5418">
              <w:rPr>
                <w:rFonts w:cs="Arial"/>
              </w:rPr>
              <w:t>68, 83</w:t>
            </w:r>
            <w:r w:rsidR="00D81663" w:rsidRPr="005B5418">
              <w:rPr>
                <w:rFonts w:cs="Arial"/>
              </w:rPr>
              <w:t>,</w:t>
            </w:r>
            <w:r w:rsidRPr="005B5418">
              <w:rPr>
                <w:rFonts w:cs="Arial"/>
              </w:rPr>
              <w:t xml:space="preserve"> and 85; A-136, section II.3.8.15)</w:t>
            </w:r>
          </w:p>
        </w:tc>
        <w:tc>
          <w:tcPr>
            <w:tcW w:w="965" w:type="dxa"/>
          </w:tcPr>
          <w:p w14:paraId="6B262453" w14:textId="77777777" w:rsidR="009118E5" w:rsidRPr="005B5418" w:rsidRDefault="009118E5" w:rsidP="008848DA">
            <w:pPr>
              <w:pStyle w:val="Table-Cell-CenterBoldBefore6ptAfter6pt"/>
              <w:spacing w:before="60" w:after="60"/>
              <w:rPr>
                <w:rFonts w:cs="Arial"/>
                <w:lang w:val="pt-BR"/>
              </w:rPr>
            </w:pPr>
          </w:p>
        </w:tc>
        <w:tc>
          <w:tcPr>
            <w:tcW w:w="3211" w:type="dxa"/>
          </w:tcPr>
          <w:p w14:paraId="314C6782" w14:textId="77777777" w:rsidR="009118E5" w:rsidRPr="005B5418" w:rsidRDefault="009118E5" w:rsidP="008848DA">
            <w:pPr>
              <w:pStyle w:val="Table-Cell-Left"/>
              <w:spacing w:before="60" w:after="60" w:line="240" w:lineRule="auto"/>
              <w:rPr>
                <w:rFonts w:cs="Arial"/>
                <w:lang w:val="pt-BR"/>
              </w:rPr>
            </w:pPr>
          </w:p>
        </w:tc>
      </w:tr>
      <w:tr w:rsidR="009118E5" w:rsidRPr="005B5418" w14:paraId="6EB66102" w14:textId="77777777" w:rsidTr="00DA6DCF">
        <w:trPr>
          <w:trHeight w:val="1709"/>
        </w:trPr>
        <w:tc>
          <w:tcPr>
            <w:tcW w:w="5410" w:type="dxa"/>
          </w:tcPr>
          <w:p w14:paraId="37A52729" w14:textId="407AADB6" w:rsidR="009118E5" w:rsidRPr="005B5418" w:rsidRDefault="009118E5" w:rsidP="00E37A19">
            <w:pPr>
              <w:pStyle w:val="FAM-Table-outline"/>
              <w:widowControl/>
              <w:numPr>
                <w:ilvl w:val="0"/>
                <w:numId w:val="17"/>
              </w:numPr>
              <w:adjustRightInd/>
              <w:spacing w:line="240" w:lineRule="auto"/>
              <w:textAlignment w:val="auto"/>
              <w:rPr>
                <w:rFonts w:cs="Arial"/>
              </w:rPr>
            </w:pPr>
            <w:r w:rsidRPr="005B5418">
              <w:rPr>
                <w:rFonts w:cs="Arial"/>
              </w:rPr>
              <w:lastRenderedPageBreak/>
              <w:t>Do</w:t>
            </w:r>
            <w:r w:rsidR="00187469" w:rsidRPr="005B5418">
              <w:rPr>
                <w:rFonts w:cs="Arial"/>
              </w:rPr>
              <w:t>es the</w:t>
            </w:r>
            <w:r w:rsidR="00035499" w:rsidRPr="005B5418">
              <w:rPr>
                <w:rFonts w:cs="Arial"/>
              </w:rPr>
              <w:t xml:space="preserve"> pension administrative </w:t>
            </w:r>
            <w:r w:rsidRPr="005B5418">
              <w:rPr>
                <w:rFonts w:cs="Arial"/>
              </w:rPr>
              <w:t>entity disclose the rates of interest and inflation, projected salary increases, and cost-of-living adjustments used to determine the pension liability and related expenses? (A-136, section II.3.8.15)</w:t>
            </w:r>
          </w:p>
        </w:tc>
        <w:tc>
          <w:tcPr>
            <w:tcW w:w="965" w:type="dxa"/>
          </w:tcPr>
          <w:p w14:paraId="55DC1F18" w14:textId="77777777" w:rsidR="009118E5" w:rsidRPr="005B5418" w:rsidRDefault="009118E5" w:rsidP="008848DA">
            <w:pPr>
              <w:pStyle w:val="Table-Cell-CenterBoldBefore6ptAfter6pt"/>
              <w:spacing w:before="60" w:after="60"/>
              <w:rPr>
                <w:rFonts w:cs="Arial"/>
                <w:lang w:val="pt-BR"/>
              </w:rPr>
            </w:pPr>
          </w:p>
        </w:tc>
        <w:tc>
          <w:tcPr>
            <w:tcW w:w="3211" w:type="dxa"/>
          </w:tcPr>
          <w:p w14:paraId="78A1B554" w14:textId="77777777" w:rsidR="009118E5" w:rsidRPr="005B5418" w:rsidRDefault="009118E5" w:rsidP="008848DA">
            <w:pPr>
              <w:pStyle w:val="Table-Cell-Left"/>
              <w:spacing w:before="60" w:after="60" w:line="240" w:lineRule="auto"/>
              <w:rPr>
                <w:rFonts w:cs="Arial"/>
                <w:lang w:val="pt-BR"/>
              </w:rPr>
            </w:pPr>
          </w:p>
        </w:tc>
      </w:tr>
      <w:tr w:rsidR="009118E5" w:rsidRPr="005B5418" w14:paraId="1AF7FFC5" w14:textId="77777777" w:rsidTr="00DA6DCF">
        <w:trPr>
          <w:trHeight w:val="971"/>
        </w:trPr>
        <w:tc>
          <w:tcPr>
            <w:tcW w:w="5410" w:type="dxa"/>
          </w:tcPr>
          <w:p w14:paraId="65B46F8D" w14:textId="567DE2DD"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035499" w:rsidRPr="005B5418">
              <w:rPr>
                <w:rFonts w:cs="Arial"/>
              </w:rPr>
              <w:t xml:space="preserve">administrative </w:t>
            </w:r>
            <w:r w:rsidRPr="005B5418">
              <w:rPr>
                <w:rFonts w:cs="Arial"/>
              </w:rPr>
              <w:t>entity disclose separate rates for FERS</w:t>
            </w:r>
            <w:r w:rsidR="00B70A42" w:rsidRPr="005B5418">
              <w:rPr>
                <w:rFonts w:cs="Arial"/>
              </w:rPr>
              <w:t xml:space="preserve">, </w:t>
            </w:r>
            <w:r w:rsidRPr="005B5418">
              <w:rPr>
                <w:rFonts w:cs="Arial"/>
              </w:rPr>
              <w:t>CSRS</w:t>
            </w:r>
            <w:r w:rsidR="00B70A42" w:rsidRPr="005B5418">
              <w:rPr>
                <w:rFonts w:cs="Arial"/>
              </w:rPr>
              <w:t>, and MRS</w:t>
            </w:r>
            <w:r w:rsidRPr="005B5418">
              <w:rPr>
                <w:rFonts w:cs="Arial"/>
              </w:rPr>
              <w:t>? (A-136, section II.3.8.15)</w:t>
            </w:r>
          </w:p>
        </w:tc>
        <w:tc>
          <w:tcPr>
            <w:tcW w:w="965" w:type="dxa"/>
          </w:tcPr>
          <w:p w14:paraId="56286EBB" w14:textId="77777777" w:rsidR="009118E5" w:rsidRPr="005B5418" w:rsidRDefault="009118E5" w:rsidP="008848DA">
            <w:pPr>
              <w:pStyle w:val="Table-Cell-CenterBoldBefore6ptAfter6pt"/>
              <w:spacing w:before="60" w:after="60"/>
              <w:rPr>
                <w:rFonts w:cs="Arial"/>
                <w:lang w:val="pt-BR"/>
              </w:rPr>
            </w:pPr>
          </w:p>
        </w:tc>
        <w:tc>
          <w:tcPr>
            <w:tcW w:w="3211" w:type="dxa"/>
          </w:tcPr>
          <w:p w14:paraId="682CD519" w14:textId="77777777" w:rsidR="009118E5" w:rsidRPr="005B5418" w:rsidRDefault="009118E5" w:rsidP="008848DA">
            <w:pPr>
              <w:pStyle w:val="Table-Cell-Left"/>
              <w:spacing w:before="60" w:after="60" w:line="240" w:lineRule="auto"/>
              <w:rPr>
                <w:rFonts w:cs="Arial"/>
                <w:lang w:val="pt-BR"/>
              </w:rPr>
            </w:pPr>
          </w:p>
        </w:tc>
      </w:tr>
      <w:tr w:rsidR="009118E5" w:rsidRPr="005B5418" w14:paraId="42D6EB27" w14:textId="77777777" w:rsidTr="00DA6DCF">
        <w:trPr>
          <w:trHeight w:val="2015"/>
        </w:trPr>
        <w:tc>
          <w:tcPr>
            <w:tcW w:w="5410" w:type="dxa"/>
          </w:tcPr>
          <w:p w14:paraId="371BDA52" w14:textId="7C25BEB2"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Does the entity responsible for administering post-retirement health benefits disclose</w:t>
            </w:r>
            <w:r w:rsidR="00A43DF0" w:rsidRPr="005B5418">
              <w:rPr>
                <w:rFonts w:cs="Arial"/>
              </w:rPr>
              <w:t>,</w:t>
            </w:r>
            <w:r w:rsidRPr="005B5418">
              <w:rPr>
                <w:rFonts w:cs="Arial"/>
              </w:rPr>
              <w:t xml:space="preserve"> for the rate of interest, the single equivalent of medical cost trend rate and the ultimate medical trend rate used to determine the health benefits liability and related expense? (A-136, section II.3.8.15)</w:t>
            </w:r>
          </w:p>
        </w:tc>
        <w:tc>
          <w:tcPr>
            <w:tcW w:w="965" w:type="dxa"/>
          </w:tcPr>
          <w:p w14:paraId="429346A5" w14:textId="77777777" w:rsidR="009118E5" w:rsidRPr="005B5418" w:rsidRDefault="009118E5" w:rsidP="008848DA">
            <w:pPr>
              <w:pStyle w:val="Table-Cell-CenterBoldBefore6ptAfter6pt"/>
              <w:spacing w:before="60" w:after="60"/>
              <w:rPr>
                <w:rFonts w:cs="Arial"/>
                <w:lang w:val="pt-BR"/>
              </w:rPr>
            </w:pPr>
          </w:p>
        </w:tc>
        <w:tc>
          <w:tcPr>
            <w:tcW w:w="3211" w:type="dxa"/>
          </w:tcPr>
          <w:p w14:paraId="2709ED07" w14:textId="77777777" w:rsidR="009118E5" w:rsidRPr="005B5418" w:rsidRDefault="009118E5" w:rsidP="008848DA">
            <w:pPr>
              <w:pStyle w:val="Table-Cell-Left"/>
              <w:spacing w:before="60" w:after="60" w:line="240" w:lineRule="auto"/>
              <w:rPr>
                <w:rFonts w:cs="Arial"/>
                <w:lang w:val="pt-BR"/>
              </w:rPr>
            </w:pPr>
          </w:p>
        </w:tc>
      </w:tr>
      <w:tr w:rsidR="009118E5" w:rsidRPr="005B5418" w14:paraId="02381615" w14:textId="77777777" w:rsidTr="00DA6DCF">
        <w:trPr>
          <w:trHeight w:val="1484"/>
        </w:trPr>
        <w:tc>
          <w:tcPr>
            <w:tcW w:w="5410" w:type="dxa"/>
          </w:tcPr>
          <w:p w14:paraId="4A080731" w14:textId="6BE5D80C"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Does the entity responsible for administering civilian life insurance benefits disclose the rates of interest and salary increases used to determine the life insurance benefits liability and related expense? (A-136, section II.3.8.15)</w:t>
            </w:r>
          </w:p>
        </w:tc>
        <w:tc>
          <w:tcPr>
            <w:tcW w:w="965" w:type="dxa"/>
          </w:tcPr>
          <w:p w14:paraId="3108BC57" w14:textId="77777777" w:rsidR="009118E5" w:rsidRPr="005B5418" w:rsidRDefault="009118E5" w:rsidP="008848DA">
            <w:pPr>
              <w:pStyle w:val="Table-Cell-CenterBoldBefore6ptAfter6pt"/>
              <w:spacing w:before="60" w:after="60"/>
              <w:rPr>
                <w:rFonts w:cs="Arial"/>
                <w:lang w:val="pt-BR"/>
              </w:rPr>
            </w:pPr>
          </w:p>
        </w:tc>
        <w:tc>
          <w:tcPr>
            <w:tcW w:w="3211" w:type="dxa"/>
          </w:tcPr>
          <w:p w14:paraId="372E31C5" w14:textId="77777777" w:rsidR="009118E5" w:rsidRPr="005B5418" w:rsidRDefault="009118E5" w:rsidP="008848DA">
            <w:pPr>
              <w:pStyle w:val="Table-Cell-Left"/>
              <w:spacing w:before="60" w:after="60" w:line="240" w:lineRule="auto"/>
              <w:rPr>
                <w:rFonts w:cs="Arial"/>
                <w:lang w:val="pt-BR"/>
              </w:rPr>
            </w:pPr>
          </w:p>
        </w:tc>
      </w:tr>
      <w:tr w:rsidR="009118E5" w:rsidRPr="005B5418" w14:paraId="57462BF0" w14:textId="77777777" w:rsidTr="00DA6DCF">
        <w:trPr>
          <w:trHeight w:val="1538"/>
        </w:trPr>
        <w:tc>
          <w:tcPr>
            <w:tcW w:w="5410" w:type="dxa"/>
          </w:tcPr>
          <w:p w14:paraId="3CB3C9FE" w14:textId="25348069"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entity responsible for </w:t>
            </w:r>
            <w:r w:rsidR="00035499" w:rsidRPr="005B5418">
              <w:rPr>
                <w:rFonts w:cs="Arial"/>
              </w:rPr>
              <w:t xml:space="preserve">administering </w:t>
            </w:r>
            <w:r w:rsidRPr="005B5418">
              <w:rPr>
                <w:rFonts w:cs="Arial"/>
              </w:rPr>
              <w:t>workers</w:t>
            </w:r>
            <w:r w:rsidR="00A43DF0" w:rsidRPr="005B5418">
              <w:rPr>
                <w:rFonts w:cs="Arial"/>
              </w:rPr>
              <w:t>’</w:t>
            </w:r>
            <w:r w:rsidRPr="005B5418">
              <w:rPr>
                <w:rFonts w:cs="Arial"/>
              </w:rPr>
              <w:t xml:space="preserve"> compensation benefits disclose the cost-of</w:t>
            </w:r>
            <w:r w:rsidR="000327A6" w:rsidRPr="005B5418">
              <w:rPr>
                <w:rFonts w:cs="Arial"/>
              </w:rPr>
              <w:t>-</w:t>
            </w:r>
            <w:r w:rsidRPr="005B5418">
              <w:rPr>
                <w:rFonts w:cs="Arial"/>
              </w:rPr>
              <w:t xml:space="preserve">living adjustments and the consumer price index-medical used to determine the benefits liability and related expense? </w:t>
            </w:r>
            <w:r w:rsidR="00B70A42" w:rsidRPr="005B5418">
              <w:rPr>
                <w:rFonts w:cs="Arial"/>
              </w:rPr>
              <w:t>(A-136, section II.3.8.15)</w:t>
            </w:r>
          </w:p>
        </w:tc>
        <w:tc>
          <w:tcPr>
            <w:tcW w:w="965" w:type="dxa"/>
          </w:tcPr>
          <w:p w14:paraId="5858EF1D" w14:textId="77777777" w:rsidR="009118E5" w:rsidRPr="005B5418" w:rsidRDefault="009118E5" w:rsidP="008848DA">
            <w:pPr>
              <w:pStyle w:val="Table-Cell-CenterBoldBefore6ptAfter6pt"/>
              <w:spacing w:before="60" w:after="60"/>
              <w:rPr>
                <w:rFonts w:cs="Arial"/>
                <w:lang w:val="pt-BR"/>
              </w:rPr>
            </w:pPr>
          </w:p>
        </w:tc>
        <w:tc>
          <w:tcPr>
            <w:tcW w:w="3211" w:type="dxa"/>
          </w:tcPr>
          <w:p w14:paraId="66DA1435" w14:textId="77777777" w:rsidR="009118E5" w:rsidRPr="005B5418" w:rsidRDefault="009118E5" w:rsidP="008848DA">
            <w:pPr>
              <w:pStyle w:val="Table-Cell-Left"/>
              <w:spacing w:before="60" w:after="60" w:line="240" w:lineRule="auto"/>
              <w:rPr>
                <w:rFonts w:cs="Arial"/>
                <w:lang w:val="pt-BR"/>
              </w:rPr>
            </w:pPr>
          </w:p>
        </w:tc>
      </w:tr>
      <w:tr w:rsidR="009118E5" w:rsidRPr="005B5418" w14:paraId="377D2E5B" w14:textId="77777777" w:rsidTr="00DA6DCF">
        <w:trPr>
          <w:trHeight w:val="1520"/>
        </w:trPr>
        <w:tc>
          <w:tcPr>
            <w:tcW w:w="5410" w:type="dxa"/>
          </w:tcPr>
          <w:p w14:paraId="3A108B9A" w14:textId="668EBAC4" w:rsidR="009118E5" w:rsidRPr="005B5418" w:rsidRDefault="009118E5" w:rsidP="00343610">
            <w:pPr>
              <w:pStyle w:val="FAM-Table-outline"/>
              <w:widowControl/>
              <w:numPr>
                <w:ilvl w:val="0"/>
                <w:numId w:val="17"/>
              </w:numPr>
              <w:adjustRightInd/>
              <w:spacing w:line="240" w:lineRule="auto"/>
              <w:textAlignment w:val="auto"/>
              <w:rPr>
                <w:rFonts w:cs="Arial"/>
              </w:rPr>
            </w:pPr>
            <w:r w:rsidRPr="005B5418">
              <w:rPr>
                <w:rFonts w:cs="Arial"/>
              </w:rPr>
              <w:t xml:space="preserve">Does the </w:t>
            </w:r>
            <w:r w:rsidR="00035499" w:rsidRPr="005B5418">
              <w:rPr>
                <w:rFonts w:cs="Arial"/>
              </w:rPr>
              <w:t xml:space="preserve">administrative </w:t>
            </w:r>
            <w:r w:rsidRPr="005B5418">
              <w:rPr>
                <w:rFonts w:cs="Arial"/>
              </w:rPr>
              <w:t>entity responsible for veteran</w:t>
            </w:r>
            <w:r w:rsidR="003E522F" w:rsidRPr="005B5418">
              <w:rPr>
                <w:rFonts w:cs="Arial"/>
              </w:rPr>
              <w:t>s’</w:t>
            </w:r>
            <w:r w:rsidRPr="005B5418">
              <w:rPr>
                <w:rFonts w:cs="Arial"/>
              </w:rPr>
              <w:t xml:space="preserve"> compensation and burial benefits disclose the </w:t>
            </w:r>
            <w:r w:rsidR="00D26BB1" w:rsidRPr="005B5418">
              <w:rPr>
                <w:rFonts w:cs="Arial"/>
              </w:rPr>
              <w:t>single-equivalent discount rate</w:t>
            </w:r>
            <w:r w:rsidRPr="005B5418">
              <w:rPr>
                <w:rFonts w:cs="Arial"/>
              </w:rPr>
              <w:t xml:space="preserve"> and </w:t>
            </w:r>
            <w:r w:rsidR="00D26BB1" w:rsidRPr="005B5418">
              <w:rPr>
                <w:rFonts w:cs="Arial"/>
              </w:rPr>
              <w:t>the long-term cost-of-living adjustment</w:t>
            </w:r>
            <w:r w:rsidRPr="005B5418">
              <w:rPr>
                <w:rFonts w:cs="Arial"/>
              </w:rPr>
              <w:t xml:space="preserve"> used to determine the benefits liability and related expense?</w:t>
            </w:r>
            <w:r w:rsidR="00B70A42" w:rsidRPr="005B5418">
              <w:rPr>
                <w:rFonts w:cs="Arial"/>
              </w:rPr>
              <w:t xml:space="preserve"> (A-136, section II.3.8.15)</w:t>
            </w:r>
          </w:p>
        </w:tc>
        <w:tc>
          <w:tcPr>
            <w:tcW w:w="965" w:type="dxa"/>
          </w:tcPr>
          <w:p w14:paraId="27C85EA0" w14:textId="77777777" w:rsidR="009118E5" w:rsidRPr="005B5418" w:rsidRDefault="009118E5" w:rsidP="008848DA">
            <w:pPr>
              <w:pStyle w:val="Table-Cell-CenterBoldBefore6ptAfter6pt"/>
              <w:spacing w:before="60" w:after="60"/>
              <w:rPr>
                <w:rFonts w:cs="Arial"/>
                <w:lang w:val="pt-BR"/>
              </w:rPr>
            </w:pPr>
          </w:p>
        </w:tc>
        <w:tc>
          <w:tcPr>
            <w:tcW w:w="3211" w:type="dxa"/>
          </w:tcPr>
          <w:p w14:paraId="4CE2E522" w14:textId="77777777" w:rsidR="009118E5" w:rsidRPr="005B5418" w:rsidRDefault="009118E5" w:rsidP="008848DA">
            <w:pPr>
              <w:pStyle w:val="Table-Cell-Left"/>
              <w:spacing w:before="60" w:after="60" w:line="240" w:lineRule="auto"/>
              <w:rPr>
                <w:rFonts w:cs="Arial"/>
                <w:lang w:val="pt-BR"/>
              </w:rPr>
            </w:pPr>
          </w:p>
        </w:tc>
      </w:tr>
      <w:tr w:rsidR="00FD5738" w:rsidRPr="005B5418" w14:paraId="7FD4E15B" w14:textId="77777777" w:rsidTr="00DA6DCF">
        <w:trPr>
          <w:trHeight w:val="1520"/>
        </w:trPr>
        <w:tc>
          <w:tcPr>
            <w:tcW w:w="5410" w:type="dxa"/>
          </w:tcPr>
          <w:p w14:paraId="1B2BB175" w14:textId="77777777" w:rsidR="00776F6A" w:rsidRPr="005B5418" w:rsidRDefault="00776F6A" w:rsidP="00776F6A">
            <w:pPr>
              <w:pStyle w:val="FAM-Table-outline"/>
              <w:widowControl/>
              <w:numPr>
                <w:ilvl w:val="0"/>
                <w:numId w:val="17"/>
              </w:numPr>
              <w:adjustRightInd/>
              <w:spacing w:line="240" w:lineRule="auto"/>
              <w:textAlignment w:val="auto"/>
              <w:rPr>
                <w:rFonts w:cs="Arial"/>
              </w:rPr>
            </w:pPr>
            <w:r w:rsidRPr="005B5418">
              <w:rPr>
                <w:rFonts w:cs="Arial"/>
              </w:rPr>
              <w:t xml:space="preserve">[Applies only to the U.S. Department of Veterans Affairs] </w:t>
            </w:r>
          </w:p>
          <w:p w14:paraId="781E91CA" w14:textId="103C6C5B" w:rsidR="00FD5738" w:rsidRPr="005B5418" w:rsidRDefault="00FD5738" w:rsidP="00F05C8C">
            <w:pPr>
              <w:pStyle w:val="FAM-Table-outline"/>
              <w:widowControl/>
              <w:numPr>
                <w:ilvl w:val="0"/>
                <w:numId w:val="0"/>
              </w:numPr>
              <w:adjustRightInd/>
              <w:spacing w:line="240" w:lineRule="auto"/>
              <w:ind w:left="666"/>
              <w:textAlignment w:val="auto"/>
              <w:rPr>
                <w:rFonts w:cs="Arial"/>
              </w:rPr>
            </w:pPr>
            <w:r w:rsidRPr="005B5418">
              <w:rPr>
                <w:rFonts w:cs="Arial"/>
              </w:rPr>
              <w:t>For the Veteran Pension program liability only, is the accounting policy that explains why only amounts due and payable are reflected as a liability</w:t>
            </w:r>
            <w:r w:rsidR="00F05C8C" w:rsidRPr="005B5418">
              <w:rPr>
                <w:rFonts w:cs="Arial"/>
              </w:rPr>
              <w:t xml:space="preserve"> disclosed in the notes</w:t>
            </w:r>
            <w:r w:rsidR="004F00F7" w:rsidRPr="005B5418">
              <w:rPr>
                <w:rFonts w:cs="Arial"/>
              </w:rPr>
              <w:t>,</w:t>
            </w:r>
            <w:r w:rsidRPr="005B5418">
              <w:rPr>
                <w:rFonts w:cs="Arial"/>
              </w:rPr>
              <w:t xml:space="preserve"> and </w:t>
            </w:r>
            <w:r w:rsidR="004F00F7" w:rsidRPr="005B5418">
              <w:rPr>
                <w:rFonts w:cs="Arial"/>
              </w:rPr>
              <w:t xml:space="preserve">is </w:t>
            </w:r>
            <w:r w:rsidRPr="005B5418">
              <w:rPr>
                <w:rFonts w:cs="Arial"/>
              </w:rPr>
              <w:t xml:space="preserve">the present value of projected future payments for </w:t>
            </w:r>
            <w:r w:rsidRPr="005B5418">
              <w:rPr>
                <w:rFonts w:cs="Arial"/>
              </w:rPr>
              <w:lastRenderedPageBreak/>
              <w:t>the program reported in the MD&amp;A? (A-136, section II.3.8.15)</w:t>
            </w:r>
          </w:p>
        </w:tc>
        <w:tc>
          <w:tcPr>
            <w:tcW w:w="965" w:type="dxa"/>
          </w:tcPr>
          <w:p w14:paraId="47CBF0A3" w14:textId="77777777" w:rsidR="00FD5738" w:rsidRPr="005B5418" w:rsidRDefault="00FD5738" w:rsidP="008848DA">
            <w:pPr>
              <w:pStyle w:val="Table-Cell-CenterBoldBefore6ptAfter6pt"/>
              <w:spacing w:before="60" w:after="60"/>
              <w:rPr>
                <w:rFonts w:cs="Arial"/>
                <w:lang w:val="pt-BR"/>
              </w:rPr>
            </w:pPr>
          </w:p>
        </w:tc>
        <w:tc>
          <w:tcPr>
            <w:tcW w:w="3211" w:type="dxa"/>
          </w:tcPr>
          <w:p w14:paraId="75DB7999" w14:textId="77777777" w:rsidR="00FD5738" w:rsidRPr="005B5418" w:rsidRDefault="00FD5738" w:rsidP="008848DA">
            <w:pPr>
              <w:pStyle w:val="Table-Cell-Left"/>
              <w:spacing w:before="60" w:after="60" w:line="240" w:lineRule="auto"/>
              <w:rPr>
                <w:rFonts w:cs="Arial"/>
                <w:lang w:val="pt-BR"/>
              </w:rPr>
            </w:pPr>
          </w:p>
        </w:tc>
      </w:tr>
      <w:tr w:rsidR="007F1CAC" w:rsidRPr="005B5418" w14:paraId="4A802D22" w14:textId="77777777" w:rsidTr="00980A39">
        <w:trPr>
          <w:trHeight w:val="881"/>
        </w:trPr>
        <w:tc>
          <w:tcPr>
            <w:tcW w:w="9586" w:type="dxa"/>
            <w:gridSpan w:val="3"/>
          </w:tcPr>
          <w:p w14:paraId="1780FD40" w14:textId="514A4CBE" w:rsidR="007F1CAC" w:rsidRPr="005B5418" w:rsidRDefault="007F1CAC" w:rsidP="008848DA">
            <w:pPr>
              <w:pStyle w:val="Table-Cell-Left"/>
              <w:spacing w:before="60" w:after="60" w:line="240" w:lineRule="auto"/>
              <w:rPr>
                <w:rFonts w:cs="Arial"/>
                <w:lang w:val="pt-BR"/>
              </w:rPr>
            </w:pPr>
            <w:r w:rsidRPr="005B5418">
              <w:rPr>
                <w:rFonts w:cs="Arial"/>
                <w:b/>
              </w:rPr>
              <w:t>Disclosure – Federal Employee and Veteran</w:t>
            </w:r>
            <w:r w:rsidR="00935832" w:rsidRPr="005B5418">
              <w:rPr>
                <w:rFonts w:cs="Arial"/>
                <w:b/>
              </w:rPr>
              <w:t>s</w:t>
            </w:r>
            <w:r w:rsidRPr="005B5418">
              <w:rPr>
                <w:rFonts w:cs="Arial"/>
                <w:b/>
              </w:rPr>
              <w:t xml:space="preserve"> Benefits – </w:t>
            </w:r>
            <w:r w:rsidR="00B31EE5" w:rsidRPr="005B5418">
              <w:rPr>
                <w:rFonts w:cs="Arial"/>
                <w:b/>
              </w:rPr>
              <w:t>Federal Employee Salary, Leave, and Benefits Payable</w:t>
            </w:r>
          </w:p>
        </w:tc>
      </w:tr>
      <w:tr w:rsidR="008D3BB6" w:rsidRPr="005B5418" w14:paraId="1636B494" w14:textId="77777777" w:rsidTr="00DA6DCF">
        <w:trPr>
          <w:trHeight w:val="1520"/>
        </w:trPr>
        <w:tc>
          <w:tcPr>
            <w:tcW w:w="5410" w:type="dxa"/>
          </w:tcPr>
          <w:p w14:paraId="529FCAF0" w14:textId="0C9FEF89" w:rsidR="008D3BB6" w:rsidRPr="005B5418" w:rsidRDefault="00450206" w:rsidP="00776F6A">
            <w:pPr>
              <w:pStyle w:val="FAM-Table-outline"/>
              <w:widowControl/>
              <w:numPr>
                <w:ilvl w:val="0"/>
                <w:numId w:val="17"/>
              </w:numPr>
              <w:adjustRightInd/>
              <w:spacing w:line="240" w:lineRule="auto"/>
              <w:textAlignment w:val="auto"/>
              <w:rPr>
                <w:rFonts w:cs="Arial"/>
              </w:rPr>
            </w:pPr>
            <w:r w:rsidRPr="005B5418">
              <w:rPr>
                <w:rFonts w:cs="Arial"/>
              </w:rPr>
              <w:t>For</w:t>
            </w:r>
            <w:r w:rsidR="00B31EE5" w:rsidRPr="005B5418">
              <w:rPr>
                <w:rFonts w:cs="Arial"/>
              </w:rPr>
              <w:t xml:space="preserve"> liabilities</w:t>
            </w:r>
            <w:r w:rsidR="008D3BB6" w:rsidRPr="005B5418">
              <w:rPr>
                <w:rFonts w:cs="Arial"/>
              </w:rPr>
              <w:t xml:space="preserve"> related to </w:t>
            </w:r>
            <w:r w:rsidR="00B31EE5" w:rsidRPr="005B5418">
              <w:rPr>
                <w:rFonts w:cs="Arial"/>
                <w:bCs/>
              </w:rPr>
              <w:t>Federal Employee Salary, Leave, and Benefits Payable</w:t>
            </w:r>
            <w:r w:rsidRPr="005B5418">
              <w:rPr>
                <w:rFonts w:cs="Arial"/>
              </w:rPr>
              <w:t xml:space="preserve">, did the entity include a table showing the significant amounts </w:t>
            </w:r>
            <w:r w:rsidR="0091734B" w:rsidRPr="005B5418">
              <w:rPr>
                <w:rFonts w:cs="Arial"/>
              </w:rPr>
              <w:t>that make up the balance sheet</w:t>
            </w:r>
            <w:r w:rsidRPr="005B5418">
              <w:rPr>
                <w:rFonts w:cs="Arial"/>
              </w:rPr>
              <w:t xml:space="preserve"> line item</w:t>
            </w:r>
            <w:r w:rsidR="008D3BB6" w:rsidRPr="005B5418">
              <w:rPr>
                <w:rFonts w:cs="Arial"/>
              </w:rPr>
              <w:t xml:space="preserve">? </w:t>
            </w:r>
            <w:r w:rsidRPr="005B5418">
              <w:rPr>
                <w:rFonts w:cs="Arial"/>
              </w:rPr>
              <w:t>(A-136, section II.3.8.15)</w:t>
            </w:r>
          </w:p>
        </w:tc>
        <w:tc>
          <w:tcPr>
            <w:tcW w:w="965" w:type="dxa"/>
          </w:tcPr>
          <w:p w14:paraId="573936FF" w14:textId="77777777" w:rsidR="008D3BB6" w:rsidRPr="005B5418" w:rsidRDefault="008D3BB6" w:rsidP="008848DA">
            <w:pPr>
              <w:pStyle w:val="Table-Cell-CenterBoldBefore6ptAfter6pt"/>
              <w:spacing w:before="60" w:after="60"/>
              <w:rPr>
                <w:rFonts w:cs="Arial"/>
                <w:lang w:val="pt-BR"/>
              </w:rPr>
            </w:pPr>
          </w:p>
        </w:tc>
        <w:tc>
          <w:tcPr>
            <w:tcW w:w="3211" w:type="dxa"/>
          </w:tcPr>
          <w:p w14:paraId="48FFBE5C" w14:textId="77777777" w:rsidR="008D3BB6" w:rsidRPr="005B5418" w:rsidRDefault="008D3BB6" w:rsidP="008848DA">
            <w:pPr>
              <w:pStyle w:val="Table-Cell-Left"/>
              <w:spacing w:before="60" w:after="60" w:line="240" w:lineRule="auto"/>
              <w:rPr>
                <w:rFonts w:cs="Arial"/>
                <w:lang w:val="pt-BR"/>
              </w:rPr>
            </w:pPr>
          </w:p>
        </w:tc>
      </w:tr>
    </w:tbl>
    <w:p w14:paraId="58682D34" w14:textId="77777777" w:rsidR="009118E5" w:rsidRPr="005B5418" w:rsidRDefault="009118E5" w:rsidP="003B61E9">
      <w:pPr>
        <w:spacing w:line="240" w:lineRule="auto"/>
        <w:rPr>
          <w:rFonts w:cs="Arial"/>
        </w:rPr>
      </w:pPr>
    </w:p>
    <w:p w14:paraId="2F9AFD0E" w14:textId="77777777" w:rsidR="009118E5" w:rsidRPr="005B5418" w:rsidRDefault="009118E5" w:rsidP="003B61E9">
      <w:pPr>
        <w:spacing w:line="240" w:lineRule="auto"/>
        <w:rPr>
          <w:rFonts w:cs="Arial"/>
        </w:rPr>
      </w:pPr>
      <w:r w:rsidRPr="005B5418">
        <w:rPr>
          <w:rFonts w:cs="Arial"/>
        </w:rPr>
        <w:br w:type="page"/>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5"/>
        <w:gridCol w:w="965"/>
        <w:gridCol w:w="3211"/>
      </w:tblGrid>
      <w:tr w:rsidR="009118E5" w:rsidRPr="005B5418" w14:paraId="3B2C1F0C" w14:textId="77777777" w:rsidTr="00DA6DCF">
        <w:trPr>
          <w:trHeight w:val="512"/>
          <w:tblHeader/>
        </w:trPr>
        <w:tc>
          <w:tcPr>
            <w:tcW w:w="5405" w:type="dxa"/>
            <w:tcBorders>
              <w:top w:val="single" w:sz="4" w:space="0" w:color="auto"/>
              <w:left w:val="single" w:sz="4" w:space="0" w:color="auto"/>
              <w:bottom w:val="single" w:sz="4" w:space="0" w:color="auto"/>
              <w:right w:val="single" w:sz="4" w:space="0" w:color="auto"/>
            </w:tcBorders>
          </w:tcPr>
          <w:p w14:paraId="67EAE1C4" w14:textId="77777777" w:rsidR="009118E5" w:rsidRPr="005B5418" w:rsidRDefault="009118E5" w:rsidP="008848DA">
            <w:pPr>
              <w:pStyle w:val="Heading4"/>
              <w:spacing w:before="60" w:after="60" w:line="240" w:lineRule="auto"/>
              <w:jc w:val="left"/>
              <w:rPr>
                <w:b/>
                <w:u w:val="none"/>
              </w:rPr>
            </w:pPr>
            <w:bookmarkStart w:id="183" w:name="_II.3.8.16_Environment_&amp;"/>
            <w:bookmarkStart w:id="184" w:name="_Ref8637936"/>
            <w:bookmarkEnd w:id="183"/>
            <w:r w:rsidRPr="005B5418">
              <w:rPr>
                <w:b/>
                <w:u w:val="none"/>
              </w:rPr>
              <w:lastRenderedPageBreak/>
              <w:t>II.3.8.16 Environment &amp; Disposal Liabilities</w:t>
            </w:r>
            <w:bookmarkEnd w:id="184"/>
          </w:p>
        </w:tc>
        <w:tc>
          <w:tcPr>
            <w:tcW w:w="965" w:type="dxa"/>
            <w:tcBorders>
              <w:top w:val="single" w:sz="4" w:space="0" w:color="auto"/>
              <w:left w:val="single" w:sz="4" w:space="0" w:color="auto"/>
              <w:bottom w:val="single" w:sz="4" w:space="0" w:color="auto"/>
              <w:right w:val="single" w:sz="4" w:space="0" w:color="auto"/>
            </w:tcBorders>
          </w:tcPr>
          <w:p w14:paraId="38E41AAF" w14:textId="77777777" w:rsidR="009118E5" w:rsidRPr="005B5418" w:rsidRDefault="009118E5" w:rsidP="008848DA">
            <w:pPr>
              <w:pStyle w:val="TableCellCenter"/>
              <w:spacing w:before="60" w:after="60"/>
              <w:jc w:val="left"/>
            </w:pPr>
            <w:r w:rsidRPr="005B5418">
              <w:t>Yes, No, or N/A</w:t>
            </w:r>
          </w:p>
        </w:tc>
        <w:tc>
          <w:tcPr>
            <w:tcW w:w="3211" w:type="dxa"/>
            <w:tcBorders>
              <w:top w:val="single" w:sz="4" w:space="0" w:color="auto"/>
              <w:left w:val="single" w:sz="4" w:space="0" w:color="auto"/>
              <w:bottom w:val="single" w:sz="4" w:space="0" w:color="auto"/>
              <w:right w:val="single" w:sz="4" w:space="0" w:color="auto"/>
            </w:tcBorders>
          </w:tcPr>
          <w:p w14:paraId="21E0766E" w14:textId="4DE0FAD9" w:rsidR="009118E5" w:rsidRPr="005B5418" w:rsidRDefault="009118E5" w:rsidP="008848DA">
            <w:pPr>
              <w:pStyle w:val="TableCellCenter"/>
              <w:spacing w:before="60" w:after="60"/>
              <w:jc w:val="left"/>
            </w:pPr>
            <w:r w:rsidRPr="005B5418">
              <w:t xml:space="preserve">Explanation </w:t>
            </w:r>
            <w:r w:rsidR="00BD3DD5" w:rsidRPr="005B5418">
              <w:t xml:space="preserve">and </w:t>
            </w:r>
            <w:r w:rsidRPr="005B5418">
              <w:t>Reference</w:t>
            </w:r>
          </w:p>
        </w:tc>
      </w:tr>
      <w:tr w:rsidR="009118E5" w:rsidRPr="005B5418" w14:paraId="070210B6" w14:textId="77777777" w:rsidTr="00DA6DCF">
        <w:trPr>
          <w:cantSplit/>
          <w:trHeight w:val="4877"/>
        </w:trPr>
        <w:tc>
          <w:tcPr>
            <w:tcW w:w="9581" w:type="dxa"/>
            <w:gridSpan w:val="3"/>
          </w:tcPr>
          <w:p w14:paraId="26AFD4F8" w14:textId="43FDBA29" w:rsidR="009118E5" w:rsidRPr="005B5418" w:rsidRDefault="009118E5" w:rsidP="00E678C2">
            <w:pPr>
              <w:pStyle w:val="Table-Note"/>
              <w:spacing w:line="240" w:lineRule="auto"/>
              <w:ind w:left="0"/>
              <w:jc w:val="left"/>
              <w:rPr>
                <w:rFonts w:cs="Arial"/>
                <w:i w:val="0"/>
                <w:sz w:val="22"/>
                <w:szCs w:val="22"/>
              </w:rPr>
            </w:pPr>
            <w:r w:rsidRPr="005B5418">
              <w:rPr>
                <w:rFonts w:cs="Arial"/>
                <w:i w:val="0"/>
                <w:sz w:val="22"/>
                <w:szCs w:val="22"/>
              </w:rPr>
              <w:t>Cleanup costs are the costs of removing, containing, and/or disposing of (1) hazardous waste from property or (2) material and/or</w:t>
            </w:r>
            <w:r w:rsidR="00833ECB" w:rsidRPr="005B5418">
              <w:rPr>
                <w:rFonts w:cs="Arial"/>
                <w:i w:val="0"/>
                <w:sz w:val="22"/>
                <w:szCs w:val="22"/>
              </w:rPr>
              <w:t xml:space="preserve"> </w:t>
            </w:r>
            <w:r w:rsidRPr="005B5418">
              <w:rPr>
                <w:rFonts w:cs="Arial"/>
                <w:i w:val="0"/>
                <w:sz w:val="22"/>
                <w:szCs w:val="22"/>
              </w:rPr>
              <w:t xml:space="preserve">property that consists of hazardous waste at permanent or temporary closure or shutdown of associated PP&amp;E. </w:t>
            </w:r>
            <w:r w:rsidR="00D24B71" w:rsidRPr="005B5418">
              <w:rPr>
                <w:rFonts w:eastAsia="Arial Unicode MS" w:cs="Arial"/>
                <w:i w:val="0"/>
                <w:sz w:val="22"/>
                <w:szCs w:val="22"/>
              </w:rPr>
              <w:t>Cleanup costs may include, but are not limited to, decontamination, decommissioning, site restoration, site monitoring, closure, and postclosure costs. (SFFAS 6, par</w:t>
            </w:r>
            <w:r w:rsidR="00833ECB" w:rsidRPr="005B5418">
              <w:rPr>
                <w:rFonts w:eastAsia="Arial Unicode MS" w:cs="Arial"/>
                <w:i w:val="0"/>
                <w:sz w:val="22"/>
                <w:szCs w:val="22"/>
              </w:rPr>
              <w:t>a</w:t>
            </w:r>
            <w:r w:rsidR="00D24B71" w:rsidRPr="005B5418">
              <w:rPr>
                <w:rFonts w:eastAsia="Arial Unicode MS" w:cs="Arial"/>
                <w:i w:val="0"/>
                <w:sz w:val="22"/>
                <w:szCs w:val="22"/>
              </w:rPr>
              <w:t>. 85 and 87)</w:t>
            </w:r>
          </w:p>
          <w:p w14:paraId="4289FE1E" w14:textId="143E65EB" w:rsidR="009118E5" w:rsidRPr="005B5418" w:rsidRDefault="009118E5" w:rsidP="00E678C2">
            <w:pPr>
              <w:pStyle w:val="Table-Note"/>
              <w:spacing w:line="240" w:lineRule="auto"/>
              <w:ind w:left="0"/>
              <w:jc w:val="left"/>
              <w:rPr>
                <w:rFonts w:cs="Arial"/>
                <w:i w:val="0"/>
                <w:sz w:val="22"/>
                <w:szCs w:val="22"/>
              </w:rPr>
            </w:pPr>
            <w:r w:rsidRPr="005B5418">
              <w:rPr>
                <w:rFonts w:cs="Arial"/>
                <w:i w:val="0"/>
                <w:sz w:val="22"/>
                <w:szCs w:val="22"/>
              </w:rPr>
              <w:t xml:space="preserve">SFFAS 5 provides criteria for recognizing a contingent liability, which the entity applies to determine if cleanup costs should be recognized as liabilities or disclosed. SFFAS 6 provides guidance for recording cleanup costs related to </w:t>
            </w:r>
            <w:r w:rsidR="00CB383C" w:rsidRPr="005B5418">
              <w:rPr>
                <w:rFonts w:cs="Arial"/>
                <w:i w:val="0"/>
                <w:sz w:val="22"/>
                <w:szCs w:val="22"/>
              </w:rPr>
              <w:t xml:space="preserve">PP&amp;E </w:t>
            </w:r>
            <w:r w:rsidRPr="005B5418">
              <w:rPr>
                <w:rFonts w:cs="Arial"/>
                <w:i w:val="0"/>
                <w:sz w:val="22"/>
                <w:szCs w:val="22"/>
              </w:rPr>
              <w:t xml:space="preserve">and </w:t>
            </w:r>
            <w:r w:rsidR="00E51D94" w:rsidRPr="005B5418">
              <w:rPr>
                <w:rFonts w:cs="Arial"/>
                <w:i w:val="0"/>
                <w:sz w:val="22"/>
                <w:szCs w:val="22"/>
              </w:rPr>
              <w:t xml:space="preserve">stewardship </w:t>
            </w:r>
            <w:r w:rsidRPr="005B5418">
              <w:rPr>
                <w:rFonts w:cs="Arial"/>
                <w:i w:val="0"/>
                <w:sz w:val="22"/>
                <w:szCs w:val="22"/>
              </w:rPr>
              <w:t>PP&amp;E used in federal operations and applies to cleanup costs from federal operations known to result in hazardous waste that the federal government is required by federal, state</w:t>
            </w:r>
            <w:r w:rsidR="00A43DF0" w:rsidRPr="005B5418">
              <w:rPr>
                <w:rFonts w:cs="Arial"/>
                <w:i w:val="0"/>
                <w:sz w:val="22"/>
                <w:szCs w:val="22"/>
              </w:rPr>
              <w:t>,</w:t>
            </w:r>
            <w:r w:rsidRPr="005B5418">
              <w:rPr>
                <w:rFonts w:cs="Arial"/>
                <w:i w:val="0"/>
                <w:sz w:val="22"/>
                <w:szCs w:val="22"/>
              </w:rPr>
              <w:t xml:space="preserve"> or local statutes or regulations to clean up. Depending on materiality, the liability for cleanup costs may be displayed separately or included with other liabilities. The disclosures for liabilities for cleanup costs are described in SFFAS 6;</w:t>
            </w:r>
            <w:r w:rsidR="00833ECB" w:rsidRPr="005B5418">
              <w:rPr>
                <w:rFonts w:cs="Arial"/>
                <w:i w:val="0"/>
                <w:sz w:val="22"/>
                <w:szCs w:val="22"/>
              </w:rPr>
              <w:t xml:space="preserve"> FASAB</w:t>
            </w:r>
            <w:r w:rsidRPr="005B5418">
              <w:rPr>
                <w:rFonts w:cs="Arial"/>
                <w:i w:val="0"/>
                <w:sz w:val="22"/>
                <w:szCs w:val="22"/>
              </w:rPr>
              <w:t xml:space="preserve"> TR 2, </w:t>
            </w:r>
            <w:r w:rsidRPr="005B5418">
              <w:rPr>
                <w:rFonts w:cs="Arial"/>
                <w:sz w:val="22"/>
                <w:szCs w:val="22"/>
              </w:rPr>
              <w:t>Determining Probable and Reasonably Estimable for Environmental Liabilities in the Federal Government</w:t>
            </w:r>
            <w:r w:rsidRPr="005B5418">
              <w:rPr>
                <w:rFonts w:cs="Arial"/>
                <w:i w:val="0"/>
                <w:sz w:val="22"/>
                <w:szCs w:val="22"/>
              </w:rPr>
              <w:t>; and A-136, section II.3.2.4.</w:t>
            </w:r>
          </w:p>
          <w:p w14:paraId="42E69E70" w14:textId="3B0B3523" w:rsidR="009118E5" w:rsidRPr="005B5418" w:rsidRDefault="00186660" w:rsidP="00E678C2">
            <w:pPr>
              <w:pStyle w:val="Table-Note"/>
              <w:spacing w:line="240" w:lineRule="auto"/>
              <w:ind w:left="0"/>
              <w:jc w:val="left"/>
              <w:rPr>
                <w:rFonts w:cs="Arial"/>
                <w:i w:val="0"/>
                <w:sz w:val="22"/>
                <w:szCs w:val="22"/>
              </w:rPr>
            </w:pPr>
            <w:r w:rsidRPr="005B5418">
              <w:rPr>
                <w:rFonts w:cs="Arial"/>
                <w:i w:val="0"/>
                <w:sz w:val="22"/>
                <w:szCs w:val="22"/>
              </w:rPr>
              <w:t>TB</w:t>
            </w:r>
            <w:r w:rsidR="009118E5" w:rsidRPr="005B5418">
              <w:rPr>
                <w:rFonts w:cs="Arial"/>
                <w:i w:val="0"/>
                <w:sz w:val="22"/>
                <w:szCs w:val="22"/>
              </w:rPr>
              <w:t xml:space="preserve"> 2006-1, </w:t>
            </w:r>
            <w:r w:rsidR="009118E5" w:rsidRPr="005B5418">
              <w:rPr>
                <w:rFonts w:cs="Arial"/>
                <w:iCs/>
                <w:sz w:val="22"/>
                <w:szCs w:val="22"/>
              </w:rPr>
              <w:t>Recognition and Measurement of Asbestos-Related Cleanup Costs</w:t>
            </w:r>
            <w:r w:rsidR="009118E5" w:rsidRPr="005B5418">
              <w:rPr>
                <w:rFonts w:cs="Arial"/>
                <w:i w:val="0"/>
                <w:iCs/>
                <w:sz w:val="22"/>
                <w:szCs w:val="22"/>
              </w:rPr>
              <w:t xml:space="preserve">, </w:t>
            </w:r>
            <w:r w:rsidR="009118E5" w:rsidRPr="005B5418">
              <w:rPr>
                <w:rFonts w:cs="Arial"/>
                <w:i w:val="0"/>
                <w:sz w:val="22"/>
                <w:szCs w:val="22"/>
              </w:rPr>
              <w:t>requires recognition of a liability and expense for friable and nonfriable asbestos cleanup costs when the amounts are both probable and reasonably estimable, consistent with SFFAS 5, SFFAS 6, and TR 2. Liabilities deemed probable, but not reasonably estimable, should be disclosed in the notes to the financial statements.</w:t>
            </w:r>
            <w:r w:rsidR="00DD071E" w:rsidRPr="005B5418">
              <w:rPr>
                <w:rFonts w:cs="Arial"/>
                <w:i w:val="0"/>
                <w:sz w:val="22"/>
                <w:szCs w:val="22"/>
              </w:rPr>
              <w:t xml:space="preserve"> </w:t>
            </w:r>
            <w:r w:rsidR="009118E5" w:rsidRPr="005B5418">
              <w:rPr>
                <w:rFonts w:cs="Arial"/>
                <w:i w:val="0"/>
                <w:sz w:val="22"/>
                <w:szCs w:val="22"/>
              </w:rPr>
              <w:t>(A-136, section II.3.2.4)</w:t>
            </w:r>
          </w:p>
          <w:p w14:paraId="4B544E6E" w14:textId="44543461" w:rsidR="0044785C" w:rsidRPr="005B5418" w:rsidRDefault="0044785C" w:rsidP="00E678C2">
            <w:pPr>
              <w:pStyle w:val="Table-Note"/>
              <w:spacing w:line="240" w:lineRule="auto"/>
              <w:ind w:left="0"/>
              <w:jc w:val="left"/>
              <w:rPr>
                <w:rFonts w:cs="Arial"/>
                <w:bCs/>
                <w:i w:val="0"/>
                <w:sz w:val="22"/>
                <w:szCs w:val="22"/>
              </w:rPr>
            </w:pPr>
            <w:r w:rsidRPr="005B5418">
              <w:rPr>
                <w:rFonts w:cs="Arial"/>
                <w:bCs/>
                <w:i w:val="0"/>
                <w:sz w:val="22"/>
                <w:szCs w:val="22"/>
              </w:rPr>
              <w:t>Interpretation of Federal Financial Accounting Standards 9</w:t>
            </w:r>
            <w:r w:rsidR="007C6D29" w:rsidRPr="005B5418">
              <w:rPr>
                <w:rFonts w:cs="Arial"/>
                <w:bCs/>
                <w:i w:val="0"/>
                <w:sz w:val="22"/>
                <w:szCs w:val="22"/>
              </w:rPr>
              <w:t xml:space="preserve">, </w:t>
            </w:r>
            <w:r w:rsidR="00353275" w:rsidRPr="005B5418">
              <w:rPr>
                <w:rFonts w:cs="Arial"/>
                <w:bCs/>
                <w:sz w:val="22"/>
                <w:szCs w:val="22"/>
              </w:rPr>
              <w:t>Cleanup Cost Liabilities Involving Multiple Component Reporting Entities: An Interpretation of SFFAS 5 &amp; 6</w:t>
            </w:r>
            <w:r w:rsidR="00353275" w:rsidRPr="005B5418">
              <w:rPr>
                <w:rFonts w:cs="Arial"/>
                <w:bCs/>
                <w:i w:val="0"/>
                <w:sz w:val="22"/>
                <w:szCs w:val="22"/>
              </w:rPr>
              <w:t>,</w:t>
            </w:r>
            <w:r w:rsidR="00367C75" w:rsidRPr="005B5418">
              <w:rPr>
                <w:rFonts w:cs="Arial"/>
                <w:bCs/>
                <w:i w:val="0"/>
                <w:sz w:val="22"/>
                <w:szCs w:val="22"/>
              </w:rPr>
              <w:t xml:space="preserve"> provides clarification and guidance regarding cleanup cost liabilities when the component reporting entity responsible for reporting on an asset during its useful life is different from the component reporting entity that will eventually be responsible for settling the liability for the cleanup cost of that asset. </w:t>
            </w:r>
            <w:r w:rsidR="0000484F" w:rsidRPr="005B5418">
              <w:rPr>
                <w:rFonts w:cs="Arial"/>
                <w:bCs/>
                <w:i w:val="0"/>
                <w:sz w:val="22"/>
                <w:szCs w:val="22"/>
              </w:rPr>
              <w:t>In such cases,</w:t>
            </w:r>
            <w:r w:rsidR="00971F16" w:rsidRPr="005B5418">
              <w:rPr>
                <w:rFonts w:cs="Arial"/>
                <w:bCs/>
                <w:i w:val="0"/>
                <w:sz w:val="22"/>
                <w:szCs w:val="22"/>
              </w:rPr>
              <w:t xml:space="preserve"> the liability should be reported on the </w:t>
            </w:r>
            <w:r w:rsidR="001B5C17" w:rsidRPr="005B5418">
              <w:rPr>
                <w:rFonts w:cs="Arial"/>
                <w:bCs/>
                <w:i w:val="0"/>
                <w:sz w:val="22"/>
                <w:szCs w:val="22"/>
              </w:rPr>
              <w:t>balance sheet</w:t>
            </w:r>
            <w:r w:rsidR="00971F16" w:rsidRPr="005B5418">
              <w:rPr>
                <w:rFonts w:cs="Arial"/>
                <w:bCs/>
                <w:i w:val="0"/>
                <w:sz w:val="22"/>
                <w:szCs w:val="22"/>
              </w:rPr>
              <w:t xml:space="preserve"> of the component reporting entity recognizing the </w:t>
            </w:r>
            <w:r w:rsidR="000A0C1F" w:rsidRPr="005B5418">
              <w:rPr>
                <w:rFonts w:cs="Arial"/>
                <w:bCs/>
                <w:i w:val="0"/>
                <w:sz w:val="22"/>
                <w:szCs w:val="22"/>
              </w:rPr>
              <w:t>PP&amp;E</w:t>
            </w:r>
            <w:r w:rsidR="00971F16" w:rsidRPr="005B5418">
              <w:rPr>
                <w:rFonts w:cs="Arial"/>
                <w:bCs/>
                <w:i w:val="0"/>
                <w:sz w:val="22"/>
                <w:szCs w:val="22"/>
              </w:rPr>
              <w:t xml:space="preserve"> until the </w:t>
            </w:r>
            <w:r w:rsidR="000A0C1F" w:rsidRPr="005B5418">
              <w:rPr>
                <w:rFonts w:cs="Arial"/>
                <w:bCs/>
                <w:i w:val="0"/>
                <w:sz w:val="22"/>
                <w:szCs w:val="22"/>
              </w:rPr>
              <w:t>PP&amp;E</w:t>
            </w:r>
            <w:r w:rsidR="00971F16" w:rsidRPr="005B5418">
              <w:rPr>
                <w:rFonts w:cs="Arial"/>
                <w:bCs/>
                <w:i w:val="0"/>
                <w:sz w:val="22"/>
                <w:szCs w:val="22"/>
              </w:rPr>
              <w:t xml:space="preserve"> and the associated liability are transferred to another entity for cleanup. At that time, the </w:t>
            </w:r>
            <w:r w:rsidR="000A0C1F" w:rsidRPr="005B5418">
              <w:rPr>
                <w:rFonts w:cs="Arial"/>
                <w:bCs/>
                <w:i w:val="0"/>
                <w:sz w:val="22"/>
                <w:szCs w:val="22"/>
              </w:rPr>
              <w:t>PP&amp;E</w:t>
            </w:r>
            <w:r w:rsidR="00971F16" w:rsidRPr="005B5418">
              <w:rPr>
                <w:rFonts w:cs="Arial"/>
                <w:bCs/>
                <w:i w:val="0"/>
                <w:sz w:val="22"/>
                <w:szCs w:val="22"/>
              </w:rPr>
              <w:t xml:space="preserve"> and the liability should be </w:t>
            </w:r>
            <w:r w:rsidR="00DB7F5B" w:rsidRPr="005B5418">
              <w:rPr>
                <w:rFonts w:cs="Arial"/>
                <w:bCs/>
                <w:i w:val="0"/>
                <w:sz w:val="22"/>
                <w:szCs w:val="22"/>
              </w:rPr>
              <w:t>“d</w:t>
            </w:r>
            <w:r w:rsidR="00971F16" w:rsidRPr="005B5418">
              <w:rPr>
                <w:rFonts w:cs="Arial"/>
                <w:bCs/>
                <w:i w:val="0"/>
                <w:sz w:val="22"/>
                <w:szCs w:val="22"/>
              </w:rPr>
              <w:t>e-recognize</w:t>
            </w:r>
            <w:r w:rsidR="00DB7F5B" w:rsidRPr="005B5418">
              <w:rPr>
                <w:rFonts w:cs="Arial"/>
                <w:bCs/>
                <w:i w:val="0"/>
                <w:sz w:val="22"/>
                <w:szCs w:val="22"/>
              </w:rPr>
              <w:t>d”</w:t>
            </w:r>
            <w:r w:rsidR="00971F16" w:rsidRPr="005B5418">
              <w:rPr>
                <w:rFonts w:cs="Arial"/>
                <w:bCs/>
                <w:i w:val="0"/>
                <w:sz w:val="22"/>
                <w:szCs w:val="22"/>
              </w:rPr>
              <w:t xml:space="preserve"> by the component reporting entity that recognized them during the </w:t>
            </w:r>
            <w:r w:rsidR="000A0C1F" w:rsidRPr="005B5418">
              <w:rPr>
                <w:rFonts w:cs="Arial"/>
                <w:bCs/>
                <w:i w:val="0"/>
                <w:sz w:val="22"/>
                <w:szCs w:val="22"/>
              </w:rPr>
              <w:t>PP&amp;E</w:t>
            </w:r>
            <w:r w:rsidR="00971F16" w:rsidRPr="005B5418">
              <w:rPr>
                <w:rFonts w:cs="Arial"/>
                <w:bCs/>
                <w:i w:val="0"/>
                <w:sz w:val="22"/>
                <w:szCs w:val="22"/>
              </w:rPr>
              <w:t xml:space="preserve">’s useful life and </w:t>
            </w:r>
            <w:r w:rsidR="00754419" w:rsidRPr="005B5418">
              <w:rPr>
                <w:rFonts w:cs="Arial"/>
                <w:bCs/>
                <w:i w:val="0"/>
                <w:sz w:val="22"/>
                <w:szCs w:val="22"/>
              </w:rPr>
              <w:t xml:space="preserve">should be </w:t>
            </w:r>
            <w:r w:rsidR="00971F16" w:rsidRPr="005B5418">
              <w:rPr>
                <w:rFonts w:cs="Arial"/>
                <w:bCs/>
                <w:i w:val="0"/>
                <w:sz w:val="22"/>
                <w:szCs w:val="22"/>
              </w:rPr>
              <w:t>recognized by the component reporting entity that will liquidate the liability.</w:t>
            </w:r>
            <w:r w:rsidR="0000484F" w:rsidRPr="005B5418">
              <w:rPr>
                <w:rFonts w:cs="Arial"/>
                <w:bCs/>
                <w:i w:val="0"/>
                <w:sz w:val="22"/>
                <w:szCs w:val="22"/>
              </w:rPr>
              <w:t xml:space="preserve"> </w:t>
            </w:r>
            <w:r w:rsidR="00B77615" w:rsidRPr="005B5418">
              <w:rPr>
                <w:rFonts w:cs="Arial"/>
                <w:bCs/>
                <w:i w:val="0"/>
                <w:sz w:val="22"/>
                <w:szCs w:val="22"/>
              </w:rPr>
              <w:t>(FASAB Interpretation 9</w:t>
            </w:r>
            <w:r w:rsidR="002E16B9" w:rsidRPr="005B5418">
              <w:rPr>
                <w:rFonts w:cs="Arial"/>
                <w:bCs/>
                <w:i w:val="0"/>
                <w:sz w:val="22"/>
                <w:szCs w:val="22"/>
              </w:rPr>
              <w:t>,</w:t>
            </w:r>
            <w:r w:rsidR="00B77615" w:rsidRPr="005B5418">
              <w:rPr>
                <w:rFonts w:cs="Arial"/>
                <w:bCs/>
                <w:i w:val="0"/>
                <w:sz w:val="22"/>
                <w:szCs w:val="22"/>
              </w:rPr>
              <w:t xml:space="preserve"> par</w:t>
            </w:r>
            <w:r w:rsidR="002E16B9" w:rsidRPr="005B5418">
              <w:rPr>
                <w:rFonts w:cs="Arial"/>
                <w:bCs/>
                <w:i w:val="0"/>
                <w:sz w:val="22"/>
                <w:szCs w:val="22"/>
              </w:rPr>
              <w:t>as</w:t>
            </w:r>
            <w:r w:rsidR="00B77615" w:rsidRPr="005B5418">
              <w:rPr>
                <w:rFonts w:cs="Arial"/>
                <w:bCs/>
                <w:i w:val="0"/>
                <w:sz w:val="22"/>
                <w:szCs w:val="22"/>
              </w:rPr>
              <w:t>. 9</w:t>
            </w:r>
            <w:r w:rsidR="002E16B9" w:rsidRPr="005B5418">
              <w:rPr>
                <w:rFonts w:cs="Arial"/>
                <w:bCs/>
                <w:i w:val="0"/>
                <w:sz w:val="22"/>
                <w:szCs w:val="22"/>
              </w:rPr>
              <w:t>–</w:t>
            </w:r>
            <w:r w:rsidR="00B77615" w:rsidRPr="005B5418">
              <w:rPr>
                <w:rFonts w:cs="Arial"/>
                <w:bCs/>
                <w:i w:val="0"/>
                <w:sz w:val="22"/>
                <w:szCs w:val="22"/>
              </w:rPr>
              <w:t xml:space="preserve">11) </w:t>
            </w:r>
          </w:p>
          <w:p w14:paraId="0D96DC6E" w14:textId="1A25458F" w:rsidR="005957E2" w:rsidRPr="005B5418" w:rsidRDefault="000C0DEA" w:rsidP="00E678C2">
            <w:pPr>
              <w:pStyle w:val="BodyText"/>
              <w:spacing w:line="240" w:lineRule="auto"/>
              <w:rPr>
                <w:rFonts w:cs="Arial"/>
                <w:sz w:val="22"/>
                <w:szCs w:val="22"/>
              </w:rPr>
            </w:pPr>
            <w:r w:rsidRPr="005B5418">
              <w:rPr>
                <w:rFonts w:cs="Arial"/>
                <w:sz w:val="22"/>
                <w:szCs w:val="22"/>
              </w:rPr>
              <w:t xml:space="preserve">The environmental and disposal liabilities line item includes both </w:t>
            </w:r>
            <w:r w:rsidR="00E762B7" w:rsidRPr="005B5418">
              <w:rPr>
                <w:rFonts w:cs="Arial"/>
                <w:sz w:val="22"/>
                <w:szCs w:val="22"/>
              </w:rPr>
              <w:t xml:space="preserve">non-contingent and </w:t>
            </w:r>
            <w:r w:rsidRPr="005B5418">
              <w:rPr>
                <w:rFonts w:cs="Arial"/>
                <w:sz w:val="22"/>
                <w:szCs w:val="22"/>
              </w:rPr>
              <w:t xml:space="preserve">non-legal contingent environmental and disposal liabilities. Contingent liabilities related to litigation reported in the agency legal letter and/or management schedule, including environmental and disposal related litigation, are reported in the Other Liabilities line item. </w:t>
            </w:r>
          </w:p>
          <w:p w14:paraId="379F8AEF" w14:textId="22475138" w:rsidR="00551B62" w:rsidRPr="005B5418" w:rsidRDefault="00551B62" w:rsidP="00E678C2">
            <w:pPr>
              <w:pStyle w:val="BodyText"/>
              <w:spacing w:line="240" w:lineRule="auto"/>
              <w:rPr>
                <w:rFonts w:cs="Arial"/>
                <w:sz w:val="22"/>
                <w:szCs w:val="22"/>
              </w:rPr>
            </w:pPr>
            <w:r w:rsidRPr="005B5418">
              <w:rPr>
                <w:sz w:val="22"/>
                <w:szCs w:val="22"/>
              </w:rPr>
              <w:t>“Legal” refers to those contingencies and contingent liabilities that are reported in the legal letter and/or management schedule whereas “non-legal” refers to those contingencies and contingent liabilities that are not included in the legal letter or management schedule.</w:t>
            </w:r>
          </w:p>
          <w:p w14:paraId="1072B0BF" w14:textId="648DFC92" w:rsidR="000C0DEA" w:rsidRPr="005B5418" w:rsidRDefault="000C0DEA" w:rsidP="00E678C2">
            <w:pPr>
              <w:pStyle w:val="BodyText"/>
              <w:spacing w:line="240" w:lineRule="auto"/>
              <w:jc w:val="left"/>
              <w:rPr>
                <w:rFonts w:cs="Arial"/>
                <w:sz w:val="22"/>
                <w:szCs w:val="22"/>
              </w:rPr>
            </w:pPr>
            <w:r w:rsidRPr="005B5418">
              <w:rPr>
                <w:rFonts w:cs="Arial"/>
                <w:sz w:val="22"/>
                <w:szCs w:val="22"/>
              </w:rPr>
              <w:t>This note should include</w:t>
            </w:r>
            <w:r w:rsidR="00E37A19" w:rsidRPr="005B5418">
              <w:rPr>
                <w:rFonts w:cs="Arial"/>
                <w:sz w:val="22"/>
                <w:szCs w:val="22"/>
              </w:rPr>
              <w:t xml:space="preserve"> </w:t>
            </w:r>
            <w:r w:rsidRPr="005B5418">
              <w:rPr>
                <w:rFonts w:cs="Arial"/>
                <w:sz w:val="22"/>
                <w:szCs w:val="22"/>
              </w:rPr>
              <w:t>a</w:t>
            </w:r>
            <w:r w:rsidR="00E37A19" w:rsidRPr="005B5418">
              <w:rPr>
                <w:rFonts w:cs="Arial"/>
                <w:sz w:val="22"/>
                <w:szCs w:val="22"/>
              </w:rPr>
              <w:t xml:space="preserve"> </w:t>
            </w:r>
            <w:r w:rsidRPr="005B5418">
              <w:rPr>
                <w:rFonts w:cs="Arial"/>
                <w:sz w:val="22"/>
                <w:szCs w:val="22"/>
              </w:rPr>
              <w:t>reference to</w:t>
            </w:r>
            <w:r w:rsidR="00AA0330" w:rsidRPr="005B5418">
              <w:rPr>
                <w:rFonts w:cs="Arial"/>
                <w:sz w:val="22"/>
                <w:szCs w:val="22"/>
              </w:rPr>
              <w:t xml:space="preserve"> the</w:t>
            </w:r>
            <w:r w:rsidRPr="005B5418">
              <w:rPr>
                <w:rFonts w:cs="Arial"/>
                <w:sz w:val="22"/>
                <w:szCs w:val="22"/>
              </w:rPr>
              <w:t xml:space="preserve"> </w:t>
            </w:r>
            <w:r w:rsidR="00AA0330" w:rsidRPr="005B5418">
              <w:rPr>
                <w:rFonts w:cs="Arial"/>
                <w:sz w:val="22"/>
                <w:szCs w:val="22"/>
              </w:rPr>
              <w:t xml:space="preserve">Commitments and Contingencies </w:t>
            </w:r>
            <w:r w:rsidR="00ED0A84" w:rsidRPr="005B5418">
              <w:rPr>
                <w:rFonts w:cs="Arial"/>
                <w:sz w:val="22"/>
                <w:szCs w:val="22"/>
              </w:rPr>
              <w:t>note</w:t>
            </w:r>
            <w:r w:rsidRPr="005B5418">
              <w:rPr>
                <w:rFonts w:cs="Arial"/>
                <w:sz w:val="22"/>
                <w:szCs w:val="22"/>
              </w:rPr>
              <w:t xml:space="preserve"> if non-legal environmental and disposal contingencies are disclosed in </w:t>
            </w:r>
            <w:r w:rsidR="00AA0330" w:rsidRPr="005B5418">
              <w:rPr>
                <w:rFonts w:cs="Arial"/>
                <w:sz w:val="22"/>
                <w:szCs w:val="22"/>
              </w:rPr>
              <w:t>the</w:t>
            </w:r>
            <w:r w:rsidR="00AA0330" w:rsidRPr="005B5418">
              <w:t xml:space="preserve"> </w:t>
            </w:r>
            <w:r w:rsidR="00AA0330" w:rsidRPr="005B5418">
              <w:rPr>
                <w:rFonts w:cs="Arial"/>
                <w:sz w:val="22"/>
                <w:szCs w:val="22"/>
              </w:rPr>
              <w:t xml:space="preserve">Commitments and Contingencies </w:t>
            </w:r>
            <w:r w:rsidR="00ED0A84" w:rsidRPr="005B5418">
              <w:rPr>
                <w:rFonts w:cs="Arial"/>
                <w:sz w:val="22"/>
                <w:szCs w:val="22"/>
              </w:rPr>
              <w:t>note</w:t>
            </w:r>
            <w:r w:rsidRPr="005B5418">
              <w:rPr>
                <w:rFonts w:cs="Arial"/>
                <w:sz w:val="22"/>
                <w:szCs w:val="22"/>
              </w:rPr>
              <w:t>.</w:t>
            </w:r>
            <w:r w:rsidR="005957E2" w:rsidRPr="005B5418">
              <w:rPr>
                <w:rFonts w:cs="Arial"/>
                <w:sz w:val="22"/>
                <w:szCs w:val="22"/>
              </w:rPr>
              <w:t xml:space="preserve"> (A-136, section II.3.8.16)</w:t>
            </w:r>
          </w:p>
          <w:p w14:paraId="24590ADA" w14:textId="74BB2A57" w:rsidR="000C0DEA" w:rsidRPr="005B5418" w:rsidRDefault="000C0DEA" w:rsidP="008848DA">
            <w:pPr>
              <w:pStyle w:val="Table-Note"/>
              <w:spacing w:before="60" w:after="60" w:line="240" w:lineRule="auto"/>
              <w:ind w:left="0"/>
              <w:jc w:val="left"/>
              <w:rPr>
                <w:rFonts w:cs="Arial"/>
                <w:i w:val="0"/>
                <w:sz w:val="22"/>
                <w:szCs w:val="22"/>
              </w:rPr>
            </w:pPr>
          </w:p>
        </w:tc>
      </w:tr>
      <w:tr w:rsidR="00BB19D7" w:rsidRPr="005B5418" w14:paraId="3D32F7F5" w14:textId="77777777" w:rsidTr="00DA6DCF">
        <w:trPr>
          <w:cantSplit/>
          <w:trHeight w:val="1223"/>
        </w:trPr>
        <w:tc>
          <w:tcPr>
            <w:tcW w:w="5405" w:type="dxa"/>
          </w:tcPr>
          <w:p w14:paraId="7547BC7A" w14:textId="06CD015D" w:rsidR="00BB19D7" w:rsidRPr="005B5418" w:rsidRDefault="005F3CC0" w:rsidP="00825C76">
            <w:pPr>
              <w:pStyle w:val="BodyTextIndent2"/>
              <w:numPr>
                <w:ilvl w:val="0"/>
                <w:numId w:val="53"/>
              </w:numPr>
              <w:spacing w:before="60" w:after="60" w:line="240" w:lineRule="auto"/>
              <w:jc w:val="left"/>
              <w:rPr>
                <w:rFonts w:eastAsia="Arial Unicode MS" w:cs="Arial"/>
                <w:sz w:val="22"/>
                <w:szCs w:val="22"/>
              </w:rPr>
            </w:pPr>
            <w:r w:rsidRPr="005B5418">
              <w:rPr>
                <w:rFonts w:eastAsia="Arial Unicode MS" w:cs="Arial"/>
                <w:sz w:val="22"/>
                <w:szCs w:val="22"/>
              </w:rPr>
              <w:lastRenderedPageBreak/>
              <w:t>Is this topic applicable to the entity’s financial statements? (Answer Y if applicable, N/A if not applicable, or N/S if not significant. If N/A or N/S, skip to the next topic</w:t>
            </w:r>
            <w:r w:rsidR="00F303AF" w:rsidRPr="005B5418">
              <w:rPr>
                <w:rFonts w:eastAsia="Arial Unicode MS" w:cs="Arial"/>
                <w:sz w:val="22"/>
                <w:szCs w:val="22"/>
              </w:rPr>
              <w:t>.</w:t>
            </w:r>
            <w:r w:rsidRPr="005B5418">
              <w:rPr>
                <w:rFonts w:eastAsia="Arial Unicode MS" w:cs="Arial"/>
                <w:sz w:val="22"/>
                <w:szCs w:val="22"/>
              </w:rPr>
              <w:t>)</w:t>
            </w:r>
          </w:p>
        </w:tc>
        <w:tc>
          <w:tcPr>
            <w:tcW w:w="965" w:type="dxa"/>
          </w:tcPr>
          <w:p w14:paraId="5C169485" w14:textId="77777777" w:rsidR="00BB19D7" w:rsidRPr="005B5418" w:rsidRDefault="00BB19D7" w:rsidP="008848DA">
            <w:pPr>
              <w:pStyle w:val="Table-Cell-CenterBoldBefore6ptAfter6pt"/>
              <w:spacing w:before="60" w:after="60"/>
              <w:rPr>
                <w:rFonts w:cs="Arial"/>
                <w:lang w:val="pt-BR"/>
              </w:rPr>
            </w:pPr>
          </w:p>
        </w:tc>
        <w:tc>
          <w:tcPr>
            <w:tcW w:w="3211" w:type="dxa"/>
          </w:tcPr>
          <w:p w14:paraId="694CAA6D" w14:textId="77777777" w:rsidR="00BB19D7" w:rsidRPr="005B5418" w:rsidRDefault="00BB19D7" w:rsidP="008848DA">
            <w:pPr>
              <w:spacing w:before="60" w:after="60" w:line="240" w:lineRule="auto"/>
              <w:rPr>
                <w:rFonts w:cs="Arial"/>
                <w:lang w:val="pt-BR"/>
              </w:rPr>
            </w:pPr>
          </w:p>
        </w:tc>
      </w:tr>
      <w:tr w:rsidR="00BB19D7" w:rsidRPr="005B5418" w14:paraId="4B91CA4C" w14:textId="77777777" w:rsidTr="00DA6DCF">
        <w:trPr>
          <w:cantSplit/>
          <w:trHeight w:val="359"/>
        </w:trPr>
        <w:tc>
          <w:tcPr>
            <w:tcW w:w="9581" w:type="dxa"/>
            <w:gridSpan w:val="3"/>
          </w:tcPr>
          <w:p w14:paraId="675F3C1B" w14:textId="77777777" w:rsidR="00BB19D7" w:rsidRPr="005B5418" w:rsidRDefault="00BB19D7" w:rsidP="008848DA">
            <w:pPr>
              <w:spacing w:before="60" w:after="60" w:line="240" w:lineRule="auto"/>
              <w:rPr>
                <w:rFonts w:ascii="Arial" w:hAnsi="Arial" w:cs="Arial"/>
                <w:b/>
              </w:rPr>
            </w:pPr>
            <w:r w:rsidRPr="005B5418">
              <w:rPr>
                <w:rFonts w:ascii="Arial" w:hAnsi="Arial" w:cs="Arial"/>
                <w:b/>
              </w:rPr>
              <w:t>Accounting</w:t>
            </w:r>
          </w:p>
        </w:tc>
      </w:tr>
      <w:tr w:rsidR="001240A5" w:rsidRPr="005B5418" w14:paraId="0D34E9A0" w14:textId="77777777" w:rsidTr="00DA6DCF">
        <w:trPr>
          <w:cantSplit/>
          <w:trHeight w:val="1223"/>
        </w:trPr>
        <w:tc>
          <w:tcPr>
            <w:tcW w:w="5405" w:type="dxa"/>
          </w:tcPr>
          <w:p w14:paraId="330AB46E" w14:textId="4D7B5D7D" w:rsidR="001240A5" w:rsidRPr="005B5418" w:rsidRDefault="001240A5" w:rsidP="00825C76">
            <w:pPr>
              <w:pStyle w:val="BodyTextIndent2"/>
              <w:numPr>
                <w:ilvl w:val="0"/>
                <w:numId w:val="53"/>
              </w:numPr>
              <w:spacing w:before="60" w:after="60" w:line="240" w:lineRule="auto"/>
              <w:jc w:val="left"/>
              <w:rPr>
                <w:rFonts w:eastAsia="Arial Unicode MS"/>
                <w:sz w:val="22"/>
                <w:szCs w:val="22"/>
              </w:rPr>
            </w:pPr>
            <w:r w:rsidRPr="005B5418">
              <w:rPr>
                <w:rFonts w:eastAsia="Arial Unicode MS" w:cs="Arial"/>
                <w:sz w:val="22"/>
                <w:szCs w:val="22"/>
              </w:rPr>
              <w:t>When PP&amp;E is placed into service, does the entity estimate the associated cleanup costs? (SFFAS 6, par</w:t>
            </w:r>
            <w:r w:rsidR="00AA13EF" w:rsidRPr="005B5418">
              <w:rPr>
                <w:rFonts w:eastAsia="Arial Unicode MS" w:cs="Arial"/>
                <w:sz w:val="22"/>
                <w:szCs w:val="22"/>
              </w:rPr>
              <w:t>a</w:t>
            </w:r>
            <w:r w:rsidRPr="005B5418">
              <w:rPr>
                <w:rFonts w:eastAsia="Arial Unicode MS" w:cs="Arial"/>
                <w:sz w:val="22"/>
                <w:szCs w:val="22"/>
              </w:rPr>
              <w:t>. 94)</w:t>
            </w:r>
          </w:p>
        </w:tc>
        <w:tc>
          <w:tcPr>
            <w:tcW w:w="965" w:type="dxa"/>
          </w:tcPr>
          <w:p w14:paraId="3CB8AC3D" w14:textId="77777777" w:rsidR="001240A5" w:rsidRPr="005B5418" w:rsidRDefault="001240A5" w:rsidP="008848DA">
            <w:pPr>
              <w:pStyle w:val="Table-Cell-CenterBoldBefore6ptAfter6pt"/>
              <w:spacing w:before="60" w:after="60"/>
              <w:rPr>
                <w:rFonts w:cs="Arial"/>
                <w:lang w:val="pt-BR"/>
              </w:rPr>
            </w:pPr>
          </w:p>
        </w:tc>
        <w:tc>
          <w:tcPr>
            <w:tcW w:w="3211" w:type="dxa"/>
          </w:tcPr>
          <w:p w14:paraId="13B4768E" w14:textId="77777777" w:rsidR="001240A5" w:rsidRPr="005B5418" w:rsidRDefault="001240A5" w:rsidP="008848DA">
            <w:pPr>
              <w:spacing w:before="60" w:after="60" w:line="240" w:lineRule="auto"/>
              <w:rPr>
                <w:rFonts w:cs="Arial"/>
                <w:lang w:val="pt-BR"/>
              </w:rPr>
            </w:pPr>
          </w:p>
        </w:tc>
      </w:tr>
      <w:tr w:rsidR="001240A5" w:rsidRPr="005B5418" w14:paraId="4234E88C" w14:textId="77777777" w:rsidTr="00DA6DCF">
        <w:trPr>
          <w:cantSplit/>
          <w:trHeight w:val="1511"/>
        </w:trPr>
        <w:tc>
          <w:tcPr>
            <w:tcW w:w="5405" w:type="dxa"/>
          </w:tcPr>
          <w:p w14:paraId="41F34FE7" w14:textId="77777777" w:rsidR="001240A5" w:rsidRPr="005B5418" w:rsidRDefault="001240A5" w:rsidP="00CC7F86">
            <w:pPr>
              <w:pStyle w:val="FAM-Table-outline"/>
              <w:spacing w:line="240" w:lineRule="auto"/>
              <w:rPr>
                <w:rFonts w:eastAsia="Arial Unicode MS"/>
              </w:rPr>
            </w:pPr>
            <w:r w:rsidRPr="005B5418">
              <w:rPr>
                <w:rFonts w:eastAsia="Arial Unicode MS"/>
              </w:rPr>
              <w:t>In estimating cleanup costs and liability, has the entity evaluated</w:t>
            </w:r>
          </w:p>
          <w:p w14:paraId="2E4D3446" w14:textId="77777777" w:rsidR="001240A5" w:rsidRPr="005B5418" w:rsidRDefault="001240A5" w:rsidP="005425ED">
            <w:pPr>
              <w:pStyle w:val="FAM-Table-outline2"/>
              <w:spacing w:line="240" w:lineRule="auto"/>
              <w:ind w:left="1140" w:hanging="443"/>
            </w:pPr>
            <w:r w:rsidRPr="005B5418">
              <w:t>the level of restoration to be performed,</w:t>
            </w:r>
          </w:p>
          <w:p w14:paraId="62DB35B9" w14:textId="77777777" w:rsidR="001240A5" w:rsidRPr="005B5418" w:rsidRDefault="001240A5" w:rsidP="005425ED">
            <w:pPr>
              <w:pStyle w:val="FAM-Table-outline2"/>
              <w:spacing w:line="240" w:lineRule="auto"/>
              <w:ind w:left="1140" w:hanging="443"/>
            </w:pPr>
            <w:r w:rsidRPr="005B5418">
              <w:t>current legal and regulatory requirements,</w:t>
            </w:r>
          </w:p>
          <w:p w14:paraId="0EA8E150" w14:textId="77777777" w:rsidR="001240A5" w:rsidRPr="005B5418" w:rsidRDefault="001240A5" w:rsidP="005425ED">
            <w:pPr>
              <w:pStyle w:val="FAM-Table-outline2"/>
              <w:spacing w:line="240" w:lineRule="auto"/>
              <w:ind w:left="1140" w:hanging="443"/>
            </w:pPr>
            <w:r w:rsidRPr="005B5418">
              <w:t>current technology, and</w:t>
            </w:r>
          </w:p>
          <w:p w14:paraId="7FD86B23" w14:textId="70682B87" w:rsidR="001240A5" w:rsidRPr="005B5418" w:rsidRDefault="001240A5" w:rsidP="005425ED">
            <w:pPr>
              <w:pStyle w:val="FAM-Table-outline2"/>
              <w:spacing w:line="240" w:lineRule="auto"/>
              <w:ind w:left="1140" w:hanging="443"/>
              <w:rPr>
                <w:rFonts w:eastAsia="Arial Unicode MS"/>
              </w:rPr>
            </w:pPr>
            <w:r w:rsidRPr="005B5418">
              <w:t>current costs (i.e., amount that would be paid if all goods and services included in the cleanup estimate were acquired in the current period)?</w:t>
            </w:r>
            <w:r w:rsidR="00E61FE5" w:rsidRPr="005B5418">
              <w:t xml:space="preserve"> </w:t>
            </w:r>
            <w:r w:rsidRPr="005B5418">
              <w:t>(SFFAS 6, par</w:t>
            </w:r>
            <w:r w:rsidR="00645CC7" w:rsidRPr="005B5418">
              <w:t>a</w:t>
            </w:r>
            <w:r w:rsidRPr="005B5418">
              <w:t>. 95)</w:t>
            </w:r>
          </w:p>
        </w:tc>
        <w:tc>
          <w:tcPr>
            <w:tcW w:w="965" w:type="dxa"/>
          </w:tcPr>
          <w:p w14:paraId="2C931CF2" w14:textId="77777777" w:rsidR="001240A5" w:rsidRPr="005B5418" w:rsidRDefault="001240A5" w:rsidP="008848DA">
            <w:pPr>
              <w:pStyle w:val="Table-Cell-CenterBoldBefore6ptAfter6pt"/>
              <w:spacing w:before="60" w:after="60"/>
              <w:rPr>
                <w:rFonts w:cs="Arial"/>
                <w:lang w:val="pt-BR"/>
              </w:rPr>
            </w:pPr>
          </w:p>
        </w:tc>
        <w:tc>
          <w:tcPr>
            <w:tcW w:w="3211" w:type="dxa"/>
          </w:tcPr>
          <w:p w14:paraId="22CA33E0" w14:textId="77777777" w:rsidR="001240A5" w:rsidRPr="005B5418" w:rsidRDefault="001240A5" w:rsidP="008848DA">
            <w:pPr>
              <w:spacing w:before="60" w:after="60" w:line="240" w:lineRule="auto"/>
              <w:rPr>
                <w:rFonts w:cs="Arial"/>
                <w:lang w:val="pt-BR"/>
              </w:rPr>
            </w:pPr>
          </w:p>
        </w:tc>
      </w:tr>
      <w:tr w:rsidR="001240A5" w:rsidRPr="005B5418" w14:paraId="2E55BF01" w14:textId="77777777" w:rsidTr="00DA6DCF">
        <w:trPr>
          <w:cantSplit/>
          <w:trHeight w:val="1511"/>
        </w:trPr>
        <w:tc>
          <w:tcPr>
            <w:tcW w:w="5405" w:type="dxa"/>
          </w:tcPr>
          <w:p w14:paraId="02CA2A57" w14:textId="1A15D9B6" w:rsidR="001240A5" w:rsidRPr="005B5418" w:rsidRDefault="001240A5" w:rsidP="00825C76">
            <w:pPr>
              <w:pStyle w:val="BodyTextIndent2"/>
              <w:numPr>
                <w:ilvl w:val="0"/>
                <w:numId w:val="53"/>
              </w:numPr>
              <w:spacing w:before="60" w:after="60" w:line="240" w:lineRule="auto"/>
              <w:jc w:val="left"/>
              <w:rPr>
                <w:rFonts w:eastAsia="Arial Unicode MS"/>
                <w:sz w:val="22"/>
                <w:szCs w:val="22"/>
              </w:rPr>
            </w:pPr>
            <w:r w:rsidRPr="005B5418">
              <w:rPr>
                <w:rFonts w:eastAsia="Arial Unicode MS"/>
                <w:sz w:val="22"/>
                <w:szCs w:val="22"/>
              </w:rPr>
              <w:t xml:space="preserve">Are estimated cleanup costs periodically revised to account for material changes due to inflation or deflation and changes in </w:t>
            </w:r>
            <w:r w:rsidR="000327A6" w:rsidRPr="005B5418">
              <w:rPr>
                <w:rFonts w:eastAsia="Arial Unicode MS"/>
                <w:sz w:val="22"/>
                <w:szCs w:val="22"/>
              </w:rPr>
              <w:t>laws/</w:t>
            </w:r>
            <w:r w:rsidRPr="005B5418">
              <w:rPr>
                <w:rFonts w:eastAsia="Arial Unicode MS"/>
                <w:sz w:val="22"/>
                <w:szCs w:val="22"/>
              </w:rPr>
              <w:t>regulations, plans, and/or technology? (SFFAS 6, par</w:t>
            </w:r>
            <w:r w:rsidR="00645CC7" w:rsidRPr="005B5418">
              <w:rPr>
                <w:rFonts w:eastAsia="Arial Unicode MS"/>
                <w:sz w:val="22"/>
                <w:szCs w:val="22"/>
              </w:rPr>
              <w:t>a</w:t>
            </w:r>
            <w:r w:rsidRPr="005B5418">
              <w:rPr>
                <w:rFonts w:eastAsia="Arial Unicode MS"/>
                <w:sz w:val="22"/>
                <w:szCs w:val="22"/>
              </w:rPr>
              <w:t>. 96)</w:t>
            </w:r>
          </w:p>
        </w:tc>
        <w:tc>
          <w:tcPr>
            <w:tcW w:w="965" w:type="dxa"/>
          </w:tcPr>
          <w:p w14:paraId="20C6F92A" w14:textId="77777777" w:rsidR="001240A5" w:rsidRPr="005B5418" w:rsidRDefault="001240A5" w:rsidP="008848DA">
            <w:pPr>
              <w:pStyle w:val="Table-Cell-CenterBoldBefore6ptAfter6pt"/>
              <w:spacing w:before="60" w:after="60"/>
              <w:rPr>
                <w:rFonts w:cs="Arial"/>
                <w:lang w:val="pt-BR"/>
              </w:rPr>
            </w:pPr>
          </w:p>
        </w:tc>
        <w:tc>
          <w:tcPr>
            <w:tcW w:w="3211" w:type="dxa"/>
          </w:tcPr>
          <w:p w14:paraId="0C518486" w14:textId="77777777" w:rsidR="001240A5" w:rsidRPr="005B5418" w:rsidRDefault="001240A5" w:rsidP="008848DA">
            <w:pPr>
              <w:spacing w:before="60" w:after="60" w:line="240" w:lineRule="auto"/>
              <w:rPr>
                <w:rFonts w:cs="Arial"/>
                <w:lang w:val="pt-BR"/>
              </w:rPr>
            </w:pPr>
          </w:p>
        </w:tc>
      </w:tr>
      <w:tr w:rsidR="001240A5" w:rsidRPr="005B5418" w14:paraId="40EF6E05" w14:textId="77777777" w:rsidTr="00DA6DCF">
        <w:trPr>
          <w:cantSplit/>
          <w:trHeight w:val="1511"/>
        </w:trPr>
        <w:tc>
          <w:tcPr>
            <w:tcW w:w="5405" w:type="dxa"/>
          </w:tcPr>
          <w:p w14:paraId="2A8D574A" w14:textId="7D16B706" w:rsidR="001240A5" w:rsidRPr="005B5418" w:rsidRDefault="001240A5" w:rsidP="00CC7F86">
            <w:pPr>
              <w:pStyle w:val="FAM-Table-outline"/>
              <w:spacing w:line="240" w:lineRule="auto"/>
              <w:rPr>
                <w:rFonts w:eastAsia="Arial Unicode MS"/>
              </w:rPr>
            </w:pPr>
            <w:r w:rsidRPr="005B5418">
              <w:rPr>
                <w:rFonts w:eastAsia="Arial Unicode MS"/>
              </w:rPr>
              <w:t xml:space="preserve">When PP&amp;E is placed into service, does the entity recognize cleanup costs during each period that </w:t>
            </w:r>
            <w:r w:rsidR="000A0C1F" w:rsidRPr="005B5418">
              <w:rPr>
                <w:rFonts w:eastAsia="Arial Unicode MS"/>
              </w:rPr>
              <w:t>PP&amp;E</w:t>
            </w:r>
            <w:r w:rsidRPr="005B5418">
              <w:rPr>
                <w:rFonts w:eastAsia="Arial Unicode MS"/>
              </w:rPr>
              <w:t xml:space="preserve"> is in operation</w:t>
            </w:r>
            <w:r w:rsidR="00D04998" w:rsidRPr="005B5418">
              <w:rPr>
                <w:rFonts w:eastAsia="Arial Unicode MS"/>
              </w:rPr>
              <w:t>,</w:t>
            </w:r>
            <w:r w:rsidR="009C3A34" w:rsidRPr="005B5418">
              <w:rPr>
                <w:rStyle w:val="FootnoteReference"/>
                <w:rFonts w:eastAsia="Arial Unicode MS"/>
              </w:rPr>
              <w:footnoteReference w:id="174"/>
            </w:r>
            <w:r w:rsidRPr="005B5418">
              <w:rPr>
                <w:rFonts w:eastAsia="Arial Unicode MS"/>
              </w:rPr>
              <w:t xml:space="preserve"> in a systematic and rational manner based on either</w:t>
            </w:r>
          </w:p>
          <w:p w14:paraId="0B5A8821" w14:textId="28B035B7" w:rsidR="001240A5" w:rsidRPr="005B5418" w:rsidRDefault="001240A5" w:rsidP="005425ED">
            <w:pPr>
              <w:pStyle w:val="FAM-Table-outline2"/>
              <w:spacing w:line="240" w:lineRule="auto"/>
              <w:ind w:left="1140" w:hanging="443"/>
            </w:pPr>
            <w:r w:rsidRPr="005B5418">
              <w:t>physical capacity of the PP&amp;E (e.g., expected usable landfill area) or</w:t>
            </w:r>
          </w:p>
          <w:p w14:paraId="2B251017" w14:textId="7DB40B23" w:rsidR="001240A5" w:rsidRPr="005B5418" w:rsidRDefault="001240A5" w:rsidP="005425ED">
            <w:pPr>
              <w:pStyle w:val="FAM-Table-outline2"/>
              <w:spacing w:line="240" w:lineRule="auto"/>
              <w:ind w:left="1140" w:hanging="443"/>
              <w:rPr>
                <w:rFonts w:eastAsia="Arial Unicode MS"/>
              </w:rPr>
            </w:pPr>
            <w:r w:rsidRPr="005B5418">
              <w:t>the estimated useful life of the associated PP&amp;E (if physical capacity is not applicable or estimable)? (SFFAS 6, par</w:t>
            </w:r>
            <w:r w:rsidR="00645CC7" w:rsidRPr="005B5418">
              <w:t>a</w:t>
            </w:r>
            <w:r w:rsidRPr="005B5418">
              <w:t>. 97)</w:t>
            </w:r>
          </w:p>
        </w:tc>
        <w:tc>
          <w:tcPr>
            <w:tcW w:w="965" w:type="dxa"/>
          </w:tcPr>
          <w:p w14:paraId="47E6FB60" w14:textId="77777777" w:rsidR="001240A5" w:rsidRPr="005B5418" w:rsidRDefault="001240A5" w:rsidP="008848DA">
            <w:pPr>
              <w:pStyle w:val="Table-Cell-CenterBoldBefore6ptAfter6pt"/>
              <w:spacing w:before="60" w:after="60"/>
              <w:rPr>
                <w:rFonts w:cs="Arial"/>
                <w:lang w:val="pt-BR"/>
              </w:rPr>
            </w:pPr>
          </w:p>
        </w:tc>
        <w:tc>
          <w:tcPr>
            <w:tcW w:w="3211" w:type="dxa"/>
          </w:tcPr>
          <w:p w14:paraId="0346747C" w14:textId="77777777" w:rsidR="001240A5" w:rsidRPr="005B5418" w:rsidRDefault="001240A5" w:rsidP="008848DA">
            <w:pPr>
              <w:spacing w:before="60" w:after="60" w:line="240" w:lineRule="auto"/>
              <w:rPr>
                <w:rFonts w:cs="Arial"/>
                <w:lang w:val="pt-BR"/>
              </w:rPr>
            </w:pPr>
          </w:p>
        </w:tc>
      </w:tr>
      <w:tr w:rsidR="001240A5" w:rsidRPr="005B5418" w14:paraId="1F37A1E9" w14:textId="77777777" w:rsidTr="00DA6DCF">
        <w:trPr>
          <w:cantSplit/>
          <w:trHeight w:val="1511"/>
        </w:trPr>
        <w:tc>
          <w:tcPr>
            <w:tcW w:w="5405" w:type="dxa"/>
            <w:vAlign w:val="center"/>
          </w:tcPr>
          <w:p w14:paraId="3C5C9FC5" w14:textId="62BDCD98" w:rsidR="001240A5" w:rsidRPr="005B5418" w:rsidRDefault="001240A5" w:rsidP="00825C76">
            <w:pPr>
              <w:pStyle w:val="BodyTextIndent2"/>
              <w:numPr>
                <w:ilvl w:val="0"/>
                <w:numId w:val="53"/>
              </w:numPr>
              <w:spacing w:before="60" w:after="60" w:line="240" w:lineRule="auto"/>
              <w:jc w:val="left"/>
              <w:rPr>
                <w:rFonts w:eastAsia="Arial Unicode MS"/>
                <w:sz w:val="22"/>
                <w:szCs w:val="22"/>
              </w:rPr>
            </w:pPr>
            <w:r w:rsidRPr="005B5418">
              <w:rPr>
                <w:rFonts w:eastAsia="Arial Unicode MS"/>
                <w:sz w:val="22"/>
                <w:szCs w:val="22"/>
              </w:rPr>
              <w:lastRenderedPageBreak/>
              <w:t>Do recognition of the cleanup costs and the accumulation of the related liability begin on the date that the associated PP&amp;E is placed into service, continue in each period that operation continues, and end when the PP&amp;E ceases operation? (SFFAS 6, par</w:t>
            </w:r>
            <w:r w:rsidR="00645CC7" w:rsidRPr="005B5418">
              <w:rPr>
                <w:rFonts w:eastAsia="Arial Unicode MS"/>
                <w:sz w:val="22"/>
                <w:szCs w:val="22"/>
              </w:rPr>
              <w:t>a</w:t>
            </w:r>
            <w:r w:rsidRPr="005B5418">
              <w:rPr>
                <w:rFonts w:eastAsia="Arial Unicode MS"/>
                <w:sz w:val="22"/>
                <w:szCs w:val="22"/>
              </w:rPr>
              <w:t>. 98)</w:t>
            </w:r>
          </w:p>
        </w:tc>
        <w:tc>
          <w:tcPr>
            <w:tcW w:w="965" w:type="dxa"/>
          </w:tcPr>
          <w:p w14:paraId="486A0CE7" w14:textId="77777777" w:rsidR="001240A5" w:rsidRPr="005B5418" w:rsidRDefault="001240A5" w:rsidP="008848DA">
            <w:pPr>
              <w:pStyle w:val="Table-Cell-CenterBoldBefore6ptAfter6pt"/>
              <w:spacing w:before="60" w:after="60"/>
              <w:rPr>
                <w:rFonts w:cs="Arial"/>
                <w:lang w:val="pt-BR"/>
              </w:rPr>
            </w:pPr>
          </w:p>
        </w:tc>
        <w:tc>
          <w:tcPr>
            <w:tcW w:w="3211" w:type="dxa"/>
          </w:tcPr>
          <w:p w14:paraId="277DC692" w14:textId="77777777" w:rsidR="001240A5" w:rsidRPr="005B5418" w:rsidRDefault="001240A5" w:rsidP="008848DA">
            <w:pPr>
              <w:spacing w:before="60" w:after="60" w:line="240" w:lineRule="auto"/>
              <w:rPr>
                <w:rFonts w:cs="Arial"/>
                <w:lang w:val="pt-BR"/>
              </w:rPr>
            </w:pPr>
          </w:p>
        </w:tc>
      </w:tr>
      <w:tr w:rsidR="001240A5" w:rsidRPr="005B5418" w14:paraId="3DE97813" w14:textId="77777777" w:rsidTr="00DA6DCF">
        <w:trPr>
          <w:cantSplit/>
          <w:trHeight w:val="1511"/>
        </w:trPr>
        <w:tc>
          <w:tcPr>
            <w:tcW w:w="5405" w:type="dxa"/>
            <w:vAlign w:val="center"/>
          </w:tcPr>
          <w:p w14:paraId="344B3D70" w14:textId="66D9E787" w:rsidR="001240A5" w:rsidRPr="005B5418" w:rsidRDefault="001240A5" w:rsidP="00825C76">
            <w:pPr>
              <w:pStyle w:val="BodyTextIndent2"/>
              <w:numPr>
                <w:ilvl w:val="0"/>
                <w:numId w:val="53"/>
              </w:numPr>
              <w:spacing w:before="60" w:after="60" w:line="240" w:lineRule="auto"/>
              <w:jc w:val="left"/>
              <w:rPr>
                <w:rFonts w:eastAsia="Arial Unicode MS"/>
                <w:sz w:val="22"/>
                <w:szCs w:val="22"/>
              </w:rPr>
            </w:pPr>
            <w:r w:rsidRPr="005B5418">
              <w:rPr>
                <w:rFonts w:eastAsia="Arial Unicode MS"/>
                <w:sz w:val="22"/>
                <w:szCs w:val="22"/>
              </w:rPr>
              <w:t>If cleanup costs are reestimated, are the cumulative effects of changes in total estimated cleanup costs related to current and past operations of PP&amp;E immediately recognized as an expense</w:t>
            </w:r>
            <w:r w:rsidR="00645CC7" w:rsidRPr="005B5418">
              <w:rPr>
                <w:rFonts w:eastAsia="Arial Unicode MS"/>
                <w:sz w:val="22"/>
                <w:szCs w:val="22"/>
              </w:rPr>
              <w:t>,</w:t>
            </w:r>
            <w:r w:rsidRPr="005B5418">
              <w:rPr>
                <w:rFonts w:eastAsia="Arial Unicode MS"/>
                <w:sz w:val="22"/>
                <w:szCs w:val="22"/>
              </w:rPr>
              <w:t xml:space="preserve"> and is the corresponding liability adjusted? (SFFAS 6, par</w:t>
            </w:r>
            <w:r w:rsidR="00645CC7" w:rsidRPr="005B5418">
              <w:rPr>
                <w:rFonts w:eastAsia="Arial Unicode MS"/>
                <w:sz w:val="22"/>
                <w:szCs w:val="22"/>
              </w:rPr>
              <w:t>a</w:t>
            </w:r>
            <w:r w:rsidRPr="005B5418">
              <w:rPr>
                <w:rFonts w:eastAsia="Arial Unicode MS"/>
                <w:sz w:val="22"/>
                <w:szCs w:val="22"/>
              </w:rPr>
              <w:t>. 99)</w:t>
            </w:r>
          </w:p>
        </w:tc>
        <w:tc>
          <w:tcPr>
            <w:tcW w:w="965" w:type="dxa"/>
          </w:tcPr>
          <w:p w14:paraId="4580CAB4" w14:textId="77777777" w:rsidR="001240A5" w:rsidRPr="005B5418" w:rsidRDefault="001240A5" w:rsidP="008848DA">
            <w:pPr>
              <w:pStyle w:val="Table-Cell-CenterBoldBefore6ptAfter6pt"/>
              <w:spacing w:before="60" w:after="60"/>
              <w:rPr>
                <w:rFonts w:cs="Arial"/>
                <w:lang w:val="pt-BR"/>
              </w:rPr>
            </w:pPr>
          </w:p>
        </w:tc>
        <w:tc>
          <w:tcPr>
            <w:tcW w:w="3211" w:type="dxa"/>
          </w:tcPr>
          <w:p w14:paraId="78ED2D22" w14:textId="77777777" w:rsidR="001240A5" w:rsidRPr="005B5418" w:rsidRDefault="001240A5" w:rsidP="008848DA">
            <w:pPr>
              <w:spacing w:before="60" w:after="60" w:line="240" w:lineRule="auto"/>
              <w:rPr>
                <w:rFonts w:cs="Arial"/>
                <w:lang w:val="pt-BR"/>
              </w:rPr>
            </w:pPr>
          </w:p>
        </w:tc>
      </w:tr>
      <w:tr w:rsidR="001240A5" w:rsidRPr="005B5418" w14:paraId="289BF723" w14:textId="77777777" w:rsidTr="00DA6DCF">
        <w:trPr>
          <w:cantSplit/>
          <w:trHeight w:val="1511"/>
        </w:trPr>
        <w:tc>
          <w:tcPr>
            <w:tcW w:w="5405" w:type="dxa"/>
          </w:tcPr>
          <w:p w14:paraId="40B03B28" w14:textId="00DE6526" w:rsidR="001240A5" w:rsidRPr="005B5418" w:rsidRDefault="001240A5" w:rsidP="00E51D94">
            <w:pPr>
              <w:pStyle w:val="BodyTextIndent2"/>
              <w:numPr>
                <w:ilvl w:val="0"/>
                <w:numId w:val="53"/>
              </w:numPr>
              <w:spacing w:before="60" w:after="60" w:line="240" w:lineRule="auto"/>
              <w:jc w:val="left"/>
              <w:rPr>
                <w:rFonts w:eastAsia="Arial Unicode MS"/>
                <w:sz w:val="22"/>
                <w:szCs w:val="22"/>
              </w:rPr>
            </w:pPr>
            <w:r w:rsidRPr="005B5418">
              <w:rPr>
                <w:rFonts w:eastAsia="Arial Unicode MS"/>
                <w:sz w:val="22"/>
                <w:szCs w:val="22"/>
              </w:rPr>
              <w:t xml:space="preserve">When </w:t>
            </w:r>
            <w:r w:rsidR="00E51D94" w:rsidRPr="005B5418">
              <w:rPr>
                <w:rFonts w:eastAsia="Arial Unicode MS"/>
                <w:sz w:val="22"/>
                <w:szCs w:val="22"/>
              </w:rPr>
              <w:t xml:space="preserve">stewardship </w:t>
            </w:r>
            <w:r w:rsidRPr="005B5418">
              <w:rPr>
                <w:rFonts w:eastAsia="Arial Unicode MS"/>
                <w:sz w:val="22"/>
                <w:szCs w:val="22"/>
              </w:rPr>
              <w:t xml:space="preserve">PP&amp;E is placed into service, does the entity expense the total estimated cleanup costs and establish a liability in the period </w:t>
            </w:r>
            <w:r w:rsidR="00186660" w:rsidRPr="005B5418">
              <w:rPr>
                <w:rFonts w:eastAsia="Arial Unicode MS"/>
                <w:sz w:val="22"/>
                <w:szCs w:val="22"/>
              </w:rPr>
              <w:t xml:space="preserve">that </w:t>
            </w:r>
            <w:r w:rsidRPr="005B5418">
              <w:rPr>
                <w:rFonts w:eastAsia="Arial Unicode MS"/>
                <w:sz w:val="22"/>
                <w:szCs w:val="22"/>
              </w:rPr>
              <w:t>the asset is placed into service? (SFFAS 6, par</w:t>
            </w:r>
            <w:r w:rsidR="00186660" w:rsidRPr="005B5418">
              <w:rPr>
                <w:rFonts w:eastAsia="Arial Unicode MS"/>
                <w:sz w:val="22"/>
                <w:szCs w:val="22"/>
              </w:rPr>
              <w:t>a</w:t>
            </w:r>
            <w:r w:rsidRPr="005B5418">
              <w:rPr>
                <w:rFonts w:eastAsia="Arial Unicode MS"/>
                <w:sz w:val="22"/>
                <w:szCs w:val="22"/>
              </w:rPr>
              <w:t>. 101)</w:t>
            </w:r>
          </w:p>
        </w:tc>
        <w:tc>
          <w:tcPr>
            <w:tcW w:w="965" w:type="dxa"/>
          </w:tcPr>
          <w:p w14:paraId="43DA4798" w14:textId="77777777" w:rsidR="001240A5" w:rsidRPr="005B5418" w:rsidRDefault="001240A5" w:rsidP="008848DA">
            <w:pPr>
              <w:pStyle w:val="Table-Cell-CenterBoldBefore6ptAfter6pt"/>
              <w:spacing w:before="60" w:after="60"/>
              <w:rPr>
                <w:rFonts w:cs="Arial"/>
                <w:lang w:val="pt-BR"/>
              </w:rPr>
            </w:pPr>
          </w:p>
        </w:tc>
        <w:tc>
          <w:tcPr>
            <w:tcW w:w="3211" w:type="dxa"/>
          </w:tcPr>
          <w:p w14:paraId="27F978CC" w14:textId="77777777" w:rsidR="001240A5" w:rsidRPr="005B5418" w:rsidRDefault="001240A5" w:rsidP="008848DA">
            <w:pPr>
              <w:spacing w:before="60" w:after="60" w:line="240" w:lineRule="auto"/>
              <w:rPr>
                <w:rFonts w:cs="Arial"/>
                <w:lang w:val="pt-BR"/>
              </w:rPr>
            </w:pPr>
          </w:p>
        </w:tc>
      </w:tr>
      <w:tr w:rsidR="001240A5" w:rsidRPr="005B5418" w14:paraId="5FBA87FD" w14:textId="77777777" w:rsidTr="00DA6DCF">
        <w:trPr>
          <w:cantSplit/>
          <w:trHeight w:val="1511"/>
        </w:trPr>
        <w:tc>
          <w:tcPr>
            <w:tcW w:w="5405" w:type="dxa"/>
          </w:tcPr>
          <w:p w14:paraId="0264C911" w14:textId="683CFF72" w:rsidR="001240A5" w:rsidRPr="005B5418" w:rsidRDefault="001240A5" w:rsidP="00E51D94">
            <w:pPr>
              <w:pStyle w:val="BodyTextIndent2"/>
              <w:numPr>
                <w:ilvl w:val="0"/>
                <w:numId w:val="53"/>
              </w:numPr>
              <w:spacing w:before="60" w:after="60" w:line="240" w:lineRule="auto"/>
              <w:jc w:val="left"/>
              <w:rPr>
                <w:rFonts w:eastAsia="Arial Unicode MS"/>
                <w:sz w:val="22"/>
                <w:szCs w:val="22"/>
              </w:rPr>
            </w:pPr>
            <w:r w:rsidRPr="005B5418">
              <w:rPr>
                <w:rFonts w:eastAsia="Arial Unicode MS"/>
                <w:sz w:val="22"/>
                <w:szCs w:val="22"/>
              </w:rPr>
              <w:t xml:space="preserve">If cleanup costs for </w:t>
            </w:r>
            <w:r w:rsidR="00E51D94" w:rsidRPr="005B5418">
              <w:rPr>
                <w:rFonts w:eastAsia="Arial Unicode MS"/>
                <w:sz w:val="22"/>
                <w:szCs w:val="22"/>
              </w:rPr>
              <w:t xml:space="preserve">stewardship </w:t>
            </w:r>
            <w:r w:rsidRPr="005B5418">
              <w:rPr>
                <w:rFonts w:eastAsia="Arial Unicode MS"/>
                <w:sz w:val="22"/>
                <w:szCs w:val="22"/>
              </w:rPr>
              <w:t>PP&amp;E are reestimated, are any adjustments to the liability associated with cleanup costs expensed in the period of the change in estimate? (SFFAS 6, par</w:t>
            </w:r>
            <w:r w:rsidR="00186660" w:rsidRPr="005B5418">
              <w:rPr>
                <w:rFonts w:eastAsia="Arial Unicode MS"/>
                <w:sz w:val="22"/>
                <w:szCs w:val="22"/>
              </w:rPr>
              <w:t>a</w:t>
            </w:r>
            <w:r w:rsidRPr="005B5418">
              <w:rPr>
                <w:rFonts w:eastAsia="Arial Unicode MS"/>
                <w:sz w:val="22"/>
                <w:szCs w:val="22"/>
              </w:rPr>
              <w:t xml:space="preserve">. 102) </w:t>
            </w:r>
          </w:p>
        </w:tc>
        <w:tc>
          <w:tcPr>
            <w:tcW w:w="965" w:type="dxa"/>
          </w:tcPr>
          <w:p w14:paraId="6F82525C" w14:textId="77777777" w:rsidR="001240A5" w:rsidRPr="005B5418" w:rsidRDefault="001240A5" w:rsidP="008848DA">
            <w:pPr>
              <w:pStyle w:val="Table-Cell-CenterBoldBefore6ptAfter6pt"/>
              <w:spacing w:before="60" w:after="60"/>
              <w:rPr>
                <w:rFonts w:cs="Arial"/>
                <w:lang w:val="pt-BR"/>
              </w:rPr>
            </w:pPr>
          </w:p>
        </w:tc>
        <w:tc>
          <w:tcPr>
            <w:tcW w:w="3211" w:type="dxa"/>
          </w:tcPr>
          <w:p w14:paraId="759E94AC" w14:textId="77777777" w:rsidR="001240A5" w:rsidRPr="005B5418" w:rsidRDefault="001240A5" w:rsidP="008848DA">
            <w:pPr>
              <w:spacing w:before="60" w:after="60" w:line="240" w:lineRule="auto"/>
              <w:rPr>
                <w:rFonts w:cs="Arial"/>
                <w:lang w:val="pt-BR"/>
              </w:rPr>
            </w:pPr>
          </w:p>
        </w:tc>
      </w:tr>
      <w:tr w:rsidR="001240A5" w:rsidRPr="005B5418" w14:paraId="181A5F4F" w14:textId="77777777" w:rsidTr="00DA6DCF">
        <w:trPr>
          <w:cantSplit/>
          <w:trHeight w:val="1511"/>
        </w:trPr>
        <w:tc>
          <w:tcPr>
            <w:tcW w:w="5405" w:type="dxa"/>
          </w:tcPr>
          <w:p w14:paraId="11FFD858" w14:textId="50ECC411" w:rsidR="001240A5" w:rsidRPr="005B5418" w:rsidRDefault="00186660" w:rsidP="00825C76">
            <w:pPr>
              <w:pStyle w:val="FAM-Table-outline"/>
              <w:numPr>
                <w:ilvl w:val="0"/>
                <w:numId w:val="53"/>
              </w:numPr>
              <w:spacing w:line="240" w:lineRule="auto"/>
              <w:rPr>
                <w:rFonts w:eastAsia="Arial Unicode MS"/>
                <w:szCs w:val="22"/>
              </w:rPr>
            </w:pPr>
            <w:r w:rsidRPr="005B5418">
              <w:rPr>
                <w:rFonts w:eastAsia="Arial Unicode MS"/>
                <w:szCs w:val="22"/>
              </w:rPr>
              <w:t xml:space="preserve">Are </w:t>
            </w:r>
            <w:r w:rsidR="001240A5" w:rsidRPr="005B5418">
              <w:rPr>
                <w:rFonts w:eastAsia="Arial Unicode MS"/>
                <w:szCs w:val="22"/>
              </w:rPr>
              <w:t>a liability and related expense recognized for friable and nonfriable asbestos cleanup costs when the costs are both probable and reasonably estimable? (A-136, section II.3.2.4; FASAB Technical Release 10, par</w:t>
            </w:r>
            <w:r w:rsidRPr="005B5418">
              <w:rPr>
                <w:rFonts w:eastAsia="Arial Unicode MS"/>
                <w:szCs w:val="22"/>
              </w:rPr>
              <w:t>a</w:t>
            </w:r>
            <w:r w:rsidR="001240A5" w:rsidRPr="005B5418">
              <w:rPr>
                <w:rFonts w:eastAsia="Arial Unicode MS"/>
                <w:szCs w:val="22"/>
              </w:rPr>
              <w:t>. 1.a</w:t>
            </w:r>
            <w:r w:rsidRPr="005B5418">
              <w:rPr>
                <w:rFonts w:eastAsia="Arial Unicode MS"/>
                <w:szCs w:val="22"/>
              </w:rPr>
              <w:t>,</w:t>
            </w:r>
            <w:r w:rsidR="001240A5" w:rsidRPr="005B5418">
              <w:rPr>
                <w:rFonts w:eastAsia="Arial Unicode MS"/>
                <w:szCs w:val="22"/>
              </w:rPr>
              <w:t xml:space="preserve"> as per </w:t>
            </w:r>
            <w:r w:rsidRPr="005B5418">
              <w:rPr>
                <w:rFonts w:eastAsia="Arial Unicode MS"/>
                <w:szCs w:val="22"/>
              </w:rPr>
              <w:t>TB</w:t>
            </w:r>
            <w:r w:rsidR="001240A5" w:rsidRPr="005B5418">
              <w:rPr>
                <w:rFonts w:eastAsia="Arial Unicode MS"/>
                <w:szCs w:val="22"/>
              </w:rPr>
              <w:t xml:space="preserve"> 2006-1) </w:t>
            </w:r>
          </w:p>
        </w:tc>
        <w:tc>
          <w:tcPr>
            <w:tcW w:w="965" w:type="dxa"/>
          </w:tcPr>
          <w:p w14:paraId="1F1B5CDF" w14:textId="77777777" w:rsidR="001240A5" w:rsidRPr="005B5418" w:rsidRDefault="001240A5" w:rsidP="008848DA">
            <w:pPr>
              <w:pStyle w:val="Table-Cell-CenterBoldBefore6ptAfter6pt"/>
              <w:spacing w:before="60" w:after="60"/>
              <w:rPr>
                <w:rFonts w:cs="Arial"/>
                <w:lang w:val="pt-BR"/>
              </w:rPr>
            </w:pPr>
          </w:p>
        </w:tc>
        <w:tc>
          <w:tcPr>
            <w:tcW w:w="3211" w:type="dxa"/>
          </w:tcPr>
          <w:p w14:paraId="77C693A0" w14:textId="77777777" w:rsidR="001240A5" w:rsidRPr="005B5418" w:rsidRDefault="001240A5" w:rsidP="008848DA">
            <w:pPr>
              <w:spacing w:before="60" w:after="60" w:line="240" w:lineRule="auto"/>
              <w:rPr>
                <w:rFonts w:cs="Arial"/>
                <w:lang w:val="pt-BR"/>
              </w:rPr>
            </w:pPr>
          </w:p>
        </w:tc>
      </w:tr>
      <w:tr w:rsidR="00F3715B" w:rsidRPr="005B5418" w14:paraId="7AEE855A" w14:textId="77777777" w:rsidTr="00DA6DCF">
        <w:trPr>
          <w:cantSplit/>
          <w:trHeight w:val="1511"/>
        </w:trPr>
        <w:tc>
          <w:tcPr>
            <w:tcW w:w="5405" w:type="dxa"/>
          </w:tcPr>
          <w:p w14:paraId="46C708AE" w14:textId="77777777" w:rsidR="00F3715B" w:rsidRPr="005B5418" w:rsidRDefault="00F3715B" w:rsidP="00825C76">
            <w:pPr>
              <w:pStyle w:val="BodyTextIndent2"/>
              <w:numPr>
                <w:ilvl w:val="0"/>
                <w:numId w:val="53"/>
              </w:numPr>
              <w:spacing w:before="60" w:after="60" w:line="240" w:lineRule="auto"/>
              <w:rPr>
                <w:rFonts w:eastAsia="Arial Unicode MS"/>
                <w:szCs w:val="22"/>
              </w:rPr>
            </w:pPr>
            <w:r w:rsidRPr="005B5418">
              <w:rPr>
                <w:rFonts w:eastAsia="Arial Unicode MS"/>
                <w:sz w:val="22"/>
                <w:szCs w:val="22"/>
              </w:rPr>
              <w:t>Does the entity separately recognize a liability for environmental cleanup costs</w:t>
            </w:r>
            <w:r w:rsidR="00D04998" w:rsidRPr="005B5418">
              <w:rPr>
                <w:rFonts w:eastAsia="Arial Unicode MS"/>
                <w:sz w:val="22"/>
                <w:szCs w:val="22"/>
              </w:rPr>
              <w:t xml:space="preserve"> </w:t>
            </w:r>
            <w:r w:rsidRPr="005B5418">
              <w:rPr>
                <w:rFonts w:eastAsia="Arial Unicode MS"/>
                <w:sz w:val="22"/>
                <w:szCs w:val="22"/>
              </w:rPr>
              <w:t xml:space="preserve">for PP&amp;E if </w:t>
            </w:r>
          </w:p>
          <w:p w14:paraId="5CA4D0C7" w14:textId="32560C8B" w:rsidR="00F3715B" w:rsidRPr="005B5418" w:rsidRDefault="00F3715B" w:rsidP="005425ED">
            <w:pPr>
              <w:pStyle w:val="FAM-Table-outline2"/>
              <w:spacing w:line="240" w:lineRule="auto"/>
              <w:ind w:left="1140" w:hanging="443"/>
            </w:pPr>
            <w:r w:rsidRPr="005B5418">
              <w:t>they are related to a past transaction or event and</w:t>
            </w:r>
          </w:p>
          <w:p w14:paraId="39EA4CC4" w14:textId="5C1D8149" w:rsidR="00F3715B" w:rsidRPr="005B5418" w:rsidRDefault="00F3715B" w:rsidP="005425ED">
            <w:pPr>
              <w:pStyle w:val="FAM-Table-outline2"/>
              <w:spacing w:line="240" w:lineRule="auto"/>
              <w:ind w:left="1140" w:hanging="443"/>
              <w:rPr>
                <w:rFonts w:eastAsia="Arial Unicode MS"/>
              </w:rPr>
            </w:pPr>
            <w:r w:rsidRPr="005B5418">
              <w:t>the related costs are probable and measurable? (SFFAS 5, par</w:t>
            </w:r>
            <w:r w:rsidR="00E95C2C" w:rsidRPr="005B5418">
              <w:t>a</w:t>
            </w:r>
            <w:r w:rsidRPr="005B5418">
              <w:t>. 38; SFFAS 6, par</w:t>
            </w:r>
            <w:r w:rsidR="00E95C2C" w:rsidRPr="005B5418">
              <w:t>as</w:t>
            </w:r>
            <w:r w:rsidRPr="005B5418">
              <w:t>. 91</w:t>
            </w:r>
            <w:r w:rsidR="00E95C2C" w:rsidRPr="005B5418">
              <w:t>–</w:t>
            </w:r>
            <w:r w:rsidRPr="005B5418">
              <w:t>93)</w:t>
            </w:r>
          </w:p>
        </w:tc>
        <w:tc>
          <w:tcPr>
            <w:tcW w:w="965" w:type="dxa"/>
          </w:tcPr>
          <w:p w14:paraId="6C8FD950" w14:textId="77777777" w:rsidR="00F3715B" w:rsidRPr="005B5418" w:rsidRDefault="00F3715B" w:rsidP="008848DA">
            <w:pPr>
              <w:pStyle w:val="Table-Cell-CenterBoldBefore6ptAfter6pt"/>
              <w:spacing w:before="60" w:after="60"/>
              <w:rPr>
                <w:rFonts w:cs="Arial"/>
                <w:lang w:val="pt-BR"/>
              </w:rPr>
            </w:pPr>
          </w:p>
        </w:tc>
        <w:tc>
          <w:tcPr>
            <w:tcW w:w="3211" w:type="dxa"/>
          </w:tcPr>
          <w:p w14:paraId="6590B14B" w14:textId="77777777" w:rsidR="00F3715B" w:rsidRPr="005B5418" w:rsidRDefault="00F3715B" w:rsidP="008848DA">
            <w:pPr>
              <w:spacing w:before="60" w:after="60" w:line="240" w:lineRule="auto"/>
              <w:rPr>
                <w:rFonts w:cs="Arial"/>
                <w:lang w:val="pt-BR"/>
              </w:rPr>
            </w:pPr>
          </w:p>
        </w:tc>
      </w:tr>
      <w:tr w:rsidR="00F3715B" w:rsidRPr="005B5418" w14:paraId="607B3A46" w14:textId="77777777" w:rsidTr="00DA6DCF">
        <w:trPr>
          <w:cantSplit/>
          <w:trHeight w:val="1241"/>
        </w:trPr>
        <w:tc>
          <w:tcPr>
            <w:tcW w:w="5405" w:type="dxa"/>
          </w:tcPr>
          <w:p w14:paraId="2B7EB83F" w14:textId="0DD80A89" w:rsidR="00F3715B" w:rsidRPr="005B5418" w:rsidRDefault="00F3715B" w:rsidP="00343610">
            <w:pPr>
              <w:pStyle w:val="FAM-Table-outline"/>
              <w:numPr>
                <w:ilvl w:val="0"/>
                <w:numId w:val="18"/>
              </w:numPr>
              <w:spacing w:line="240" w:lineRule="auto"/>
              <w:rPr>
                <w:rFonts w:cs="Arial"/>
              </w:rPr>
            </w:pPr>
            <w:r w:rsidRPr="005B5418">
              <w:rPr>
                <w:rFonts w:eastAsia="Arial Unicode MS"/>
              </w:rPr>
              <w:t>When cleanup costs are paid, are the payments recognized as a reduction in the liability for cleanup costs? (SFFAS 6, par</w:t>
            </w:r>
            <w:r w:rsidR="00E95C2C" w:rsidRPr="005B5418">
              <w:rPr>
                <w:rFonts w:eastAsia="Arial Unicode MS"/>
              </w:rPr>
              <w:t>a</w:t>
            </w:r>
            <w:r w:rsidRPr="005B5418">
              <w:rPr>
                <w:rFonts w:eastAsia="Arial Unicode MS"/>
              </w:rPr>
              <w:t>. 100)</w:t>
            </w:r>
          </w:p>
        </w:tc>
        <w:tc>
          <w:tcPr>
            <w:tcW w:w="965" w:type="dxa"/>
          </w:tcPr>
          <w:p w14:paraId="376F07C1" w14:textId="77777777" w:rsidR="00F3715B" w:rsidRPr="005B5418" w:rsidRDefault="00F3715B" w:rsidP="008848DA">
            <w:pPr>
              <w:pStyle w:val="Table-Cell-CenterBoldBefore6ptAfter6pt"/>
              <w:spacing w:before="60" w:after="60"/>
              <w:rPr>
                <w:rFonts w:cs="Arial"/>
                <w:lang w:val="pt-BR"/>
              </w:rPr>
            </w:pPr>
          </w:p>
        </w:tc>
        <w:tc>
          <w:tcPr>
            <w:tcW w:w="3211" w:type="dxa"/>
          </w:tcPr>
          <w:p w14:paraId="398939CD" w14:textId="77777777" w:rsidR="00F3715B" w:rsidRPr="005B5418" w:rsidRDefault="00F3715B" w:rsidP="008848DA">
            <w:pPr>
              <w:spacing w:before="60" w:after="60" w:line="240" w:lineRule="auto"/>
              <w:rPr>
                <w:rFonts w:cs="Arial"/>
                <w:lang w:val="pt-BR"/>
              </w:rPr>
            </w:pPr>
          </w:p>
        </w:tc>
      </w:tr>
      <w:tr w:rsidR="00F3715B" w:rsidRPr="005B5418" w14:paraId="0F5B34C1" w14:textId="77777777" w:rsidTr="00DA6DCF">
        <w:trPr>
          <w:cantSplit/>
          <w:trHeight w:val="1421"/>
        </w:trPr>
        <w:tc>
          <w:tcPr>
            <w:tcW w:w="5405" w:type="dxa"/>
          </w:tcPr>
          <w:p w14:paraId="7277703C" w14:textId="0EAD0477" w:rsidR="00F3715B" w:rsidRPr="005B5418" w:rsidRDefault="00F3715B" w:rsidP="008848DA">
            <w:pPr>
              <w:pStyle w:val="FAM-Table-outline"/>
              <w:widowControl/>
              <w:adjustRightInd/>
              <w:spacing w:line="240" w:lineRule="auto"/>
              <w:textAlignment w:val="auto"/>
              <w:rPr>
                <w:rFonts w:cs="Arial"/>
              </w:rPr>
            </w:pPr>
            <w:r w:rsidRPr="005B5418">
              <w:rPr>
                <w:rFonts w:eastAsia="Arial Unicode MS"/>
              </w:rPr>
              <w:lastRenderedPageBreak/>
              <w:t>If cleanup costs have not been previously recognized, is a liability recognized for the portion of the estimated total cleanup cost that is attributable to either the portion of the physical capacity used or the portion of the estimated useful life that has passed since the PP&amp;E was placed into service? (SFFAS 6, par</w:t>
            </w:r>
            <w:r w:rsidR="00E95C2C" w:rsidRPr="005B5418">
              <w:rPr>
                <w:rFonts w:eastAsia="Arial Unicode MS"/>
              </w:rPr>
              <w:t>as</w:t>
            </w:r>
            <w:r w:rsidRPr="005B5418">
              <w:rPr>
                <w:rFonts w:eastAsia="Arial Unicode MS"/>
              </w:rPr>
              <w:t>. 104</w:t>
            </w:r>
            <w:r w:rsidR="00E95C2C" w:rsidRPr="005B5418">
              <w:rPr>
                <w:rFonts w:eastAsia="Arial Unicode MS"/>
              </w:rPr>
              <w:t>–</w:t>
            </w:r>
            <w:r w:rsidRPr="005B5418">
              <w:rPr>
                <w:rFonts w:eastAsia="Arial Unicode MS"/>
              </w:rPr>
              <w:t>106)</w:t>
            </w:r>
          </w:p>
        </w:tc>
        <w:tc>
          <w:tcPr>
            <w:tcW w:w="965" w:type="dxa"/>
          </w:tcPr>
          <w:p w14:paraId="6B19A1B5" w14:textId="77777777" w:rsidR="00F3715B" w:rsidRPr="005B5418" w:rsidRDefault="00F3715B" w:rsidP="008848DA">
            <w:pPr>
              <w:pStyle w:val="Table-Cell-CenterBoldBefore6ptAfter6pt"/>
              <w:spacing w:before="60" w:after="60"/>
              <w:rPr>
                <w:rFonts w:cs="Arial"/>
                <w:lang w:val="pt-BR"/>
              </w:rPr>
            </w:pPr>
          </w:p>
        </w:tc>
        <w:tc>
          <w:tcPr>
            <w:tcW w:w="3211" w:type="dxa"/>
          </w:tcPr>
          <w:p w14:paraId="515D9CF5" w14:textId="77777777" w:rsidR="00F3715B" w:rsidRPr="005B5418" w:rsidRDefault="00F3715B" w:rsidP="008848DA">
            <w:pPr>
              <w:spacing w:before="60" w:after="60" w:line="240" w:lineRule="auto"/>
              <w:rPr>
                <w:rFonts w:cs="Arial"/>
                <w:lang w:val="pt-BR"/>
              </w:rPr>
            </w:pPr>
          </w:p>
        </w:tc>
      </w:tr>
      <w:tr w:rsidR="00F3715B" w:rsidRPr="005B5418" w14:paraId="5A710730" w14:textId="77777777" w:rsidTr="00DA6DCF">
        <w:trPr>
          <w:cantSplit/>
          <w:trHeight w:val="1421"/>
        </w:trPr>
        <w:tc>
          <w:tcPr>
            <w:tcW w:w="5405" w:type="dxa"/>
          </w:tcPr>
          <w:p w14:paraId="39038A1C" w14:textId="5A90B8CC" w:rsidR="00F3715B" w:rsidRPr="005B5418" w:rsidRDefault="00F3715B" w:rsidP="008848DA">
            <w:pPr>
              <w:pStyle w:val="FAM-Table-outline"/>
              <w:widowControl/>
              <w:adjustRightInd/>
              <w:spacing w:line="240" w:lineRule="auto"/>
              <w:textAlignment w:val="auto"/>
              <w:rPr>
                <w:rFonts w:cs="Arial"/>
              </w:rPr>
            </w:pPr>
            <w:r w:rsidRPr="005B5418">
              <w:rPr>
                <w:rFonts w:eastAsia="Arial Unicode MS"/>
              </w:rPr>
              <w:t xml:space="preserve">Are any subsequent changes (made in periods following implementation) in estimated total cleanup cost immediately expensed (if costs are </w:t>
            </w:r>
            <w:r w:rsidR="00407CC4" w:rsidRPr="005B5418">
              <w:rPr>
                <w:rFonts w:eastAsia="Arial Unicode MS"/>
              </w:rPr>
              <w:t xml:space="preserve">not </w:t>
            </w:r>
            <w:r w:rsidR="00E47B67" w:rsidRPr="005B5418">
              <w:rPr>
                <w:rFonts w:eastAsia="Arial Unicode MS"/>
              </w:rPr>
              <w:t xml:space="preserve">intended </w:t>
            </w:r>
            <w:r w:rsidRPr="005B5418">
              <w:rPr>
                <w:rFonts w:eastAsia="Arial Unicode MS"/>
              </w:rPr>
              <w:t xml:space="preserve">to be recovered </w:t>
            </w:r>
            <w:r w:rsidR="00DF3B98" w:rsidRPr="005B5418">
              <w:rPr>
                <w:rFonts w:eastAsia="Arial Unicode MS"/>
              </w:rPr>
              <w:t xml:space="preserve">primarily </w:t>
            </w:r>
            <w:r w:rsidRPr="005B5418">
              <w:rPr>
                <w:rFonts w:eastAsia="Arial Unicode MS"/>
              </w:rPr>
              <w:t>through user charges) and included in the related liability balance? (SFFAS 6, par</w:t>
            </w:r>
            <w:r w:rsidR="00467C5F" w:rsidRPr="005B5418">
              <w:rPr>
                <w:rFonts w:eastAsia="Arial Unicode MS"/>
              </w:rPr>
              <w:t>a</w:t>
            </w:r>
            <w:r w:rsidRPr="005B5418">
              <w:rPr>
                <w:rFonts w:eastAsia="Arial Unicode MS"/>
              </w:rPr>
              <w:t>. 104)</w:t>
            </w:r>
          </w:p>
        </w:tc>
        <w:tc>
          <w:tcPr>
            <w:tcW w:w="965" w:type="dxa"/>
          </w:tcPr>
          <w:p w14:paraId="57D61E46" w14:textId="77777777" w:rsidR="00F3715B" w:rsidRPr="005B5418" w:rsidRDefault="00F3715B" w:rsidP="008848DA">
            <w:pPr>
              <w:pStyle w:val="Table-Cell-CenterBoldBefore6ptAfter6pt"/>
              <w:spacing w:before="60" w:after="60"/>
              <w:rPr>
                <w:rFonts w:cs="Arial"/>
                <w:lang w:val="pt-BR"/>
              </w:rPr>
            </w:pPr>
          </w:p>
        </w:tc>
        <w:tc>
          <w:tcPr>
            <w:tcW w:w="3211" w:type="dxa"/>
          </w:tcPr>
          <w:p w14:paraId="4C5455EB" w14:textId="77777777" w:rsidR="00F3715B" w:rsidRPr="005B5418" w:rsidRDefault="00F3715B" w:rsidP="008848DA">
            <w:pPr>
              <w:spacing w:before="60" w:after="60" w:line="240" w:lineRule="auto"/>
              <w:rPr>
                <w:rFonts w:cs="Arial"/>
                <w:lang w:val="pt-BR"/>
              </w:rPr>
            </w:pPr>
          </w:p>
        </w:tc>
      </w:tr>
      <w:tr w:rsidR="00964DE3" w:rsidRPr="005B5418" w14:paraId="751C1EA6" w14:textId="77777777" w:rsidTr="00DA6DCF">
        <w:trPr>
          <w:cantSplit/>
          <w:trHeight w:val="3851"/>
        </w:trPr>
        <w:tc>
          <w:tcPr>
            <w:tcW w:w="5405" w:type="dxa"/>
          </w:tcPr>
          <w:p w14:paraId="105906CE" w14:textId="12AFC9EB" w:rsidR="004D54B0" w:rsidRPr="005B5418" w:rsidRDefault="00EF5876" w:rsidP="008848DA">
            <w:pPr>
              <w:pStyle w:val="FAM-Table-outline"/>
              <w:widowControl/>
              <w:adjustRightInd/>
              <w:spacing w:line="240" w:lineRule="auto"/>
              <w:textAlignment w:val="auto"/>
              <w:rPr>
                <w:rFonts w:eastAsia="Arial Unicode MS"/>
              </w:rPr>
            </w:pPr>
            <w:r w:rsidRPr="005B5418">
              <w:rPr>
                <w:rFonts w:eastAsia="Arial Unicode MS"/>
              </w:rPr>
              <w:t>If cleanup costs will be funded by another entity</w:t>
            </w:r>
            <w:r w:rsidR="0003048F" w:rsidRPr="005B5418">
              <w:rPr>
                <w:rFonts w:eastAsia="Arial Unicode MS"/>
              </w:rPr>
              <w:t xml:space="preserve">, </w:t>
            </w:r>
            <w:r w:rsidR="00B37E3F" w:rsidRPr="005B5418">
              <w:rPr>
                <w:rFonts w:eastAsia="Arial Unicode MS"/>
              </w:rPr>
              <w:t xml:space="preserve">upon transfer of the </w:t>
            </w:r>
            <w:r w:rsidR="000A0C1F" w:rsidRPr="005B5418">
              <w:rPr>
                <w:rFonts w:eastAsia="Arial Unicode MS"/>
              </w:rPr>
              <w:t>PP&amp;E</w:t>
            </w:r>
            <w:r w:rsidR="0038158E" w:rsidRPr="005B5418">
              <w:rPr>
                <w:rFonts w:eastAsia="Arial Unicode MS"/>
              </w:rPr>
              <w:t xml:space="preserve"> to the entity responsible for the cleanup</w:t>
            </w:r>
            <w:r w:rsidR="00B37E3F" w:rsidRPr="005B5418">
              <w:rPr>
                <w:rFonts w:eastAsia="Arial Unicode MS"/>
              </w:rPr>
              <w:t>,</w:t>
            </w:r>
          </w:p>
          <w:p w14:paraId="4266BAC4" w14:textId="657F40C3" w:rsidR="004D54B0" w:rsidRPr="005B5418" w:rsidRDefault="0003048F" w:rsidP="005425ED">
            <w:pPr>
              <w:pStyle w:val="FAM-Table-outline2"/>
              <w:spacing w:line="240" w:lineRule="auto"/>
              <w:ind w:left="1140" w:hanging="443"/>
            </w:pPr>
            <w:r w:rsidRPr="005B5418">
              <w:t xml:space="preserve">does the entity </w:t>
            </w:r>
            <w:r w:rsidR="00B37E3F" w:rsidRPr="005B5418">
              <w:t xml:space="preserve">previously </w:t>
            </w:r>
            <w:r w:rsidRPr="005B5418">
              <w:t xml:space="preserve">using the </w:t>
            </w:r>
            <w:r w:rsidR="000C0769" w:rsidRPr="005B5418">
              <w:br/>
            </w:r>
            <w:r w:rsidR="000A0C1F" w:rsidRPr="005B5418">
              <w:t>PP&amp;E</w:t>
            </w:r>
            <w:r w:rsidRPr="005B5418">
              <w:t xml:space="preserve"> </w:t>
            </w:r>
            <w:r w:rsidR="004D54B0" w:rsidRPr="005B5418">
              <w:rPr>
                <w:b/>
                <w:bCs/>
              </w:rPr>
              <w:t>de-recognize</w:t>
            </w:r>
            <w:r w:rsidR="004D54B0" w:rsidRPr="005B5418">
              <w:t xml:space="preserve"> and </w:t>
            </w:r>
            <w:r w:rsidRPr="005B5418">
              <w:t>transfer</w:t>
            </w:r>
            <w:r w:rsidR="004D54B0" w:rsidRPr="005B5418">
              <w:t xml:space="preserve"> </w:t>
            </w:r>
            <w:r w:rsidRPr="005B5418">
              <w:t xml:space="preserve">the </w:t>
            </w:r>
            <w:r w:rsidR="000A0C1F" w:rsidRPr="005B5418">
              <w:t>PP&amp;E</w:t>
            </w:r>
            <w:r w:rsidRPr="005B5418">
              <w:t xml:space="preserve"> and related cleanup cost liability to the entity responsible for </w:t>
            </w:r>
            <w:r w:rsidR="00025F94" w:rsidRPr="005B5418">
              <w:t>liquidating the cleanup cost liability</w:t>
            </w:r>
            <w:r w:rsidR="00D04998" w:rsidRPr="005B5418">
              <w:t xml:space="preserve"> and</w:t>
            </w:r>
            <w:r w:rsidR="00025F94" w:rsidRPr="005B5418">
              <w:t xml:space="preserve"> </w:t>
            </w:r>
          </w:p>
          <w:p w14:paraId="1854A0C4" w14:textId="24A6C705" w:rsidR="005957E2" w:rsidRPr="005B5418" w:rsidRDefault="00103965" w:rsidP="005425ED">
            <w:pPr>
              <w:pStyle w:val="FAM-Table-outline2"/>
              <w:spacing w:line="240" w:lineRule="auto"/>
              <w:ind w:left="1140" w:hanging="443"/>
            </w:pPr>
            <w:r w:rsidRPr="005B5418">
              <w:t>d</w:t>
            </w:r>
            <w:r w:rsidR="004D54B0" w:rsidRPr="005B5418">
              <w:t xml:space="preserve">oes the </w:t>
            </w:r>
            <w:r w:rsidRPr="005B5418">
              <w:t>entity</w:t>
            </w:r>
            <w:r w:rsidR="004D54B0" w:rsidRPr="005B5418">
              <w:t xml:space="preserve"> responsible for liquidating the cleanup cost liability </w:t>
            </w:r>
            <w:r w:rsidR="004D54B0" w:rsidRPr="005B5418">
              <w:rPr>
                <w:b/>
                <w:bCs/>
              </w:rPr>
              <w:t>recognize</w:t>
            </w:r>
            <w:r w:rsidR="004D54B0" w:rsidRPr="005B5418">
              <w:t xml:space="preserve"> </w:t>
            </w:r>
            <w:r w:rsidRPr="005B5418">
              <w:t xml:space="preserve">the transferred </w:t>
            </w:r>
            <w:r w:rsidR="000A0C1F" w:rsidRPr="005B5418">
              <w:t>PP&amp;E</w:t>
            </w:r>
            <w:r w:rsidRPr="005B5418">
              <w:t xml:space="preserve"> and related cleanup cost liability? </w:t>
            </w:r>
            <w:r w:rsidR="00025F94" w:rsidRPr="005B5418">
              <w:t>(FASAB Interpretation</w:t>
            </w:r>
            <w:r w:rsidR="008D037F" w:rsidRPr="005B5418">
              <w:t xml:space="preserve"> </w:t>
            </w:r>
            <w:r w:rsidR="00025F94" w:rsidRPr="005B5418">
              <w:t>9 par</w:t>
            </w:r>
            <w:r w:rsidR="00467C5F" w:rsidRPr="005B5418">
              <w:t>as</w:t>
            </w:r>
            <w:r w:rsidR="00025F94" w:rsidRPr="005B5418">
              <w:t>. 9</w:t>
            </w:r>
            <w:r w:rsidR="00467C5F" w:rsidRPr="005B5418">
              <w:t>–</w:t>
            </w:r>
            <w:r w:rsidR="00025F94" w:rsidRPr="005B5418">
              <w:t>11)</w:t>
            </w:r>
          </w:p>
          <w:p w14:paraId="0573A869" w14:textId="77777777" w:rsidR="001B35AC" w:rsidRPr="005B5418" w:rsidRDefault="001B35AC" w:rsidP="001B35AC">
            <w:pPr>
              <w:pStyle w:val="FAM-Table-outline2"/>
              <w:numPr>
                <w:ilvl w:val="0"/>
                <w:numId w:val="0"/>
              </w:numPr>
              <w:tabs>
                <w:tab w:val="num" w:pos="2106"/>
              </w:tabs>
              <w:spacing w:line="240" w:lineRule="auto"/>
              <w:ind w:left="1059"/>
              <w:rPr>
                <w:rFonts w:cs="Arial"/>
                <w:bCs/>
                <w:szCs w:val="22"/>
              </w:rPr>
            </w:pPr>
          </w:p>
          <w:p w14:paraId="5352C733"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5824CD90"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4C42BE52"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379ACEF6"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6A32F703"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250D92B8"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5AE9CAE1"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6B64CE3F"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4A6710AC"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11FDE9AE" w14:textId="77777777" w:rsidR="005957E2" w:rsidRPr="005B5418" w:rsidRDefault="005957E2" w:rsidP="001B35AC">
            <w:pPr>
              <w:pStyle w:val="FAM-Table-outline2"/>
              <w:numPr>
                <w:ilvl w:val="0"/>
                <w:numId w:val="0"/>
              </w:numPr>
              <w:tabs>
                <w:tab w:val="num" w:pos="2106"/>
              </w:tabs>
              <w:spacing w:line="240" w:lineRule="auto"/>
              <w:ind w:left="1059"/>
              <w:rPr>
                <w:rFonts w:cs="Arial"/>
                <w:bCs/>
                <w:szCs w:val="22"/>
              </w:rPr>
            </w:pPr>
          </w:p>
          <w:p w14:paraId="7471BB4A" w14:textId="77777777" w:rsidR="005957E2" w:rsidRPr="005B5418" w:rsidRDefault="005957E2" w:rsidP="00E678C2">
            <w:pPr>
              <w:pStyle w:val="FAM-Table-outline2"/>
              <w:numPr>
                <w:ilvl w:val="0"/>
                <w:numId w:val="0"/>
              </w:numPr>
              <w:tabs>
                <w:tab w:val="num" w:pos="2106"/>
              </w:tabs>
              <w:spacing w:line="240" w:lineRule="auto"/>
              <w:ind w:left="2196" w:hanging="576"/>
              <w:rPr>
                <w:rFonts w:cs="Arial"/>
                <w:bCs/>
                <w:szCs w:val="22"/>
              </w:rPr>
            </w:pPr>
          </w:p>
          <w:p w14:paraId="7A17D84D" w14:textId="253B712E" w:rsidR="005957E2" w:rsidRPr="005B5418" w:rsidRDefault="005957E2" w:rsidP="001B35AC">
            <w:pPr>
              <w:pStyle w:val="FAM-Table-outline2"/>
              <w:numPr>
                <w:ilvl w:val="0"/>
                <w:numId w:val="0"/>
              </w:numPr>
              <w:tabs>
                <w:tab w:val="num" w:pos="2106"/>
              </w:tabs>
              <w:spacing w:line="240" w:lineRule="auto"/>
              <w:ind w:left="1059"/>
              <w:rPr>
                <w:rFonts w:eastAsia="Arial Unicode MS"/>
              </w:rPr>
            </w:pPr>
          </w:p>
        </w:tc>
        <w:tc>
          <w:tcPr>
            <w:tcW w:w="965" w:type="dxa"/>
          </w:tcPr>
          <w:p w14:paraId="7FD1FFC6" w14:textId="77777777" w:rsidR="00964DE3" w:rsidRPr="005B5418" w:rsidRDefault="00964DE3" w:rsidP="008848DA">
            <w:pPr>
              <w:pStyle w:val="Table-Cell-CenterBoldBefore6ptAfter6pt"/>
              <w:spacing w:before="60" w:after="60"/>
              <w:rPr>
                <w:rFonts w:cs="Arial"/>
                <w:lang w:val="pt-BR"/>
              </w:rPr>
            </w:pPr>
          </w:p>
        </w:tc>
        <w:tc>
          <w:tcPr>
            <w:tcW w:w="3211" w:type="dxa"/>
          </w:tcPr>
          <w:p w14:paraId="364E4E3C" w14:textId="77777777" w:rsidR="00964DE3" w:rsidRPr="005B5418" w:rsidRDefault="00964DE3" w:rsidP="008848DA">
            <w:pPr>
              <w:spacing w:before="60" w:after="60" w:line="240" w:lineRule="auto"/>
              <w:rPr>
                <w:rFonts w:cs="Arial"/>
                <w:lang w:val="pt-BR"/>
              </w:rPr>
            </w:pPr>
          </w:p>
        </w:tc>
      </w:tr>
      <w:tr w:rsidR="00BB19D7" w:rsidRPr="005B5418" w14:paraId="2B3FFEE0" w14:textId="77777777" w:rsidTr="00DA6DCF">
        <w:trPr>
          <w:cantSplit/>
          <w:trHeight w:val="332"/>
        </w:trPr>
        <w:tc>
          <w:tcPr>
            <w:tcW w:w="9581" w:type="dxa"/>
            <w:gridSpan w:val="3"/>
          </w:tcPr>
          <w:p w14:paraId="52D0B1C0" w14:textId="77777777" w:rsidR="00BB19D7" w:rsidRPr="005B5418" w:rsidRDefault="00BB19D7" w:rsidP="008848DA">
            <w:pPr>
              <w:spacing w:before="60" w:after="60" w:line="240" w:lineRule="auto"/>
              <w:rPr>
                <w:rFonts w:ascii="Arial" w:hAnsi="Arial" w:cs="Arial"/>
                <w:b/>
              </w:rPr>
            </w:pPr>
            <w:r w:rsidRPr="005B5418">
              <w:rPr>
                <w:rFonts w:ascii="Arial" w:hAnsi="Arial" w:cs="Arial"/>
                <w:b/>
              </w:rPr>
              <w:lastRenderedPageBreak/>
              <w:t>Disclosure</w:t>
            </w:r>
          </w:p>
        </w:tc>
      </w:tr>
      <w:tr w:rsidR="009118E5" w:rsidRPr="005B5418" w14:paraId="37B2F855" w14:textId="77777777" w:rsidTr="00DA6DCF">
        <w:trPr>
          <w:cantSplit/>
          <w:trHeight w:val="6245"/>
        </w:trPr>
        <w:tc>
          <w:tcPr>
            <w:tcW w:w="5405" w:type="dxa"/>
          </w:tcPr>
          <w:p w14:paraId="51218EF9" w14:textId="32F19C7C" w:rsidR="009118E5" w:rsidRPr="005B5418" w:rsidRDefault="009118E5" w:rsidP="008848DA">
            <w:pPr>
              <w:pStyle w:val="FAM-Table-outline"/>
              <w:widowControl/>
              <w:adjustRightInd/>
              <w:spacing w:line="240" w:lineRule="auto"/>
              <w:textAlignment w:val="auto"/>
              <w:rPr>
                <w:rFonts w:cs="Arial"/>
              </w:rPr>
            </w:pPr>
            <w:r w:rsidRPr="005B5418">
              <w:rPr>
                <w:rFonts w:cs="Arial"/>
              </w:rPr>
              <w:t xml:space="preserve">Does </w:t>
            </w:r>
            <w:r w:rsidR="00D04998" w:rsidRPr="005B5418">
              <w:rPr>
                <w:rFonts w:cs="Arial"/>
              </w:rPr>
              <w:t xml:space="preserve">the </w:t>
            </w:r>
            <w:r w:rsidRPr="005B5418">
              <w:rPr>
                <w:rFonts w:cs="Arial"/>
              </w:rPr>
              <w:t>entit</w:t>
            </w:r>
            <w:r w:rsidR="007A2E64" w:rsidRPr="005B5418">
              <w:rPr>
                <w:rFonts w:cs="Arial"/>
              </w:rPr>
              <w:t>y’s</w:t>
            </w:r>
            <w:r w:rsidRPr="005B5418">
              <w:rPr>
                <w:rFonts w:cs="Arial"/>
              </w:rPr>
              <w:t xml:space="preserve"> disclosure of cleanup costs include</w:t>
            </w:r>
          </w:p>
          <w:p w14:paraId="0F76B7C2" w14:textId="77777777" w:rsidR="009118E5" w:rsidRPr="005B5418" w:rsidRDefault="009118E5" w:rsidP="005425ED">
            <w:pPr>
              <w:pStyle w:val="FAM-Table-outline2"/>
              <w:spacing w:line="240" w:lineRule="auto"/>
              <w:ind w:left="1140" w:hanging="443"/>
            </w:pPr>
            <w:r w:rsidRPr="005B5418">
              <w:t>sources (i.e., applicable laws and regulations) of cleanup requirements;</w:t>
            </w:r>
          </w:p>
          <w:p w14:paraId="58744406" w14:textId="77777777" w:rsidR="009118E5" w:rsidRPr="005B5418" w:rsidRDefault="009118E5" w:rsidP="005425ED">
            <w:pPr>
              <w:pStyle w:val="FAM-Table-outline2"/>
              <w:spacing w:line="240" w:lineRule="auto"/>
              <w:ind w:left="1140" w:hanging="443"/>
            </w:pPr>
            <w:r w:rsidRPr="005B5418">
              <w:t>method for assigning estimated total cleanup costs to current operating periods (e.g., physical capacity versus passage of time);</w:t>
            </w:r>
          </w:p>
          <w:p w14:paraId="7F627D02" w14:textId="77777777" w:rsidR="009118E5" w:rsidRPr="005B5418" w:rsidRDefault="009118E5" w:rsidP="005425ED">
            <w:pPr>
              <w:pStyle w:val="FAM-Table-outline2"/>
              <w:spacing w:line="240" w:lineRule="auto"/>
              <w:ind w:left="1140" w:hanging="443"/>
            </w:pPr>
            <w:r w:rsidRPr="005B5418">
              <w:t>unrecognized portion of estimated total cleanup costs associated with PP&amp;E;</w:t>
            </w:r>
          </w:p>
          <w:p w14:paraId="0062A5F9" w14:textId="175DF09C" w:rsidR="009118E5" w:rsidRPr="005B5418" w:rsidRDefault="009118E5" w:rsidP="005425ED">
            <w:pPr>
              <w:pStyle w:val="FAM-Table-outline2"/>
              <w:spacing w:line="240" w:lineRule="auto"/>
              <w:ind w:left="1140" w:hanging="443"/>
            </w:pPr>
            <w:r w:rsidRPr="005B5418">
              <w:t>material changes in total estimated cleanup costs due to changes in laws</w:t>
            </w:r>
            <w:r w:rsidR="000327A6" w:rsidRPr="005B5418">
              <w:t>/regulations</w:t>
            </w:r>
            <w:r w:rsidRPr="005B5418">
              <w:t>, technology, or plans;</w:t>
            </w:r>
          </w:p>
          <w:p w14:paraId="6385F8D4" w14:textId="0B57F36D" w:rsidR="009118E5" w:rsidRPr="005B5418" w:rsidRDefault="009118E5" w:rsidP="005425ED">
            <w:pPr>
              <w:pStyle w:val="FAM-Table-outline2"/>
              <w:spacing w:line="240" w:lineRule="auto"/>
              <w:ind w:left="1140" w:hanging="443"/>
            </w:pPr>
            <w:r w:rsidRPr="005B5418">
              <w:t>portion of change in an estimate (noted in (d)) that relates to prior</w:t>
            </w:r>
            <w:r w:rsidR="001427BD" w:rsidRPr="005B5418">
              <w:t xml:space="preserve"> </w:t>
            </w:r>
            <w:r w:rsidRPr="005B5418">
              <w:t>period operations;</w:t>
            </w:r>
          </w:p>
          <w:p w14:paraId="25A7BFC6" w14:textId="77777777" w:rsidR="009118E5" w:rsidRPr="005B5418" w:rsidRDefault="009118E5" w:rsidP="005425ED">
            <w:pPr>
              <w:pStyle w:val="FAM-Table-outline2"/>
              <w:spacing w:line="240" w:lineRule="auto"/>
              <w:ind w:left="1140" w:hanging="443"/>
            </w:pPr>
            <w:r w:rsidRPr="005B5418">
              <w:t xml:space="preserve">the nature of estimates; and </w:t>
            </w:r>
          </w:p>
          <w:p w14:paraId="2F74E03A" w14:textId="14B0E6C3" w:rsidR="009118E5" w:rsidRPr="005B5418" w:rsidRDefault="009118E5" w:rsidP="005425ED">
            <w:pPr>
              <w:pStyle w:val="FAM-Table-outline2"/>
              <w:spacing w:line="240" w:lineRule="auto"/>
              <w:ind w:left="1140" w:hanging="443"/>
              <w:rPr>
                <w:lang w:val="pt-BR"/>
              </w:rPr>
            </w:pPr>
            <w:r w:rsidRPr="005B5418">
              <w:t>information regarding possible changes due to inflation, deflation, technology, or applicable laws and regulations?</w:t>
            </w:r>
            <w:r w:rsidRPr="005425ED">
              <w:br/>
              <w:t>(SFFAS 6, par</w:t>
            </w:r>
            <w:r w:rsidR="001427BD" w:rsidRPr="005425ED">
              <w:t>as</w:t>
            </w:r>
            <w:r w:rsidRPr="005425ED">
              <w:t>. 1</w:t>
            </w:r>
            <w:r w:rsidR="00754419" w:rsidRPr="005425ED">
              <w:t>07</w:t>
            </w:r>
            <w:r w:rsidR="001427BD" w:rsidRPr="005425ED">
              <w:t>–</w:t>
            </w:r>
            <w:r w:rsidRPr="005425ED">
              <w:t>111)</w:t>
            </w:r>
          </w:p>
        </w:tc>
        <w:tc>
          <w:tcPr>
            <w:tcW w:w="965" w:type="dxa"/>
          </w:tcPr>
          <w:p w14:paraId="31CAEDFC" w14:textId="77777777" w:rsidR="009118E5" w:rsidRPr="005B5418" w:rsidRDefault="009118E5" w:rsidP="008848DA">
            <w:pPr>
              <w:pStyle w:val="Table-Cell-CenterBoldBefore6ptAfter6pt"/>
              <w:spacing w:before="60" w:after="60"/>
              <w:rPr>
                <w:rFonts w:cs="Arial"/>
                <w:lang w:val="pt-BR"/>
              </w:rPr>
            </w:pPr>
          </w:p>
        </w:tc>
        <w:tc>
          <w:tcPr>
            <w:tcW w:w="3211" w:type="dxa"/>
          </w:tcPr>
          <w:p w14:paraId="51189903" w14:textId="77777777" w:rsidR="009118E5" w:rsidRPr="005B5418" w:rsidRDefault="009118E5" w:rsidP="008848DA">
            <w:pPr>
              <w:spacing w:before="60" w:after="60" w:line="240" w:lineRule="auto"/>
              <w:rPr>
                <w:rFonts w:cs="Arial"/>
                <w:lang w:val="pt-BR"/>
              </w:rPr>
            </w:pPr>
          </w:p>
        </w:tc>
      </w:tr>
      <w:tr w:rsidR="005957E2" w:rsidRPr="005B5418" w14:paraId="4FFA90B0" w14:textId="77777777" w:rsidTr="00E678C2">
        <w:trPr>
          <w:cantSplit/>
          <w:trHeight w:val="1700"/>
        </w:trPr>
        <w:tc>
          <w:tcPr>
            <w:tcW w:w="5405" w:type="dxa"/>
          </w:tcPr>
          <w:p w14:paraId="75CD0BB2" w14:textId="4662B263" w:rsidR="005957E2" w:rsidRPr="005B5418" w:rsidRDefault="005957E2">
            <w:pPr>
              <w:pStyle w:val="FAM-Table-outline"/>
              <w:widowControl/>
              <w:adjustRightInd/>
              <w:spacing w:line="240" w:lineRule="auto"/>
              <w:textAlignment w:val="auto"/>
              <w:rPr>
                <w:rFonts w:cs="Arial"/>
              </w:rPr>
            </w:pPr>
            <w:r w:rsidRPr="005B5418">
              <w:rPr>
                <w:rFonts w:cs="Arial"/>
              </w:rPr>
              <w:t xml:space="preserve">Does the entity include a reference to </w:t>
            </w:r>
            <w:r w:rsidR="004C0AA2" w:rsidRPr="005B5418">
              <w:rPr>
                <w:rFonts w:cs="Arial"/>
              </w:rPr>
              <w:t xml:space="preserve">the Commitments and Contingencies </w:t>
            </w:r>
            <w:r w:rsidR="00ED0A84" w:rsidRPr="005B5418">
              <w:rPr>
                <w:rFonts w:cs="Arial"/>
              </w:rPr>
              <w:t>note</w:t>
            </w:r>
            <w:r w:rsidR="0075793C" w:rsidRPr="005B5418">
              <w:rPr>
                <w:rFonts w:cs="Arial"/>
              </w:rPr>
              <w:t xml:space="preserve"> if non-legal environmental and disposal contingencies are disclosed in </w:t>
            </w:r>
            <w:r w:rsidR="004C0AA2" w:rsidRPr="005B5418">
              <w:rPr>
                <w:rFonts w:cs="Arial"/>
              </w:rPr>
              <w:t xml:space="preserve">the Commitments and Contingencies </w:t>
            </w:r>
            <w:r w:rsidR="00ED0A84" w:rsidRPr="005B5418">
              <w:rPr>
                <w:rFonts w:cs="Arial"/>
              </w:rPr>
              <w:t>note</w:t>
            </w:r>
            <w:r w:rsidR="0075793C" w:rsidRPr="005B5418">
              <w:rPr>
                <w:rFonts w:cs="Arial"/>
              </w:rPr>
              <w:t>? (A-136, section II.3.8.16)</w:t>
            </w:r>
          </w:p>
          <w:p w14:paraId="286B2D56" w14:textId="5027C0EF" w:rsidR="0075793C" w:rsidRPr="005B5418" w:rsidRDefault="0075793C" w:rsidP="00E678C2">
            <w:pPr>
              <w:pStyle w:val="FAM-Table-outline"/>
              <w:widowControl/>
              <w:numPr>
                <w:ilvl w:val="0"/>
                <w:numId w:val="0"/>
              </w:numPr>
              <w:adjustRightInd/>
              <w:spacing w:line="240" w:lineRule="auto"/>
              <w:textAlignment w:val="auto"/>
              <w:rPr>
                <w:rFonts w:cs="Arial"/>
              </w:rPr>
            </w:pPr>
          </w:p>
        </w:tc>
        <w:tc>
          <w:tcPr>
            <w:tcW w:w="965" w:type="dxa"/>
          </w:tcPr>
          <w:p w14:paraId="32B6F4F7" w14:textId="77777777" w:rsidR="005957E2" w:rsidRPr="005B5418" w:rsidRDefault="005957E2" w:rsidP="008848DA">
            <w:pPr>
              <w:pStyle w:val="Table-Cell-CenterBoldBefore6ptAfter6pt"/>
              <w:spacing w:before="60" w:after="60"/>
              <w:rPr>
                <w:rFonts w:cs="Arial"/>
                <w:lang w:val="pt-BR"/>
              </w:rPr>
            </w:pPr>
          </w:p>
        </w:tc>
        <w:tc>
          <w:tcPr>
            <w:tcW w:w="3211" w:type="dxa"/>
          </w:tcPr>
          <w:p w14:paraId="2FE06E77" w14:textId="77777777" w:rsidR="005957E2" w:rsidRPr="005B5418" w:rsidRDefault="005957E2" w:rsidP="008848DA">
            <w:pPr>
              <w:spacing w:before="60" w:after="60" w:line="240" w:lineRule="auto"/>
              <w:rPr>
                <w:rFonts w:cs="Arial"/>
                <w:lang w:val="pt-BR"/>
              </w:rPr>
            </w:pPr>
          </w:p>
        </w:tc>
      </w:tr>
    </w:tbl>
    <w:p w14:paraId="67EDB276" w14:textId="77777777" w:rsidR="009118E5" w:rsidRPr="005B5418" w:rsidRDefault="009118E5" w:rsidP="003B61E9">
      <w:pPr>
        <w:spacing w:line="240" w:lineRule="auto"/>
        <w:rPr>
          <w:rFonts w:cs="Arial"/>
        </w:rPr>
      </w:pPr>
    </w:p>
    <w:p w14:paraId="76803502" w14:textId="77777777" w:rsidR="00E37A19" w:rsidRPr="005B5418" w:rsidRDefault="00E37A19">
      <w:pPr>
        <w:rPr>
          <w:rFonts w:cs="Arial"/>
        </w:rPr>
      </w:pPr>
      <w:r w:rsidRPr="005B5418">
        <w:rPr>
          <w:rFonts w:cs="Arial"/>
        </w:rPr>
        <w:br w:type="page"/>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30"/>
      </w:tblGrid>
      <w:tr w:rsidR="0052235B" w:rsidRPr="005B5418" w14:paraId="19CD06EC" w14:textId="77777777" w:rsidTr="008F3A0B">
        <w:trPr>
          <w:tblHeader/>
        </w:trPr>
        <w:tc>
          <w:tcPr>
            <w:tcW w:w="5400" w:type="dxa"/>
          </w:tcPr>
          <w:p w14:paraId="2FF12064" w14:textId="27196185" w:rsidR="0052235B" w:rsidRPr="005B5418" w:rsidRDefault="0052235B" w:rsidP="0052235B">
            <w:pPr>
              <w:pStyle w:val="Heading4"/>
              <w:spacing w:before="60" w:after="60" w:line="240" w:lineRule="auto"/>
              <w:jc w:val="left"/>
              <w:rPr>
                <w:b/>
                <w:i/>
                <w:u w:val="none"/>
              </w:rPr>
            </w:pPr>
            <w:bookmarkStart w:id="185" w:name="_II.3.8.17_Insurance_Programs"/>
            <w:bookmarkEnd w:id="185"/>
            <w:r w:rsidRPr="005B5418">
              <w:rPr>
                <w:b/>
                <w:u w:val="none"/>
              </w:rPr>
              <w:lastRenderedPageBreak/>
              <w:t xml:space="preserve">II.3.8.17 Insurance Programs </w:t>
            </w:r>
          </w:p>
        </w:tc>
        <w:tc>
          <w:tcPr>
            <w:tcW w:w="965" w:type="dxa"/>
          </w:tcPr>
          <w:p w14:paraId="50745C9E" w14:textId="77777777" w:rsidR="0052235B" w:rsidRPr="005B5418" w:rsidRDefault="0052235B" w:rsidP="008F3A0B">
            <w:pPr>
              <w:pStyle w:val="TableCellCenter"/>
              <w:spacing w:before="60" w:after="60"/>
              <w:jc w:val="left"/>
            </w:pPr>
            <w:r w:rsidRPr="005B5418">
              <w:t>Yes, No, or N/A</w:t>
            </w:r>
          </w:p>
        </w:tc>
        <w:tc>
          <w:tcPr>
            <w:tcW w:w="3230" w:type="dxa"/>
          </w:tcPr>
          <w:p w14:paraId="1B11ED65" w14:textId="77777777" w:rsidR="0052235B" w:rsidRPr="005B5418" w:rsidRDefault="0052235B" w:rsidP="008F3A0B">
            <w:pPr>
              <w:pStyle w:val="TableCellCenter"/>
              <w:spacing w:before="60" w:after="60"/>
              <w:jc w:val="left"/>
            </w:pPr>
            <w:r w:rsidRPr="005B5418">
              <w:t>Explanation and Reference</w:t>
            </w:r>
          </w:p>
        </w:tc>
      </w:tr>
      <w:tr w:rsidR="0052235B" w:rsidRPr="005B5418" w14:paraId="21324469" w14:textId="77777777" w:rsidTr="008F3A0B">
        <w:trPr>
          <w:trHeight w:val="1277"/>
        </w:trPr>
        <w:tc>
          <w:tcPr>
            <w:tcW w:w="9595" w:type="dxa"/>
            <w:gridSpan w:val="3"/>
          </w:tcPr>
          <w:p w14:paraId="698F4D4B" w14:textId="77777777" w:rsidR="0052235B" w:rsidRPr="005B5418" w:rsidRDefault="0052235B" w:rsidP="008F3A0B">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Insurance program is a general term used to refer to a program that is authorized by law to financially compensate a designated population of beneficiaries by accepting all or part of the risk for losses incurred as a result of an adverse event. (SFFAS 51, para. 5)</w:t>
            </w:r>
          </w:p>
          <w:p w14:paraId="399533FA" w14:textId="77777777" w:rsidR="0052235B" w:rsidRPr="005B5418" w:rsidRDefault="0052235B" w:rsidP="008F3A0B">
            <w:pPr>
              <w:pStyle w:val="Table-Note"/>
              <w:spacing w:before="60" w:after="60" w:line="240" w:lineRule="auto"/>
              <w:ind w:left="0"/>
              <w:jc w:val="left"/>
              <w:rPr>
                <w:rFonts w:eastAsia="Arial Unicode MS" w:cs="Arial"/>
                <w:i w:val="0"/>
                <w:sz w:val="22"/>
                <w:szCs w:val="22"/>
              </w:rPr>
            </w:pPr>
            <w:r w:rsidRPr="005B5418">
              <w:rPr>
                <w:rFonts w:eastAsia="Arial Unicode MS" w:cs="Arial"/>
                <w:i w:val="0"/>
                <w:sz w:val="22"/>
                <w:szCs w:val="22"/>
              </w:rPr>
              <w:t>Three categories of insurance were established:</w:t>
            </w:r>
          </w:p>
          <w:p w14:paraId="2BF7CFB8" w14:textId="53624F50" w:rsidR="0052235B" w:rsidRPr="005B5418" w:rsidRDefault="0052235B" w:rsidP="0091674B">
            <w:pPr>
              <w:pStyle w:val="Table-Note"/>
              <w:numPr>
                <w:ilvl w:val="0"/>
                <w:numId w:val="99"/>
              </w:numPr>
              <w:spacing w:before="60" w:after="60" w:line="240" w:lineRule="auto"/>
              <w:jc w:val="left"/>
              <w:rPr>
                <w:rFonts w:eastAsia="Arial Unicode MS" w:cs="Arial"/>
                <w:i w:val="0"/>
                <w:sz w:val="22"/>
                <w:szCs w:val="22"/>
              </w:rPr>
            </w:pPr>
            <w:r w:rsidRPr="005B5418">
              <w:rPr>
                <w:rFonts w:eastAsia="Arial Unicode MS" w:cs="Arial"/>
                <w:i w:val="0"/>
                <w:sz w:val="22"/>
                <w:szCs w:val="22"/>
              </w:rPr>
              <w:t xml:space="preserve">Exchange transaction insurance programs other than life insurance cover the risk of loss from adverse events, other than death of individuals, involved in exchange transactions with the federal government as defined in SFFAS 7. (SFFAS 51, para. 11) </w:t>
            </w:r>
          </w:p>
          <w:p w14:paraId="5CE88DC6" w14:textId="77777777" w:rsidR="0052235B" w:rsidRPr="005B5418" w:rsidRDefault="0052235B" w:rsidP="0091674B">
            <w:pPr>
              <w:pStyle w:val="Table-Note"/>
              <w:numPr>
                <w:ilvl w:val="0"/>
                <w:numId w:val="99"/>
              </w:numPr>
              <w:spacing w:before="60" w:after="60" w:line="240" w:lineRule="auto"/>
              <w:jc w:val="left"/>
              <w:rPr>
                <w:rFonts w:eastAsia="Arial Unicode MS" w:cs="Arial"/>
                <w:i w:val="0"/>
                <w:sz w:val="22"/>
                <w:szCs w:val="22"/>
              </w:rPr>
            </w:pPr>
            <w:r w:rsidRPr="005B5418">
              <w:rPr>
                <w:rFonts w:eastAsia="Arial Unicode MS" w:cs="Arial"/>
                <w:i w:val="0"/>
                <w:sz w:val="22"/>
                <w:szCs w:val="22"/>
              </w:rPr>
              <w:t>Nonexchange transaction insurance programs cover the risk of loss from adverse events through nonexchange transactions as defined in SFFAS 7. (SFFAS 51, para. 19)</w:t>
            </w:r>
          </w:p>
          <w:p w14:paraId="6093CD27" w14:textId="77777777" w:rsidR="0052235B" w:rsidRPr="005B5418" w:rsidRDefault="0052235B" w:rsidP="0091674B">
            <w:pPr>
              <w:pStyle w:val="Table-Note"/>
              <w:numPr>
                <w:ilvl w:val="0"/>
                <w:numId w:val="99"/>
              </w:numPr>
              <w:spacing w:before="60" w:after="60" w:line="240" w:lineRule="auto"/>
              <w:jc w:val="left"/>
              <w:rPr>
                <w:rFonts w:eastAsia="Arial Unicode MS" w:cs="Arial"/>
                <w:i w:val="0"/>
                <w:sz w:val="22"/>
                <w:szCs w:val="22"/>
              </w:rPr>
            </w:pPr>
            <w:r w:rsidRPr="005B5418">
              <w:rPr>
                <w:rFonts w:eastAsia="Arial Unicode MS" w:cs="Arial"/>
                <w:i w:val="0"/>
                <w:sz w:val="22"/>
                <w:szCs w:val="22"/>
              </w:rPr>
              <w:t xml:space="preserve">Life insurance programs cover the risk of loss from death of individuals. (SFFAS 51, para. 18) </w:t>
            </w:r>
          </w:p>
        </w:tc>
      </w:tr>
      <w:tr w:rsidR="0052235B" w:rsidRPr="005B5418" w14:paraId="17B50462" w14:textId="77777777" w:rsidTr="008F3A0B">
        <w:trPr>
          <w:trHeight w:val="449"/>
        </w:trPr>
        <w:tc>
          <w:tcPr>
            <w:tcW w:w="9595" w:type="dxa"/>
            <w:gridSpan w:val="3"/>
          </w:tcPr>
          <w:p w14:paraId="2077318F" w14:textId="77777777" w:rsidR="0052235B" w:rsidRPr="005B5418" w:rsidRDefault="0052235B" w:rsidP="008F3A0B">
            <w:pPr>
              <w:pStyle w:val="BodyTextIndent"/>
              <w:spacing w:before="60" w:after="60"/>
              <w:ind w:left="-35"/>
              <w:rPr>
                <w:rFonts w:cs="Arial"/>
                <w:lang w:val="pt-BR"/>
              </w:rPr>
            </w:pPr>
            <w:r w:rsidRPr="005B5418">
              <w:rPr>
                <w:b/>
              </w:rPr>
              <w:t>Exchange Transaction Insurance Programs Other Than Life Insurance</w:t>
            </w:r>
          </w:p>
        </w:tc>
      </w:tr>
      <w:tr w:rsidR="0052235B" w:rsidRPr="005B5418" w14:paraId="7938B1BC" w14:textId="77777777" w:rsidTr="008F3A0B">
        <w:trPr>
          <w:trHeight w:val="4949"/>
        </w:trPr>
        <w:tc>
          <w:tcPr>
            <w:tcW w:w="9595" w:type="dxa"/>
            <w:gridSpan w:val="3"/>
          </w:tcPr>
          <w:p w14:paraId="1675D761" w14:textId="77777777" w:rsidR="0052235B" w:rsidRPr="005B5418" w:rsidRDefault="0052235B" w:rsidP="00E678C2">
            <w:pPr>
              <w:pStyle w:val="Table-Note"/>
              <w:spacing w:line="240" w:lineRule="auto"/>
              <w:ind w:left="0"/>
              <w:jc w:val="left"/>
              <w:rPr>
                <w:rFonts w:eastAsia="Arial Unicode MS" w:cs="Arial"/>
                <w:i w:val="0"/>
                <w:sz w:val="22"/>
                <w:szCs w:val="22"/>
              </w:rPr>
            </w:pPr>
            <w:r w:rsidRPr="005B5418">
              <w:rPr>
                <w:rFonts w:eastAsia="Arial Unicode MS" w:cs="Arial"/>
                <w:i w:val="0"/>
                <w:sz w:val="22"/>
                <w:szCs w:val="22"/>
              </w:rPr>
              <w:t>Exchange transaction insurance programs other than life insurance collect premiums through arrangements to cover the risk of loss from adverse events other than death of individuals. (SFFAS 51, para. 22)</w:t>
            </w:r>
          </w:p>
          <w:p w14:paraId="41D46B6C" w14:textId="77777777" w:rsidR="0052235B" w:rsidRPr="005B5418" w:rsidRDefault="0052235B" w:rsidP="00E678C2">
            <w:pPr>
              <w:pStyle w:val="BodyTextIndent"/>
              <w:ind w:left="0"/>
              <w:rPr>
                <w:rFonts w:eastAsia="Arial Unicode MS" w:cs="Arial"/>
                <w:szCs w:val="22"/>
              </w:rPr>
            </w:pPr>
            <w:r w:rsidRPr="005B5418">
              <w:rPr>
                <w:rFonts w:eastAsia="Arial Unicode MS" w:cs="Arial"/>
                <w:szCs w:val="22"/>
              </w:rPr>
              <w:t>An insurance program other than a life insurance program receiving any exchange revenue should be designated as an exchange transaction insurance program other than life insurance. (SFFAS 51, para. 23)</w:t>
            </w:r>
          </w:p>
          <w:p w14:paraId="0D29D725" w14:textId="77777777" w:rsidR="0052235B" w:rsidRPr="005B5418" w:rsidRDefault="0052235B" w:rsidP="00E678C2">
            <w:pPr>
              <w:pStyle w:val="Table-Note"/>
              <w:spacing w:line="240" w:lineRule="auto"/>
              <w:ind w:left="0"/>
              <w:jc w:val="left"/>
              <w:rPr>
                <w:rFonts w:eastAsia="Arial Unicode MS" w:cs="Arial"/>
                <w:i w:val="0"/>
                <w:sz w:val="22"/>
                <w:szCs w:val="22"/>
              </w:rPr>
            </w:pPr>
            <w:r w:rsidRPr="005B5418">
              <w:rPr>
                <w:rFonts w:eastAsia="Arial Unicode MS" w:cs="Arial"/>
                <w:i w:val="0"/>
                <w:sz w:val="22"/>
                <w:szCs w:val="22"/>
              </w:rPr>
              <w:t>Exchange insurance programs excluding life may have three related liability categories:</w:t>
            </w:r>
          </w:p>
          <w:p w14:paraId="192F4FCE" w14:textId="1B186BB5" w:rsidR="0052235B" w:rsidRPr="005B5418" w:rsidRDefault="00E512C8" w:rsidP="00E678C2">
            <w:pPr>
              <w:pStyle w:val="ListBullet"/>
              <w:widowControl w:val="0"/>
              <w:numPr>
                <w:ilvl w:val="0"/>
                <w:numId w:val="6"/>
              </w:numPr>
              <w:adjustRightInd w:val="0"/>
              <w:spacing w:before="0"/>
              <w:contextualSpacing/>
              <w:textAlignment w:val="baseline"/>
              <w:rPr>
                <w:rFonts w:eastAsia="Arial Unicode MS"/>
                <w:szCs w:val="22"/>
              </w:rPr>
            </w:pPr>
            <w:r w:rsidRPr="005B5418">
              <w:rPr>
                <w:rFonts w:eastAsia="Arial Unicode MS"/>
                <w:szCs w:val="22"/>
              </w:rPr>
              <w:t xml:space="preserve">Liability for </w:t>
            </w:r>
            <w:r w:rsidR="0052235B" w:rsidRPr="005B5418">
              <w:rPr>
                <w:rFonts w:eastAsia="Arial Unicode MS"/>
                <w:szCs w:val="22"/>
              </w:rPr>
              <w:t xml:space="preserve">Unearned </w:t>
            </w:r>
            <w:r w:rsidR="00B279A4">
              <w:rPr>
                <w:rFonts w:eastAsia="Arial Unicode MS"/>
                <w:szCs w:val="22"/>
              </w:rPr>
              <w:t>P</w:t>
            </w:r>
            <w:r w:rsidR="00B279A4" w:rsidRPr="005B5418">
              <w:rPr>
                <w:rFonts w:eastAsia="Arial Unicode MS"/>
                <w:szCs w:val="22"/>
              </w:rPr>
              <w:t>remiums</w:t>
            </w:r>
          </w:p>
          <w:p w14:paraId="47154F80" w14:textId="08BEBCEC" w:rsidR="0052235B" w:rsidRPr="005B5418" w:rsidRDefault="00E512C8" w:rsidP="00E678C2">
            <w:pPr>
              <w:pStyle w:val="ListBullet"/>
              <w:widowControl w:val="0"/>
              <w:numPr>
                <w:ilvl w:val="0"/>
                <w:numId w:val="6"/>
              </w:numPr>
              <w:adjustRightInd w:val="0"/>
              <w:spacing w:before="0"/>
              <w:contextualSpacing/>
              <w:textAlignment w:val="baseline"/>
              <w:rPr>
                <w:rFonts w:eastAsia="Arial Unicode MS"/>
                <w:szCs w:val="22"/>
              </w:rPr>
            </w:pPr>
            <w:r w:rsidRPr="005B5418">
              <w:rPr>
                <w:rFonts w:eastAsia="Arial Unicode MS"/>
                <w:szCs w:val="22"/>
              </w:rPr>
              <w:t xml:space="preserve">Liability for </w:t>
            </w:r>
            <w:r w:rsidR="0052235B" w:rsidRPr="005B5418">
              <w:rPr>
                <w:rFonts w:eastAsia="Arial Unicode MS"/>
                <w:szCs w:val="22"/>
              </w:rPr>
              <w:t xml:space="preserve">Unpaid </w:t>
            </w:r>
            <w:r w:rsidR="00B279A4">
              <w:rPr>
                <w:rFonts w:eastAsia="Arial Unicode MS"/>
                <w:szCs w:val="22"/>
              </w:rPr>
              <w:t>I</w:t>
            </w:r>
            <w:r w:rsidR="00B279A4" w:rsidRPr="005B5418">
              <w:rPr>
                <w:rFonts w:eastAsia="Arial Unicode MS"/>
                <w:szCs w:val="22"/>
              </w:rPr>
              <w:t xml:space="preserve">nsurance </w:t>
            </w:r>
            <w:r w:rsidR="00B279A4">
              <w:rPr>
                <w:rFonts w:eastAsia="Arial Unicode MS"/>
                <w:szCs w:val="22"/>
              </w:rPr>
              <w:t>C</w:t>
            </w:r>
            <w:r w:rsidR="00B279A4" w:rsidRPr="005B5418">
              <w:rPr>
                <w:rFonts w:eastAsia="Arial Unicode MS"/>
                <w:szCs w:val="22"/>
              </w:rPr>
              <w:t>laims</w:t>
            </w:r>
          </w:p>
          <w:p w14:paraId="1797CE26" w14:textId="76240D79" w:rsidR="0052235B" w:rsidRPr="005B5418" w:rsidRDefault="0052235B" w:rsidP="00E678C2">
            <w:pPr>
              <w:pStyle w:val="ListBullet"/>
              <w:widowControl w:val="0"/>
              <w:numPr>
                <w:ilvl w:val="0"/>
                <w:numId w:val="6"/>
              </w:numPr>
              <w:adjustRightInd w:val="0"/>
              <w:spacing w:before="0"/>
              <w:contextualSpacing/>
              <w:textAlignment w:val="baseline"/>
              <w:rPr>
                <w:rFonts w:eastAsia="Arial Unicode MS" w:cs="Arial"/>
                <w:szCs w:val="22"/>
              </w:rPr>
            </w:pPr>
            <w:r w:rsidRPr="005B5418">
              <w:rPr>
                <w:rFonts w:eastAsia="Arial Unicode MS"/>
                <w:szCs w:val="22"/>
              </w:rPr>
              <w:t xml:space="preserve">Liability for </w:t>
            </w:r>
            <w:r w:rsidR="00B279A4">
              <w:rPr>
                <w:rFonts w:eastAsia="Arial Unicode MS"/>
                <w:szCs w:val="22"/>
              </w:rPr>
              <w:t>L</w:t>
            </w:r>
            <w:r w:rsidR="00B279A4" w:rsidRPr="005B5418">
              <w:rPr>
                <w:rFonts w:eastAsia="Arial Unicode MS"/>
                <w:szCs w:val="22"/>
              </w:rPr>
              <w:t xml:space="preserve">osses </w:t>
            </w:r>
            <w:r w:rsidRPr="005B5418">
              <w:rPr>
                <w:rFonts w:eastAsia="Arial Unicode MS"/>
                <w:szCs w:val="22"/>
              </w:rPr>
              <w:t xml:space="preserve">on </w:t>
            </w:r>
            <w:r w:rsidR="00B279A4">
              <w:rPr>
                <w:rFonts w:eastAsia="Arial Unicode MS"/>
                <w:szCs w:val="22"/>
              </w:rPr>
              <w:t>R</w:t>
            </w:r>
            <w:r w:rsidR="00B279A4" w:rsidRPr="005B5418">
              <w:rPr>
                <w:rFonts w:eastAsia="Arial Unicode MS"/>
                <w:szCs w:val="22"/>
              </w:rPr>
              <w:t xml:space="preserve">emaining </w:t>
            </w:r>
            <w:r w:rsidR="00B279A4">
              <w:rPr>
                <w:rFonts w:eastAsia="Arial Unicode MS"/>
                <w:szCs w:val="22"/>
              </w:rPr>
              <w:t>C</w:t>
            </w:r>
            <w:r w:rsidR="00B279A4" w:rsidRPr="005B5418">
              <w:rPr>
                <w:rFonts w:eastAsia="Arial Unicode MS"/>
                <w:szCs w:val="22"/>
              </w:rPr>
              <w:t>overage</w:t>
            </w:r>
          </w:p>
          <w:p w14:paraId="35CC49D1" w14:textId="77777777" w:rsidR="0052235B" w:rsidRPr="005B5418" w:rsidRDefault="0052235B" w:rsidP="00E678C2">
            <w:pPr>
              <w:pStyle w:val="BodyTextIndent"/>
              <w:ind w:left="0"/>
              <w:rPr>
                <w:rFonts w:eastAsia="Arial Unicode MS"/>
              </w:rPr>
            </w:pPr>
            <w:r w:rsidRPr="005B5418">
              <w:rPr>
                <w:rFonts w:cs="Arial"/>
                <w:szCs w:val="22"/>
                <w:lang w:val="pt-BR"/>
              </w:rPr>
              <w:t>The liability for losses on remaining coverage as of the end of the reporting period represents the estimated amounts to be paid to settle claims (including claim adjustment expenses (CAE)</w:t>
            </w:r>
            <w:r w:rsidRPr="005B5418">
              <w:rPr>
                <w:rStyle w:val="FootnoteReference"/>
                <w:rFonts w:cs="Arial"/>
                <w:szCs w:val="22"/>
                <w:lang w:val="pt-BR"/>
              </w:rPr>
              <w:footnoteReference w:id="175"/>
            </w:r>
            <w:r w:rsidRPr="005B5418">
              <w:rPr>
                <w:rFonts w:cs="Arial"/>
                <w:szCs w:val="22"/>
                <w:lang w:val="pt-BR"/>
              </w:rPr>
              <w:t xml:space="preserve">) for the remaining open arrangement period in excess of the sum of both (1) related unearned premiums as of the end of the reporting period and (2) premiums due after the end of the reporting period that relate to the remaining open arrangement period. (SFFAS 51, para. 30) The liability for losses on remaining coverage should provide a reasonable estimate of expected cash flow. No specific method of estimating the liability is required. </w:t>
            </w:r>
          </w:p>
        </w:tc>
      </w:tr>
      <w:tr w:rsidR="0052235B" w:rsidRPr="005B5418" w14:paraId="05ACD468" w14:textId="77777777" w:rsidTr="008F3A0B">
        <w:trPr>
          <w:trHeight w:val="1421"/>
        </w:trPr>
        <w:tc>
          <w:tcPr>
            <w:tcW w:w="5400" w:type="dxa"/>
          </w:tcPr>
          <w:p w14:paraId="0F077F32" w14:textId="77777777" w:rsidR="0052235B" w:rsidRPr="005B5418" w:rsidRDefault="0052235B" w:rsidP="008F3A0B">
            <w:pPr>
              <w:pStyle w:val="FAM-Table-outline"/>
              <w:widowControl/>
              <w:numPr>
                <w:ilvl w:val="0"/>
                <w:numId w:val="30"/>
              </w:numPr>
              <w:adjustRightInd/>
              <w:spacing w:line="240" w:lineRule="auto"/>
              <w:textAlignment w:val="auto"/>
            </w:pPr>
            <w:r w:rsidRPr="005B5418">
              <w:t>Is this topic applicable to the entity’s financial statements? (Answer Y if applicable, N/A if not applicable, or N/S if not significant. If N/A or N/S, skip to the next topic.)</w:t>
            </w:r>
          </w:p>
        </w:tc>
        <w:tc>
          <w:tcPr>
            <w:tcW w:w="965" w:type="dxa"/>
          </w:tcPr>
          <w:p w14:paraId="2DA76B6B" w14:textId="77777777" w:rsidR="0052235B" w:rsidRPr="005B5418" w:rsidRDefault="0052235B" w:rsidP="008F3A0B">
            <w:pPr>
              <w:pStyle w:val="Table-Cell-CenterBoldBefore6ptAfter6pt"/>
              <w:spacing w:before="60" w:after="60"/>
              <w:rPr>
                <w:rFonts w:cs="Arial"/>
                <w:lang w:val="pt-BR"/>
              </w:rPr>
            </w:pPr>
          </w:p>
        </w:tc>
        <w:tc>
          <w:tcPr>
            <w:tcW w:w="3230" w:type="dxa"/>
          </w:tcPr>
          <w:p w14:paraId="0AD0C1F0" w14:textId="77777777" w:rsidR="0052235B" w:rsidRPr="005B5418" w:rsidRDefault="0052235B" w:rsidP="008F3A0B">
            <w:pPr>
              <w:pStyle w:val="BodyTextIndent"/>
              <w:spacing w:before="60" w:after="60"/>
              <w:rPr>
                <w:rFonts w:cs="Arial"/>
                <w:lang w:val="pt-BR"/>
              </w:rPr>
            </w:pPr>
          </w:p>
        </w:tc>
      </w:tr>
      <w:tr w:rsidR="0052235B" w:rsidRPr="005B5418" w14:paraId="5E7E24C3" w14:textId="77777777" w:rsidTr="008F3A0B">
        <w:trPr>
          <w:trHeight w:val="224"/>
        </w:trPr>
        <w:tc>
          <w:tcPr>
            <w:tcW w:w="9595" w:type="dxa"/>
            <w:gridSpan w:val="3"/>
          </w:tcPr>
          <w:p w14:paraId="525D4072" w14:textId="77777777" w:rsidR="0052235B" w:rsidRPr="005B5418" w:rsidRDefault="0052235B" w:rsidP="008F3A0B">
            <w:pPr>
              <w:pStyle w:val="Table-Note"/>
              <w:spacing w:before="60" w:after="60" w:line="240" w:lineRule="auto"/>
              <w:jc w:val="center"/>
              <w:rPr>
                <w:rFonts w:eastAsia="Arial Unicode MS" w:cs="Arial"/>
                <w:i w:val="0"/>
                <w:szCs w:val="22"/>
              </w:rPr>
            </w:pPr>
            <w:r w:rsidRPr="005B5418">
              <w:rPr>
                <w:rFonts w:eastAsia="Arial Unicode MS"/>
                <w:b/>
                <w:i w:val="0"/>
                <w:sz w:val="22"/>
              </w:rPr>
              <w:lastRenderedPageBreak/>
              <w:t>Revenue</w:t>
            </w:r>
          </w:p>
        </w:tc>
      </w:tr>
      <w:tr w:rsidR="0052235B" w:rsidRPr="005B5418" w14:paraId="67C7BB37" w14:textId="77777777" w:rsidTr="008F3A0B">
        <w:trPr>
          <w:trHeight w:val="224"/>
        </w:trPr>
        <w:tc>
          <w:tcPr>
            <w:tcW w:w="9595" w:type="dxa"/>
            <w:gridSpan w:val="3"/>
          </w:tcPr>
          <w:p w14:paraId="28553464" w14:textId="77777777" w:rsidR="0052235B" w:rsidRPr="005B5418" w:rsidRDefault="0052235B" w:rsidP="008F3A0B">
            <w:pPr>
              <w:pStyle w:val="Table-Note"/>
              <w:spacing w:before="60" w:after="60" w:line="240" w:lineRule="auto"/>
              <w:ind w:left="0"/>
              <w:jc w:val="left"/>
              <w:rPr>
                <w:rFonts w:eastAsia="Arial Unicode MS"/>
                <w:b/>
                <w:i w:val="0"/>
                <w:sz w:val="22"/>
              </w:rPr>
            </w:pPr>
            <w:r w:rsidRPr="005B5418">
              <w:rPr>
                <w:rFonts w:eastAsia="Arial Unicode MS"/>
                <w:b/>
                <w:i w:val="0"/>
                <w:sz w:val="22"/>
              </w:rPr>
              <w:t>Accounting</w:t>
            </w:r>
          </w:p>
        </w:tc>
      </w:tr>
      <w:tr w:rsidR="0052235B" w:rsidRPr="005B5418" w14:paraId="75F93FD6" w14:textId="77777777" w:rsidTr="008F3A0B">
        <w:trPr>
          <w:trHeight w:val="1421"/>
        </w:trPr>
        <w:tc>
          <w:tcPr>
            <w:tcW w:w="5400" w:type="dxa"/>
          </w:tcPr>
          <w:p w14:paraId="7466137B" w14:textId="77777777" w:rsidR="0052235B" w:rsidRPr="005B5418" w:rsidRDefault="0052235B" w:rsidP="008F3A0B">
            <w:pPr>
              <w:pStyle w:val="FAM-Table-outline"/>
              <w:widowControl/>
              <w:numPr>
                <w:ilvl w:val="0"/>
                <w:numId w:val="30"/>
              </w:numPr>
              <w:adjustRightInd/>
              <w:spacing w:line="240" w:lineRule="auto"/>
              <w:textAlignment w:val="auto"/>
            </w:pPr>
            <w:r w:rsidRPr="005B5418">
              <w:rPr>
                <w:szCs w:val="22"/>
              </w:rPr>
              <w:t>Does the entity recognize premiums as revenue when earned over the period of the arrangement in proportion to insurance protection provided? (SFFAS 51, para. 24)</w:t>
            </w:r>
          </w:p>
        </w:tc>
        <w:tc>
          <w:tcPr>
            <w:tcW w:w="965" w:type="dxa"/>
          </w:tcPr>
          <w:p w14:paraId="0B06421C" w14:textId="77777777" w:rsidR="0052235B" w:rsidRPr="005B5418" w:rsidRDefault="0052235B" w:rsidP="008F3A0B">
            <w:pPr>
              <w:pStyle w:val="Table-Cell-CenterBoldBefore6ptAfter6pt"/>
              <w:spacing w:before="60" w:after="60"/>
              <w:rPr>
                <w:rFonts w:cs="Arial"/>
                <w:lang w:val="pt-BR"/>
              </w:rPr>
            </w:pPr>
          </w:p>
        </w:tc>
        <w:tc>
          <w:tcPr>
            <w:tcW w:w="3230" w:type="dxa"/>
          </w:tcPr>
          <w:p w14:paraId="0A22D95B" w14:textId="77777777" w:rsidR="0052235B" w:rsidRPr="005B5418" w:rsidRDefault="0052235B" w:rsidP="008F3A0B">
            <w:pPr>
              <w:pStyle w:val="BodyTextIndent"/>
              <w:spacing w:before="60" w:after="60"/>
              <w:rPr>
                <w:rFonts w:cs="Arial"/>
                <w:lang w:val="pt-BR"/>
              </w:rPr>
            </w:pPr>
          </w:p>
        </w:tc>
      </w:tr>
      <w:tr w:rsidR="0052235B" w:rsidRPr="005B5418" w14:paraId="505CF8E2" w14:textId="77777777" w:rsidTr="008F3A0B">
        <w:trPr>
          <w:trHeight w:val="359"/>
        </w:trPr>
        <w:tc>
          <w:tcPr>
            <w:tcW w:w="9595" w:type="dxa"/>
            <w:gridSpan w:val="3"/>
          </w:tcPr>
          <w:p w14:paraId="7612F564" w14:textId="77777777" w:rsidR="0052235B" w:rsidRPr="005B5418" w:rsidRDefault="0052235B" w:rsidP="008F3A0B">
            <w:pPr>
              <w:pStyle w:val="BodyTextIndent"/>
              <w:spacing w:before="60" w:after="60"/>
              <w:jc w:val="center"/>
              <w:rPr>
                <w:rFonts w:cs="Arial"/>
                <w:lang w:val="pt-BR"/>
              </w:rPr>
            </w:pPr>
            <w:r w:rsidRPr="005B5418">
              <w:rPr>
                <w:rFonts w:eastAsia="Arial Unicode MS" w:cs="Arial"/>
                <w:b/>
                <w:szCs w:val="22"/>
              </w:rPr>
              <w:t>Liability for Unearned Premiums</w:t>
            </w:r>
          </w:p>
        </w:tc>
      </w:tr>
      <w:tr w:rsidR="0052235B" w:rsidRPr="005B5418" w14:paraId="31723F4E" w14:textId="77777777" w:rsidTr="008F3A0B">
        <w:trPr>
          <w:trHeight w:hRule="exact" w:val="461"/>
        </w:trPr>
        <w:tc>
          <w:tcPr>
            <w:tcW w:w="9595" w:type="dxa"/>
            <w:gridSpan w:val="3"/>
          </w:tcPr>
          <w:p w14:paraId="19C4E42D" w14:textId="77777777" w:rsidR="0052235B" w:rsidRPr="005B5418" w:rsidRDefault="0052235B" w:rsidP="008F3A0B">
            <w:pPr>
              <w:pStyle w:val="Table-Note"/>
              <w:spacing w:before="60" w:after="60" w:line="240" w:lineRule="auto"/>
              <w:ind w:left="0"/>
              <w:jc w:val="left"/>
              <w:rPr>
                <w:rFonts w:eastAsia="Arial Unicode MS"/>
                <w:b/>
                <w:i w:val="0"/>
                <w:sz w:val="22"/>
              </w:rPr>
            </w:pPr>
            <w:r w:rsidRPr="005B5418">
              <w:rPr>
                <w:rFonts w:eastAsia="Arial Unicode MS"/>
                <w:b/>
                <w:i w:val="0"/>
                <w:sz w:val="22"/>
              </w:rPr>
              <w:t>Accounting</w:t>
            </w:r>
          </w:p>
        </w:tc>
      </w:tr>
      <w:tr w:rsidR="0052235B" w:rsidRPr="005B5418" w14:paraId="23EE03DC" w14:textId="77777777" w:rsidTr="008F3A0B">
        <w:trPr>
          <w:trHeight w:val="1421"/>
        </w:trPr>
        <w:tc>
          <w:tcPr>
            <w:tcW w:w="5400" w:type="dxa"/>
          </w:tcPr>
          <w:p w14:paraId="06F36C94"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recognize a liability for unearned premiums for the amount of premiums collected and/or due by the end of the reporting period that have not yet been earned in proportion to the insurance protection to be provided during the remaining arrangement period? (SFFAS 51, para. 25)</w:t>
            </w:r>
          </w:p>
        </w:tc>
        <w:tc>
          <w:tcPr>
            <w:tcW w:w="965" w:type="dxa"/>
          </w:tcPr>
          <w:p w14:paraId="43992A0E" w14:textId="77777777" w:rsidR="0052235B" w:rsidRPr="005B5418" w:rsidRDefault="0052235B" w:rsidP="008F3A0B">
            <w:pPr>
              <w:pStyle w:val="Table-Cell-CenterBoldBefore6ptAfter6pt"/>
              <w:spacing w:before="60" w:after="60"/>
              <w:rPr>
                <w:rFonts w:cs="Arial"/>
                <w:lang w:val="pt-BR"/>
              </w:rPr>
            </w:pPr>
          </w:p>
        </w:tc>
        <w:tc>
          <w:tcPr>
            <w:tcW w:w="3230" w:type="dxa"/>
          </w:tcPr>
          <w:p w14:paraId="65EF2F14" w14:textId="77777777" w:rsidR="0052235B" w:rsidRPr="005B5418" w:rsidRDefault="0052235B" w:rsidP="008F3A0B">
            <w:pPr>
              <w:pStyle w:val="BodyTextIndent"/>
              <w:spacing w:before="60" w:after="60"/>
              <w:rPr>
                <w:rFonts w:cs="Arial"/>
                <w:lang w:val="pt-BR"/>
              </w:rPr>
            </w:pPr>
          </w:p>
        </w:tc>
      </w:tr>
      <w:tr w:rsidR="0052235B" w:rsidRPr="005B5418" w14:paraId="6F48FC69" w14:textId="77777777" w:rsidTr="008F3A0B">
        <w:trPr>
          <w:trHeight w:val="296"/>
        </w:trPr>
        <w:tc>
          <w:tcPr>
            <w:tcW w:w="9595" w:type="dxa"/>
            <w:gridSpan w:val="3"/>
          </w:tcPr>
          <w:p w14:paraId="7D16D07B" w14:textId="77777777" w:rsidR="0052235B" w:rsidRPr="005B5418" w:rsidRDefault="0052235B" w:rsidP="008F3A0B">
            <w:pPr>
              <w:pStyle w:val="BodyTextIndent"/>
              <w:spacing w:before="60" w:after="60"/>
              <w:jc w:val="center"/>
              <w:rPr>
                <w:rFonts w:cs="Arial"/>
                <w:lang w:val="pt-BR"/>
              </w:rPr>
            </w:pPr>
            <w:r w:rsidRPr="005B5418">
              <w:rPr>
                <w:rFonts w:eastAsia="Arial Unicode MS" w:cs="Arial"/>
                <w:b/>
                <w:szCs w:val="22"/>
              </w:rPr>
              <w:t>Liability for Unpaid Insurance Claims</w:t>
            </w:r>
          </w:p>
        </w:tc>
      </w:tr>
      <w:tr w:rsidR="0052235B" w:rsidRPr="005B5418" w14:paraId="7DA15D86" w14:textId="77777777" w:rsidTr="008F3A0B">
        <w:trPr>
          <w:trHeight w:hRule="exact" w:val="461"/>
        </w:trPr>
        <w:tc>
          <w:tcPr>
            <w:tcW w:w="9595" w:type="dxa"/>
            <w:gridSpan w:val="3"/>
          </w:tcPr>
          <w:p w14:paraId="5E08408E" w14:textId="77777777" w:rsidR="0052235B" w:rsidRPr="005B5418" w:rsidRDefault="0052235B" w:rsidP="008F3A0B">
            <w:pPr>
              <w:pStyle w:val="Table-Note"/>
              <w:spacing w:before="60" w:after="60" w:line="240" w:lineRule="auto"/>
              <w:ind w:left="0"/>
              <w:jc w:val="left"/>
              <w:rPr>
                <w:rFonts w:eastAsia="Arial Unicode MS"/>
                <w:b/>
                <w:i w:val="0"/>
                <w:sz w:val="22"/>
              </w:rPr>
            </w:pPr>
            <w:r w:rsidRPr="005B5418">
              <w:rPr>
                <w:rFonts w:eastAsia="Arial Unicode MS"/>
                <w:b/>
                <w:i w:val="0"/>
                <w:sz w:val="22"/>
              </w:rPr>
              <w:t>Accounting</w:t>
            </w:r>
          </w:p>
        </w:tc>
      </w:tr>
      <w:tr w:rsidR="0052235B" w:rsidRPr="005B5418" w14:paraId="3F48C848" w14:textId="77777777" w:rsidTr="008F3A0B">
        <w:trPr>
          <w:trHeight w:val="1421"/>
        </w:trPr>
        <w:tc>
          <w:tcPr>
            <w:tcW w:w="5400" w:type="dxa"/>
          </w:tcPr>
          <w:p w14:paraId="328DEAFF"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recognize a liability for unpaid insurance claims for adverse events that occurred before the end of the reporting period? (SFFAS 51, para. 26)</w:t>
            </w:r>
          </w:p>
        </w:tc>
        <w:tc>
          <w:tcPr>
            <w:tcW w:w="965" w:type="dxa"/>
          </w:tcPr>
          <w:p w14:paraId="097D024B" w14:textId="77777777" w:rsidR="0052235B" w:rsidRPr="005B5418" w:rsidRDefault="0052235B" w:rsidP="008F3A0B">
            <w:pPr>
              <w:pStyle w:val="Table-Cell-CenterBoldBefore6ptAfter6pt"/>
              <w:spacing w:before="60" w:after="60"/>
              <w:rPr>
                <w:rFonts w:cs="Arial"/>
                <w:lang w:val="pt-BR"/>
              </w:rPr>
            </w:pPr>
          </w:p>
        </w:tc>
        <w:tc>
          <w:tcPr>
            <w:tcW w:w="3230" w:type="dxa"/>
          </w:tcPr>
          <w:p w14:paraId="1BCDBFEE" w14:textId="77777777" w:rsidR="0052235B" w:rsidRPr="005B5418" w:rsidRDefault="0052235B" w:rsidP="008F3A0B">
            <w:pPr>
              <w:pStyle w:val="BodyTextIndent"/>
              <w:spacing w:before="60" w:after="60"/>
              <w:rPr>
                <w:rFonts w:cs="Arial"/>
                <w:lang w:val="pt-BR"/>
              </w:rPr>
            </w:pPr>
          </w:p>
        </w:tc>
      </w:tr>
      <w:tr w:rsidR="0052235B" w:rsidRPr="005B5418" w14:paraId="2FECD4CC" w14:textId="77777777" w:rsidTr="008F3A0B">
        <w:trPr>
          <w:trHeight w:val="1421"/>
        </w:trPr>
        <w:tc>
          <w:tcPr>
            <w:tcW w:w="5400" w:type="dxa"/>
          </w:tcPr>
          <w:p w14:paraId="66383C2F"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initially record the liability for unpaid insurance claims at the estimated settlement amount and remeasured at the end of each reporting period? (SFFAS 51, para. 26)</w:t>
            </w:r>
          </w:p>
        </w:tc>
        <w:tc>
          <w:tcPr>
            <w:tcW w:w="965" w:type="dxa"/>
          </w:tcPr>
          <w:p w14:paraId="1669C299" w14:textId="77777777" w:rsidR="0052235B" w:rsidRPr="005B5418" w:rsidRDefault="0052235B" w:rsidP="008F3A0B">
            <w:pPr>
              <w:pStyle w:val="Table-Cell-CenterBoldBefore6ptAfter6pt"/>
              <w:spacing w:before="60" w:after="60"/>
              <w:rPr>
                <w:rFonts w:cs="Arial"/>
                <w:lang w:val="pt-BR"/>
              </w:rPr>
            </w:pPr>
          </w:p>
        </w:tc>
        <w:tc>
          <w:tcPr>
            <w:tcW w:w="3230" w:type="dxa"/>
          </w:tcPr>
          <w:p w14:paraId="725B3428" w14:textId="77777777" w:rsidR="0052235B" w:rsidRPr="005B5418" w:rsidRDefault="0052235B" w:rsidP="008F3A0B">
            <w:pPr>
              <w:pStyle w:val="BodyTextIndent"/>
              <w:spacing w:before="60" w:after="60"/>
              <w:rPr>
                <w:rFonts w:cs="Arial"/>
                <w:lang w:val="pt-BR"/>
              </w:rPr>
            </w:pPr>
          </w:p>
        </w:tc>
      </w:tr>
      <w:tr w:rsidR="0052235B" w:rsidRPr="005B5418" w14:paraId="3767FD1B" w14:textId="77777777" w:rsidTr="008F3A0B">
        <w:trPr>
          <w:trHeight w:val="1421"/>
        </w:trPr>
        <w:tc>
          <w:tcPr>
            <w:tcW w:w="5400" w:type="dxa"/>
          </w:tcPr>
          <w:p w14:paraId="2BAC701A" w14:textId="77777777" w:rsidR="0052235B" w:rsidRPr="005B5418" w:rsidRDefault="0052235B" w:rsidP="008F3A0B">
            <w:pPr>
              <w:pStyle w:val="FAM-Table-outline"/>
              <w:spacing w:line="240" w:lineRule="auto"/>
              <w:rPr>
                <w:rFonts w:eastAsia="Arial Unicode MS"/>
                <w:szCs w:val="22"/>
              </w:rPr>
            </w:pPr>
            <w:r w:rsidRPr="005B5418">
              <w:rPr>
                <w:szCs w:val="22"/>
              </w:rPr>
              <w:t>Does the entity include the following in its estimated settlement for insurance claims?</w:t>
            </w:r>
          </w:p>
          <w:p w14:paraId="11554EB2" w14:textId="77777777" w:rsidR="0052235B" w:rsidRPr="005B5418" w:rsidRDefault="0052235B" w:rsidP="005425ED">
            <w:pPr>
              <w:pStyle w:val="FAM-Table-outline2"/>
              <w:spacing w:line="240" w:lineRule="auto"/>
              <w:ind w:left="1140" w:hanging="443"/>
            </w:pPr>
            <w:r w:rsidRPr="005B5418">
              <w:t>Outflows to liquidate the following:</w:t>
            </w:r>
          </w:p>
          <w:p w14:paraId="10B8AD74" w14:textId="77777777" w:rsidR="0052235B" w:rsidRPr="005B5418" w:rsidRDefault="0052235B"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Claims that have been reported but not paid.</w:t>
            </w:r>
          </w:p>
          <w:p w14:paraId="17E2E3C1" w14:textId="2EF5EAFB" w:rsidR="0052235B" w:rsidRPr="005B5418" w:rsidRDefault="0052235B" w:rsidP="00410DB9">
            <w:pPr>
              <w:pStyle w:val="FAM-Table-outline3"/>
              <w:widowControl/>
              <w:adjustRightInd/>
              <w:spacing w:before="60" w:after="60" w:line="240" w:lineRule="auto"/>
              <w:ind w:left="1410" w:hanging="432"/>
              <w:textAlignment w:val="auto"/>
              <w:rPr>
                <w:rFonts w:eastAsia="Arial Unicode MS"/>
                <w:sz w:val="22"/>
                <w:szCs w:val="22"/>
              </w:rPr>
            </w:pPr>
            <w:r w:rsidRPr="005B5418">
              <w:rPr>
                <w:rFonts w:cs="Arial"/>
                <w:sz w:val="22"/>
                <w:szCs w:val="22"/>
              </w:rPr>
              <w:lastRenderedPageBreak/>
              <w:t>Claims incurred but not reported (IBNR).</w:t>
            </w:r>
            <w:r w:rsidRPr="00AC1F06">
              <w:rPr>
                <w:rStyle w:val="FootnoteReference"/>
                <w:sz w:val="22"/>
                <w:szCs w:val="22"/>
              </w:rPr>
              <w:footnoteReference w:id="176"/>
            </w:r>
            <w:r w:rsidR="00BC2655" w:rsidRPr="005425ED">
              <w:rPr>
                <w:rFonts w:cs="Arial"/>
                <w:vertAlign w:val="superscript"/>
              </w:rPr>
              <w:t>,</w:t>
            </w:r>
            <w:r w:rsidR="00BC2655" w:rsidRPr="005B5418">
              <w:rPr>
                <w:rStyle w:val="FootnoteReference"/>
                <w:rFonts w:cs="Arial"/>
                <w:sz w:val="22"/>
                <w:szCs w:val="22"/>
              </w:rPr>
              <w:footnoteReference w:id="177"/>
            </w:r>
            <w:r w:rsidR="00BC2655" w:rsidRPr="005B5418">
              <w:rPr>
                <w:rFonts w:cs="Arial"/>
                <w:sz w:val="22"/>
                <w:szCs w:val="22"/>
              </w:rPr>
              <w:t xml:space="preserve">  </w:t>
            </w:r>
            <w:r w:rsidR="00206DFA" w:rsidRPr="005B5418">
              <w:rPr>
                <w:rFonts w:cs="Arial"/>
                <w:sz w:val="22"/>
                <w:szCs w:val="22"/>
              </w:rPr>
              <w:t xml:space="preserve"> </w:t>
            </w:r>
          </w:p>
          <w:p w14:paraId="764827D2" w14:textId="2734EA33" w:rsidR="0052235B" w:rsidRPr="005B5418" w:rsidRDefault="0052235B" w:rsidP="005425ED">
            <w:pPr>
              <w:pStyle w:val="FAM-Table-outline4"/>
              <w:numPr>
                <w:ilvl w:val="0"/>
                <w:numId w:val="0"/>
              </w:numPr>
              <w:spacing w:before="60" w:after="60" w:line="240" w:lineRule="auto"/>
              <w:ind w:left="1818"/>
              <w:jc w:val="left"/>
              <w:rPr>
                <w:rFonts w:eastAsia="Arial Unicode MS"/>
                <w:sz w:val="22"/>
                <w:szCs w:val="22"/>
              </w:rPr>
            </w:pPr>
          </w:p>
          <w:p w14:paraId="492C92C8" w14:textId="77777777" w:rsidR="0052235B" w:rsidRPr="005B5418" w:rsidRDefault="0052235B" w:rsidP="005425ED">
            <w:pPr>
              <w:pStyle w:val="FAM-Table-outline2"/>
              <w:spacing w:line="240" w:lineRule="auto"/>
              <w:ind w:left="1140" w:hanging="443"/>
            </w:pPr>
            <w:r w:rsidRPr="005B5418">
              <w:t>Related estimated CAE.</w:t>
            </w:r>
          </w:p>
          <w:p w14:paraId="4E07E749" w14:textId="77777777" w:rsidR="0052235B" w:rsidRPr="005B5418" w:rsidRDefault="0052235B" w:rsidP="005425ED">
            <w:pPr>
              <w:pStyle w:val="FAM-Table-outline2"/>
              <w:spacing w:line="240" w:lineRule="auto"/>
              <w:ind w:left="1140" w:hanging="443"/>
            </w:pPr>
            <w:r w:rsidRPr="005B5418">
              <w:t>Estimated inflows from recoveries not realized at the end of the reporting period.</w:t>
            </w:r>
          </w:p>
          <w:p w14:paraId="2040B330" w14:textId="77777777" w:rsidR="0052235B" w:rsidRPr="005B5418" w:rsidRDefault="0052235B"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If estimated recoveries exceed the related claims for an insurance portfolio, then recognition is limited to the amount of the related claims.</w:t>
            </w:r>
            <w:r w:rsidRPr="005B5418">
              <w:rPr>
                <w:rStyle w:val="FootnoteReference"/>
                <w:sz w:val="22"/>
              </w:rPr>
              <w:footnoteReference w:id="178"/>
            </w:r>
          </w:p>
          <w:p w14:paraId="6D26FFD7" w14:textId="77777777" w:rsidR="0052235B" w:rsidRPr="005B5418" w:rsidRDefault="0052235B" w:rsidP="005425ED">
            <w:pPr>
              <w:pStyle w:val="FAM-Table-outline3"/>
              <w:widowControl/>
              <w:adjustRightInd/>
              <w:spacing w:before="60" w:after="60" w:line="240" w:lineRule="auto"/>
              <w:ind w:left="1410" w:hanging="432"/>
              <w:textAlignment w:val="auto"/>
            </w:pPr>
            <w:r w:rsidRPr="005B5418">
              <w:rPr>
                <w:rFonts w:cs="Arial"/>
                <w:sz w:val="22"/>
                <w:szCs w:val="22"/>
              </w:rPr>
              <w:t>Recoveries should be recognized as reductions of claims, rather than as revenue (SFFAS 51, para. 27)</w:t>
            </w:r>
          </w:p>
        </w:tc>
        <w:tc>
          <w:tcPr>
            <w:tcW w:w="965" w:type="dxa"/>
          </w:tcPr>
          <w:p w14:paraId="0C31DF48" w14:textId="77777777" w:rsidR="0052235B" w:rsidRPr="005B5418" w:rsidRDefault="0052235B" w:rsidP="008F3A0B">
            <w:pPr>
              <w:pStyle w:val="Table-Cell-CenterBoldBefore6ptAfter6pt"/>
              <w:spacing w:before="60" w:after="60"/>
              <w:rPr>
                <w:rFonts w:cs="Arial"/>
                <w:lang w:val="pt-BR"/>
              </w:rPr>
            </w:pPr>
          </w:p>
        </w:tc>
        <w:tc>
          <w:tcPr>
            <w:tcW w:w="3230" w:type="dxa"/>
          </w:tcPr>
          <w:p w14:paraId="704F9084" w14:textId="77777777" w:rsidR="0052235B" w:rsidRPr="005B5418" w:rsidRDefault="0052235B" w:rsidP="008F3A0B">
            <w:pPr>
              <w:pStyle w:val="BodyTextIndent"/>
              <w:spacing w:before="60" w:after="60"/>
              <w:rPr>
                <w:rFonts w:cs="Arial"/>
                <w:lang w:val="pt-BR"/>
              </w:rPr>
            </w:pPr>
          </w:p>
        </w:tc>
      </w:tr>
      <w:tr w:rsidR="0052235B" w:rsidRPr="005B5418" w14:paraId="44D10BA1" w14:textId="77777777" w:rsidTr="008F3A0B">
        <w:trPr>
          <w:trHeight w:val="1421"/>
        </w:trPr>
        <w:tc>
          <w:tcPr>
            <w:tcW w:w="5400" w:type="dxa"/>
          </w:tcPr>
          <w:p w14:paraId="2B65D70B" w14:textId="77777777" w:rsidR="0052235B" w:rsidRPr="005B5418" w:rsidRDefault="0052235B" w:rsidP="008F3A0B">
            <w:pPr>
              <w:pStyle w:val="FAM-Table-outline"/>
              <w:widowControl/>
              <w:numPr>
                <w:ilvl w:val="0"/>
                <w:numId w:val="30"/>
              </w:numPr>
              <w:adjustRightInd/>
              <w:spacing w:line="240" w:lineRule="auto"/>
              <w:textAlignment w:val="auto"/>
            </w:pPr>
            <w:r w:rsidRPr="005B5418">
              <w:rPr>
                <w:rFonts w:cs="Arial"/>
                <w:szCs w:val="22"/>
              </w:rPr>
              <w:t>Does the entity recognize, as a component of claims expense, adjustments to the liability for unpaid insurance claims, other than those resulting from payments made to liquidate existing liability balances? (SFFAS 51, para. 28)</w:t>
            </w:r>
          </w:p>
        </w:tc>
        <w:tc>
          <w:tcPr>
            <w:tcW w:w="965" w:type="dxa"/>
          </w:tcPr>
          <w:p w14:paraId="7CF7797D" w14:textId="77777777" w:rsidR="0052235B" w:rsidRPr="005B5418" w:rsidRDefault="0052235B" w:rsidP="008F3A0B">
            <w:pPr>
              <w:pStyle w:val="Table-Cell-CenterBoldBefore6ptAfter6pt"/>
              <w:spacing w:before="60" w:after="60"/>
              <w:rPr>
                <w:rFonts w:cs="Arial"/>
                <w:lang w:val="pt-BR"/>
              </w:rPr>
            </w:pPr>
          </w:p>
        </w:tc>
        <w:tc>
          <w:tcPr>
            <w:tcW w:w="3230" w:type="dxa"/>
          </w:tcPr>
          <w:p w14:paraId="3CFCAEF7" w14:textId="77777777" w:rsidR="0052235B" w:rsidRPr="005B5418" w:rsidRDefault="0052235B" w:rsidP="008F3A0B">
            <w:pPr>
              <w:pStyle w:val="BodyTextIndent"/>
              <w:spacing w:before="60" w:after="60"/>
              <w:rPr>
                <w:rFonts w:cs="Arial"/>
                <w:lang w:val="pt-BR"/>
              </w:rPr>
            </w:pPr>
          </w:p>
        </w:tc>
      </w:tr>
      <w:tr w:rsidR="0052235B" w:rsidRPr="005B5418" w14:paraId="1A8BD9C8" w14:textId="77777777" w:rsidTr="008F3A0B">
        <w:trPr>
          <w:trHeight w:val="962"/>
        </w:trPr>
        <w:tc>
          <w:tcPr>
            <w:tcW w:w="5400" w:type="dxa"/>
          </w:tcPr>
          <w:p w14:paraId="22B7E76C"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apply guidance from SFFAS 39 to subsequent events relating to unpaid insurance claims? (SFFAS 51, para. 29)</w:t>
            </w:r>
            <w:r w:rsidRPr="005B5418" w:rsidDel="007840DE">
              <w:rPr>
                <w:rStyle w:val="FootnoteReference"/>
              </w:rPr>
              <w:t xml:space="preserve"> </w:t>
            </w:r>
          </w:p>
        </w:tc>
        <w:tc>
          <w:tcPr>
            <w:tcW w:w="965" w:type="dxa"/>
          </w:tcPr>
          <w:p w14:paraId="0435DC1A" w14:textId="77777777" w:rsidR="0052235B" w:rsidRPr="005B5418" w:rsidRDefault="0052235B" w:rsidP="008F3A0B">
            <w:pPr>
              <w:pStyle w:val="Table-Cell-CenterBoldBefore6ptAfter6pt"/>
              <w:spacing w:before="60" w:after="60"/>
              <w:rPr>
                <w:rFonts w:cs="Arial"/>
                <w:lang w:val="pt-BR"/>
              </w:rPr>
            </w:pPr>
          </w:p>
        </w:tc>
        <w:tc>
          <w:tcPr>
            <w:tcW w:w="3230" w:type="dxa"/>
          </w:tcPr>
          <w:p w14:paraId="214977F6" w14:textId="77777777" w:rsidR="0052235B" w:rsidRPr="005B5418" w:rsidRDefault="0052235B" w:rsidP="008F3A0B">
            <w:pPr>
              <w:pStyle w:val="BodyTextIndent"/>
              <w:spacing w:before="60" w:after="60"/>
              <w:rPr>
                <w:rFonts w:cs="Arial"/>
                <w:lang w:val="pt-BR"/>
              </w:rPr>
            </w:pPr>
          </w:p>
        </w:tc>
      </w:tr>
      <w:tr w:rsidR="0052235B" w:rsidRPr="005B5418" w14:paraId="50670121" w14:textId="77777777" w:rsidTr="008F3A0B">
        <w:trPr>
          <w:trHeight w:val="350"/>
        </w:trPr>
        <w:tc>
          <w:tcPr>
            <w:tcW w:w="9595" w:type="dxa"/>
            <w:gridSpan w:val="3"/>
          </w:tcPr>
          <w:p w14:paraId="022E9717" w14:textId="77777777" w:rsidR="0052235B" w:rsidRPr="005B5418" w:rsidRDefault="0052235B" w:rsidP="008F3A0B">
            <w:pPr>
              <w:pStyle w:val="BodyTextIndent"/>
              <w:spacing w:before="60" w:after="60"/>
              <w:jc w:val="center"/>
              <w:rPr>
                <w:rFonts w:cs="Arial"/>
                <w:lang w:val="pt-BR"/>
              </w:rPr>
            </w:pPr>
            <w:r w:rsidRPr="005B5418">
              <w:rPr>
                <w:rFonts w:eastAsia="Arial Unicode MS"/>
                <w:b/>
              </w:rPr>
              <w:t>Liability for Losses on Remaining Coverage</w:t>
            </w:r>
          </w:p>
        </w:tc>
      </w:tr>
      <w:tr w:rsidR="0052235B" w:rsidRPr="005B5418" w14:paraId="035633AF" w14:textId="77777777" w:rsidTr="008F3A0B">
        <w:trPr>
          <w:trHeight w:hRule="exact" w:val="461"/>
        </w:trPr>
        <w:tc>
          <w:tcPr>
            <w:tcW w:w="9595" w:type="dxa"/>
            <w:gridSpan w:val="3"/>
          </w:tcPr>
          <w:p w14:paraId="1AA33C8A" w14:textId="77777777" w:rsidR="0052235B" w:rsidRPr="005B5418" w:rsidRDefault="0052235B" w:rsidP="008F3A0B">
            <w:pPr>
              <w:pStyle w:val="Table-Note"/>
              <w:spacing w:before="60" w:after="60" w:line="240" w:lineRule="auto"/>
              <w:ind w:left="0"/>
              <w:jc w:val="left"/>
              <w:rPr>
                <w:rFonts w:eastAsia="Arial Unicode MS"/>
                <w:b/>
                <w:i w:val="0"/>
                <w:sz w:val="22"/>
              </w:rPr>
            </w:pPr>
            <w:r w:rsidRPr="005B5418">
              <w:rPr>
                <w:rFonts w:eastAsia="Arial Unicode MS"/>
                <w:b/>
                <w:i w:val="0"/>
                <w:sz w:val="22"/>
              </w:rPr>
              <w:t>Accounting</w:t>
            </w:r>
          </w:p>
        </w:tc>
      </w:tr>
      <w:tr w:rsidR="0052235B" w:rsidRPr="005B5418" w14:paraId="420AC5F9" w14:textId="77777777" w:rsidTr="008F3A0B">
        <w:trPr>
          <w:trHeight w:val="431"/>
        </w:trPr>
        <w:tc>
          <w:tcPr>
            <w:tcW w:w="5400" w:type="dxa"/>
          </w:tcPr>
          <w:p w14:paraId="1D0960DF" w14:textId="77777777" w:rsidR="0052235B" w:rsidRPr="005B5418" w:rsidRDefault="0052235B" w:rsidP="008F3A0B">
            <w:pPr>
              <w:pStyle w:val="FAM-Table-outline"/>
              <w:spacing w:line="240" w:lineRule="auto"/>
              <w:rPr>
                <w:rFonts w:eastAsia="Arial Unicode MS"/>
              </w:rPr>
            </w:pPr>
            <w:r w:rsidRPr="005B5418">
              <w:t xml:space="preserve">Does the entity determine its estimated liabilities for loss on remaining coverage by </w:t>
            </w:r>
          </w:p>
          <w:p w14:paraId="0BD60981" w14:textId="77777777" w:rsidR="0052235B" w:rsidRPr="005B5418" w:rsidRDefault="0052235B" w:rsidP="005425ED">
            <w:pPr>
              <w:pStyle w:val="FAM-Table-outline2"/>
              <w:spacing w:line="240" w:lineRule="auto"/>
              <w:ind w:left="1140" w:hanging="443"/>
            </w:pPr>
            <w:r w:rsidRPr="005B5418">
              <w:t>considering insurance portfolios rather than individual arrangements and</w:t>
            </w:r>
          </w:p>
          <w:p w14:paraId="2D376013" w14:textId="77BA33B4" w:rsidR="0052235B" w:rsidRPr="005B5418" w:rsidRDefault="0052235B" w:rsidP="005425ED">
            <w:pPr>
              <w:pStyle w:val="FAM-Table-outline2"/>
              <w:spacing w:line="240" w:lineRule="auto"/>
              <w:ind w:left="1140" w:hanging="443"/>
            </w:pPr>
            <w:r w:rsidRPr="005B5418">
              <w:t xml:space="preserve">using methods designed to address uncertainties concerning future </w:t>
            </w:r>
            <w:r w:rsidRPr="005B5418">
              <w:lastRenderedPageBreak/>
              <w:t>events?</w:t>
            </w:r>
            <w:r w:rsidRPr="005B5418">
              <w:rPr>
                <w:rStyle w:val="FootnoteReference"/>
              </w:rPr>
              <w:footnoteReference w:id="179"/>
            </w:r>
            <w:r w:rsidRPr="005B5418">
              <w:t xml:space="preserve"> </w:t>
            </w:r>
          </w:p>
          <w:p w14:paraId="406D73F2" w14:textId="78B7EE14" w:rsidR="0052235B" w:rsidRPr="005B5418" w:rsidRDefault="0052235B" w:rsidP="005425ED">
            <w:pPr>
              <w:pStyle w:val="FAM-Table-outline2"/>
              <w:spacing w:line="240" w:lineRule="auto"/>
              <w:ind w:left="1140" w:hanging="443"/>
            </w:pPr>
            <w:r w:rsidRPr="005B5418">
              <w:t>Do such methods provide a reasonable estimate of expected cash flow?</w:t>
            </w:r>
            <w:r w:rsidR="00BF1BBD" w:rsidRPr="005B5418">
              <w:t xml:space="preserve"> (SFFAS 51, paras. 31–33)</w:t>
            </w:r>
          </w:p>
        </w:tc>
        <w:tc>
          <w:tcPr>
            <w:tcW w:w="965" w:type="dxa"/>
          </w:tcPr>
          <w:p w14:paraId="4205E9D9" w14:textId="77777777" w:rsidR="0052235B" w:rsidRPr="005B5418" w:rsidRDefault="0052235B" w:rsidP="008F3A0B">
            <w:pPr>
              <w:pStyle w:val="Table-Cell-CenterBoldBefore6ptAfter6pt"/>
              <w:spacing w:before="60" w:after="60"/>
              <w:rPr>
                <w:rFonts w:cs="Arial"/>
                <w:lang w:val="pt-BR"/>
              </w:rPr>
            </w:pPr>
          </w:p>
        </w:tc>
        <w:tc>
          <w:tcPr>
            <w:tcW w:w="3230" w:type="dxa"/>
          </w:tcPr>
          <w:p w14:paraId="77E908FD" w14:textId="77777777" w:rsidR="0052235B" w:rsidRPr="005B5418" w:rsidRDefault="0052235B" w:rsidP="008F3A0B">
            <w:pPr>
              <w:pStyle w:val="BodyTextIndent"/>
              <w:spacing w:before="60" w:after="60"/>
              <w:rPr>
                <w:rFonts w:cs="Arial"/>
                <w:lang w:val="pt-BR"/>
              </w:rPr>
            </w:pPr>
          </w:p>
        </w:tc>
      </w:tr>
      <w:tr w:rsidR="0052235B" w:rsidRPr="005B5418" w14:paraId="6597B831" w14:textId="77777777" w:rsidTr="008F3A0B">
        <w:trPr>
          <w:trHeight w:val="1421"/>
        </w:trPr>
        <w:tc>
          <w:tcPr>
            <w:tcW w:w="5400" w:type="dxa"/>
          </w:tcPr>
          <w:p w14:paraId="3259C93C" w14:textId="1A3E3FA5" w:rsidR="0052235B" w:rsidRPr="005B5418" w:rsidRDefault="0052235B" w:rsidP="008F3A0B">
            <w:pPr>
              <w:pStyle w:val="FAM-Table-outline"/>
              <w:spacing w:line="240" w:lineRule="auto"/>
              <w:rPr>
                <w:rFonts w:eastAsia="Arial Unicode MS"/>
                <w:szCs w:val="22"/>
              </w:rPr>
            </w:pPr>
            <w:r w:rsidRPr="005B5418">
              <w:t xml:space="preserve">Did the entity consider all relevant information on the </w:t>
            </w:r>
            <w:r w:rsidR="001B5C17" w:rsidRPr="005B5418">
              <w:t>balance sheet</w:t>
            </w:r>
            <w:r w:rsidRPr="005B5418">
              <w:t xml:space="preserve"> date? This may include</w:t>
            </w:r>
          </w:p>
          <w:p w14:paraId="3989CC3A" w14:textId="77777777" w:rsidR="0052235B" w:rsidRPr="005B5418" w:rsidRDefault="0052235B" w:rsidP="005425ED">
            <w:pPr>
              <w:pStyle w:val="FAM-Table-outline2"/>
              <w:spacing w:line="240" w:lineRule="auto"/>
              <w:ind w:left="1140" w:hanging="443"/>
            </w:pPr>
            <w:r w:rsidRPr="005B5418">
              <w:t>historical experience;</w:t>
            </w:r>
          </w:p>
          <w:p w14:paraId="766CA735" w14:textId="77777777" w:rsidR="0052235B" w:rsidRPr="005B5418" w:rsidRDefault="0052235B" w:rsidP="005425ED">
            <w:pPr>
              <w:pStyle w:val="FAM-Table-outline2"/>
              <w:spacing w:line="240" w:lineRule="auto"/>
              <w:ind w:left="1140" w:hanging="443"/>
            </w:pPr>
            <w:r w:rsidRPr="005B5418">
              <w:t>adjustments to historical experience for differences in current conditions;</w:t>
            </w:r>
          </w:p>
          <w:p w14:paraId="415789CD" w14:textId="77777777" w:rsidR="0052235B" w:rsidRPr="005B5418" w:rsidRDefault="0052235B" w:rsidP="005425ED">
            <w:pPr>
              <w:pStyle w:val="FAM-Table-outline2"/>
              <w:spacing w:line="240" w:lineRule="auto"/>
              <w:ind w:left="1140" w:hanging="443"/>
            </w:pPr>
            <w:r w:rsidRPr="005B5418">
              <w:t>current conditions;</w:t>
            </w:r>
          </w:p>
          <w:p w14:paraId="564E4687" w14:textId="77777777" w:rsidR="0052235B" w:rsidRPr="005B5418" w:rsidRDefault="0052235B" w:rsidP="005425ED">
            <w:pPr>
              <w:pStyle w:val="FAM-Table-outline2"/>
              <w:spacing w:line="240" w:lineRule="auto"/>
              <w:ind w:left="1140" w:hanging="443"/>
            </w:pPr>
            <w:r w:rsidRPr="005B5418">
              <w:t>trends;</w:t>
            </w:r>
          </w:p>
          <w:p w14:paraId="13F486B5" w14:textId="77777777" w:rsidR="0052235B" w:rsidRPr="005B5418" w:rsidRDefault="0052235B" w:rsidP="005425ED">
            <w:pPr>
              <w:pStyle w:val="FAM-Table-outline2"/>
              <w:spacing w:line="240" w:lineRule="auto"/>
              <w:ind w:left="1140" w:hanging="443"/>
            </w:pPr>
            <w:r w:rsidRPr="005B5418">
              <w:t>assumptions about future events;</w:t>
            </w:r>
          </w:p>
          <w:p w14:paraId="26E0832E" w14:textId="77777777" w:rsidR="0052235B" w:rsidRPr="005B5418" w:rsidRDefault="0052235B" w:rsidP="005425ED">
            <w:pPr>
              <w:pStyle w:val="FAM-Table-outline2"/>
              <w:spacing w:line="240" w:lineRule="auto"/>
              <w:ind w:left="1140" w:hanging="443"/>
            </w:pPr>
            <w:r w:rsidRPr="005B5418">
              <w:t>risk factors;</w:t>
            </w:r>
          </w:p>
          <w:p w14:paraId="0E1542BF" w14:textId="77777777" w:rsidR="0052235B" w:rsidRPr="005B5418" w:rsidRDefault="0052235B" w:rsidP="005425ED">
            <w:pPr>
              <w:pStyle w:val="FAM-Table-outline2"/>
              <w:spacing w:line="240" w:lineRule="auto"/>
              <w:ind w:left="1140" w:hanging="443"/>
            </w:pPr>
            <w:r w:rsidRPr="005B5418">
              <w:t>uncertainties about possible variations in the amount or timing of the potential settlement of claims; and</w:t>
            </w:r>
          </w:p>
          <w:p w14:paraId="60AE545B" w14:textId="77777777" w:rsidR="0052235B" w:rsidRPr="005B5418" w:rsidRDefault="0052235B" w:rsidP="005425ED">
            <w:pPr>
              <w:pStyle w:val="FAM-Table-outline2"/>
              <w:spacing w:line="240" w:lineRule="auto"/>
              <w:ind w:left="1140" w:hanging="443"/>
              <w:rPr>
                <w:rFonts w:eastAsia="Arial Unicode MS"/>
              </w:rPr>
            </w:pPr>
            <w:r w:rsidRPr="005B5418">
              <w:t>as appropriate, data, projections, and supporting analysis supplied by independent expert(s). (SFFAS 51, para. 34)</w:t>
            </w:r>
          </w:p>
        </w:tc>
        <w:tc>
          <w:tcPr>
            <w:tcW w:w="965" w:type="dxa"/>
          </w:tcPr>
          <w:p w14:paraId="1AE6FF07" w14:textId="77777777" w:rsidR="0052235B" w:rsidRPr="005B5418" w:rsidRDefault="0052235B" w:rsidP="008F3A0B">
            <w:pPr>
              <w:pStyle w:val="Table-Cell-CenterBoldBefore6ptAfter6pt"/>
              <w:spacing w:before="60" w:after="60"/>
              <w:rPr>
                <w:rFonts w:cs="Arial"/>
                <w:lang w:val="pt-BR"/>
              </w:rPr>
            </w:pPr>
          </w:p>
        </w:tc>
        <w:tc>
          <w:tcPr>
            <w:tcW w:w="3230" w:type="dxa"/>
          </w:tcPr>
          <w:p w14:paraId="2AD26C76" w14:textId="77777777" w:rsidR="0052235B" w:rsidRPr="005B5418" w:rsidRDefault="0052235B" w:rsidP="008F3A0B">
            <w:pPr>
              <w:pStyle w:val="BodyTextIndent"/>
              <w:spacing w:before="60" w:after="60"/>
              <w:rPr>
                <w:rFonts w:cs="Arial"/>
                <w:lang w:val="pt-BR"/>
              </w:rPr>
            </w:pPr>
          </w:p>
        </w:tc>
      </w:tr>
      <w:tr w:rsidR="0052235B" w:rsidRPr="005B5418" w14:paraId="37943AD9" w14:textId="77777777" w:rsidTr="008F3A0B">
        <w:trPr>
          <w:trHeight w:val="1421"/>
        </w:trPr>
        <w:tc>
          <w:tcPr>
            <w:tcW w:w="5400" w:type="dxa"/>
          </w:tcPr>
          <w:p w14:paraId="08821B07"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classify all subsequent events relating to losses on remaining coverage as nonrecognized events and, as applicable, disclose in accordance with SFFAS 39, paragraph 15? (SFFAS 51, para. 35)</w:t>
            </w:r>
          </w:p>
        </w:tc>
        <w:tc>
          <w:tcPr>
            <w:tcW w:w="965" w:type="dxa"/>
          </w:tcPr>
          <w:p w14:paraId="02538C40" w14:textId="77777777" w:rsidR="0052235B" w:rsidRPr="005B5418" w:rsidRDefault="0052235B" w:rsidP="008F3A0B">
            <w:pPr>
              <w:pStyle w:val="Table-Cell-CenterBoldBefore6ptAfter6pt"/>
              <w:spacing w:before="60" w:after="60"/>
              <w:rPr>
                <w:rFonts w:cs="Arial"/>
                <w:lang w:val="pt-BR"/>
              </w:rPr>
            </w:pPr>
          </w:p>
        </w:tc>
        <w:tc>
          <w:tcPr>
            <w:tcW w:w="3230" w:type="dxa"/>
          </w:tcPr>
          <w:p w14:paraId="5A382946" w14:textId="77777777" w:rsidR="0052235B" w:rsidRPr="005B5418" w:rsidRDefault="0052235B" w:rsidP="008F3A0B">
            <w:pPr>
              <w:pStyle w:val="BodyTextIndent"/>
              <w:spacing w:before="60" w:after="60"/>
              <w:rPr>
                <w:rFonts w:cs="Arial"/>
                <w:lang w:val="pt-BR"/>
              </w:rPr>
            </w:pPr>
          </w:p>
        </w:tc>
      </w:tr>
      <w:tr w:rsidR="0052235B" w:rsidRPr="005B5418" w14:paraId="3E4D7845" w14:textId="77777777" w:rsidTr="008F3A0B">
        <w:trPr>
          <w:trHeight w:val="1421"/>
        </w:trPr>
        <w:tc>
          <w:tcPr>
            <w:tcW w:w="5400" w:type="dxa"/>
          </w:tcPr>
          <w:p w14:paraId="4CA26E33"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discount the estimated settlement amount, if the effect of the time value of money is significant? (SFFAS 51, para. 36)</w:t>
            </w:r>
          </w:p>
        </w:tc>
        <w:tc>
          <w:tcPr>
            <w:tcW w:w="965" w:type="dxa"/>
          </w:tcPr>
          <w:p w14:paraId="0E6A6C6D" w14:textId="77777777" w:rsidR="0052235B" w:rsidRPr="005B5418" w:rsidRDefault="0052235B" w:rsidP="008F3A0B">
            <w:pPr>
              <w:pStyle w:val="Table-Cell-CenterBoldBefore6ptAfter6pt"/>
              <w:spacing w:before="60" w:after="60"/>
              <w:rPr>
                <w:rFonts w:cs="Arial"/>
                <w:lang w:val="pt-BR"/>
              </w:rPr>
            </w:pPr>
          </w:p>
        </w:tc>
        <w:tc>
          <w:tcPr>
            <w:tcW w:w="3230" w:type="dxa"/>
          </w:tcPr>
          <w:p w14:paraId="23CE5988" w14:textId="77777777" w:rsidR="0052235B" w:rsidRPr="005B5418" w:rsidRDefault="0052235B" w:rsidP="008F3A0B">
            <w:pPr>
              <w:pStyle w:val="BodyTextIndent"/>
              <w:spacing w:before="60" w:after="60"/>
              <w:rPr>
                <w:rFonts w:cs="Arial"/>
                <w:lang w:val="pt-BR"/>
              </w:rPr>
            </w:pPr>
          </w:p>
        </w:tc>
      </w:tr>
      <w:tr w:rsidR="0052235B" w:rsidRPr="005B5418" w14:paraId="11641D20" w14:textId="77777777" w:rsidTr="008F3A0B">
        <w:trPr>
          <w:trHeight w:val="1421"/>
        </w:trPr>
        <w:tc>
          <w:tcPr>
            <w:tcW w:w="5400" w:type="dxa"/>
          </w:tcPr>
          <w:p w14:paraId="3D0BBBF1" w14:textId="77777777" w:rsidR="0052235B" w:rsidRPr="005B5418" w:rsidRDefault="0052235B" w:rsidP="008F3A0B">
            <w:pPr>
              <w:pStyle w:val="FAM-Table-outline"/>
              <w:widowControl/>
              <w:numPr>
                <w:ilvl w:val="0"/>
                <w:numId w:val="30"/>
              </w:numPr>
              <w:adjustRightInd/>
              <w:spacing w:line="240" w:lineRule="auto"/>
              <w:textAlignment w:val="auto"/>
            </w:pPr>
            <w:r w:rsidRPr="005B5418">
              <w:rPr>
                <w:rFonts w:cs="Arial"/>
                <w:szCs w:val="22"/>
              </w:rPr>
              <w:t xml:space="preserve">Does the entity recognize, as a component of claims expense, </w:t>
            </w:r>
            <w:r w:rsidRPr="005B5418">
              <w:rPr>
                <w:szCs w:val="22"/>
              </w:rPr>
              <w:t>adjustments to the liability for losses on remaining coverage? (SFFAS 51, para. 37)</w:t>
            </w:r>
          </w:p>
          <w:p w14:paraId="0635F455" w14:textId="77777777" w:rsidR="0052235B" w:rsidRPr="005B5418" w:rsidRDefault="0052235B" w:rsidP="008F3A0B">
            <w:pPr>
              <w:pStyle w:val="FAM-Table-outline"/>
              <w:widowControl/>
              <w:numPr>
                <w:ilvl w:val="0"/>
                <w:numId w:val="0"/>
              </w:numPr>
              <w:adjustRightInd/>
              <w:spacing w:line="240" w:lineRule="auto"/>
              <w:ind w:left="576" w:hanging="576"/>
              <w:textAlignment w:val="auto"/>
              <w:rPr>
                <w:szCs w:val="22"/>
              </w:rPr>
            </w:pPr>
          </w:p>
          <w:p w14:paraId="5EEB03F2" w14:textId="77777777" w:rsidR="0052235B" w:rsidRPr="005B5418" w:rsidRDefault="0052235B" w:rsidP="008F3A0B">
            <w:pPr>
              <w:pStyle w:val="FAM-Table-outline"/>
              <w:widowControl/>
              <w:numPr>
                <w:ilvl w:val="0"/>
                <w:numId w:val="0"/>
              </w:numPr>
              <w:adjustRightInd/>
              <w:spacing w:line="240" w:lineRule="auto"/>
              <w:ind w:left="576" w:hanging="576"/>
              <w:textAlignment w:val="auto"/>
            </w:pPr>
          </w:p>
        </w:tc>
        <w:tc>
          <w:tcPr>
            <w:tcW w:w="965" w:type="dxa"/>
          </w:tcPr>
          <w:p w14:paraId="7903350D" w14:textId="77777777" w:rsidR="0052235B" w:rsidRPr="005B5418" w:rsidRDefault="0052235B" w:rsidP="008F3A0B">
            <w:pPr>
              <w:pStyle w:val="Table-Cell-CenterBoldBefore6ptAfter6pt"/>
              <w:spacing w:before="60" w:after="60"/>
              <w:rPr>
                <w:rFonts w:cs="Arial"/>
                <w:lang w:val="pt-BR"/>
              </w:rPr>
            </w:pPr>
          </w:p>
        </w:tc>
        <w:tc>
          <w:tcPr>
            <w:tcW w:w="3230" w:type="dxa"/>
          </w:tcPr>
          <w:p w14:paraId="0B172145" w14:textId="77777777" w:rsidR="0052235B" w:rsidRPr="005B5418" w:rsidRDefault="0052235B" w:rsidP="008F3A0B">
            <w:pPr>
              <w:pStyle w:val="BodyTextIndent"/>
              <w:spacing w:before="60" w:after="60"/>
              <w:rPr>
                <w:rFonts w:cs="Arial"/>
                <w:lang w:val="pt-BR"/>
              </w:rPr>
            </w:pPr>
          </w:p>
        </w:tc>
      </w:tr>
      <w:tr w:rsidR="0052235B" w:rsidRPr="005B5418" w14:paraId="3DDC3886" w14:textId="77777777" w:rsidTr="008F3A0B">
        <w:trPr>
          <w:trHeight w:val="386"/>
        </w:trPr>
        <w:tc>
          <w:tcPr>
            <w:tcW w:w="9595" w:type="dxa"/>
            <w:gridSpan w:val="3"/>
          </w:tcPr>
          <w:p w14:paraId="48BE0BEC" w14:textId="77777777" w:rsidR="0052235B" w:rsidRPr="005B5418" w:rsidRDefault="0052235B" w:rsidP="008F3A0B">
            <w:pPr>
              <w:pStyle w:val="BodyTextIndent"/>
              <w:spacing w:before="60" w:after="60"/>
              <w:ind w:left="0"/>
              <w:rPr>
                <w:rFonts w:cs="Arial"/>
                <w:b/>
                <w:i/>
                <w:lang w:val="pt-BR"/>
              </w:rPr>
            </w:pPr>
            <w:r w:rsidRPr="005B5418">
              <w:rPr>
                <w:rFonts w:cs="Arial"/>
                <w:b/>
                <w:lang w:val="pt-BR"/>
              </w:rPr>
              <w:t>Disclosure for</w:t>
            </w:r>
            <w:r w:rsidRPr="005B5418">
              <w:rPr>
                <w:rFonts w:cs="Arial"/>
                <w:b/>
                <w:i/>
                <w:lang w:val="pt-BR"/>
              </w:rPr>
              <w:t xml:space="preserve"> </w:t>
            </w:r>
            <w:r w:rsidRPr="005B5418">
              <w:rPr>
                <w:b/>
              </w:rPr>
              <w:t>Exchange Transaction Insurance Programs Other Than Life Insurance</w:t>
            </w:r>
          </w:p>
        </w:tc>
      </w:tr>
      <w:tr w:rsidR="0052235B" w:rsidRPr="005B5418" w14:paraId="4B47E14E" w14:textId="77777777" w:rsidTr="008F3A0B">
        <w:trPr>
          <w:trHeight w:val="341"/>
        </w:trPr>
        <w:tc>
          <w:tcPr>
            <w:tcW w:w="5400" w:type="dxa"/>
          </w:tcPr>
          <w:p w14:paraId="447133B6" w14:textId="77777777" w:rsidR="0052235B" w:rsidRPr="005B5418" w:rsidRDefault="0052235B" w:rsidP="008F3A0B">
            <w:pPr>
              <w:pStyle w:val="FAM-Table-outline"/>
              <w:widowControl/>
              <w:numPr>
                <w:ilvl w:val="0"/>
                <w:numId w:val="30"/>
              </w:numPr>
              <w:adjustRightInd/>
              <w:spacing w:line="240" w:lineRule="auto"/>
              <w:textAlignment w:val="auto"/>
            </w:pPr>
            <w:r w:rsidRPr="005B5418">
              <w:lastRenderedPageBreak/>
              <w:t>Does the entity consider materiality, including both quantitative and qualitative factors,</w:t>
            </w:r>
            <w:r w:rsidRPr="005B5418">
              <w:rPr>
                <w:rStyle w:val="FootnoteReference"/>
              </w:rPr>
              <w:footnoteReference w:id="180"/>
            </w:r>
            <w:r w:rsidRPr="005B5418">
              <w:t xml:space="preserve"> when determining the nature and extent of its disclosures? (SFFAS 51, para. 38)</w:t>
            </w:r>
          </w:p>
        </w:tc>
        <w:tc>
          <w:tcPr>
            <w:tcW w:w="965" w:type="dxa"/>
          </w:tcPr>
          <w:p w14:paraId="45D9AE73" w14:textId="77777777" w:rsidR="0052235B" w:rsidRPr="005B5418" w:rsidRDefault="0052235B" w:rsidP="008F3A0B">
            <w:pPr>
              <w:pStyle w:val="Table-Cell-CenterBoldBefore6ptAfter6pt"/>
              <w:spacing w:before="60" w:after="60"/>
              <w:rPr>
                <w:rFonts w:cs="Arial"/>
                <w:lang w:val="pt-BR"/>
              </w:rPr>
            </w:pPr>
          </w:p>
        </w:tc>
        <w:tc>
          <w:tcPr>
            <w:tcW w:w="3230" w:type="dxa"/>
          </w:tcPr>
          <w:p w14:paraId="4B0649BE" w14:textId="77777777" w:rsidR="0052235B" w:rsidRPr="005B5418" w:rsidRDefault="0052235B" w:rsidP="008F3A0B">
            <w:pPr>
              <w:pStyle w:val="BodyTextIndent"/>
              <w:spacing w:before="60" w:after="60"/>
              <w:rPr>
                <w:rFonts w:cs="Arial"/>
                <w:lang w:val="pt-BR"/>
              </w:rPr>
            </w:pPr>
          </w:p>
        </w:tc>
      </w:tr>
      <w:tr w:rsidR="0052235B" w:rsidRPr="005B5418" w14:paraId="631F759E" w14:textId="77777777" w:rsidTr="008F3A0B">
        <w:trPr>
          <w:trHeight w:val="1007"/>
        </w:trPr>
        <w:tc>
          <w:tcPr>
            <w:tcW w:w="5400" w:type="dxa"/>
          </w:tcPr>
          <w:p w14:paraId="1F9B3AAA" w14:textId="77777777" w:rsidR="0052235B" w:rsidRPr="005B5418" w:rsidRDefault="0052235B" w:rsidP="008F3A0B">
            <w:pPr>
              <w:pStyle w:val="FAM-Table-outline"/>
              <w:widowControl/>
              <w:numPr>
                <w:ilvl w:val="0"/>
                <w:numId w:val="30"/>
              </w:numPr>
              <w:adjustRightInd/>
              <w:spacing w:line="240" w:lineRule="auto"/>
              <w:textAlignment w:val="auto"/>
            </w:pPr>
            <w:r w:rsidRPr="005B5418">
              <w:t>Are the entity’s disclosures integrated so that concise, meaningful, and transparent information is provided in a comprehensive note regarding the insurance program and related balances, or by providing references to relevant notes elsewhere in the GPFFR? (SFFAS 51, para. 39)</w:t>
            </w:r>
          </w:p>
        </w:tc>
        <w:tc>
          <w:tcPr>
            <w:tcW w:w="965" w:type="dxa"/>
          </w:tcPr>
          <w:p w14:paraId="2126509E" w14:textId="77777777" w:rsidR="0052235B" w:rsidRPr="005B5418" w:rsidRDefault="0052235B" w:rsidP="008F3A0B">
            <w:pPr>
              <w:pStyle w:val="Table-Cell-CenterBoldBefore6ptAfter6pt"/>
              <w:spacing w:before="60" w:after="60"/>
              <w:rPr>
                <w:rFonts w:cs="Arial"/>
                <w:lang w:val="pt-BR"/>
              </w:rPr>
            </w:pPr>
          </w:p>
        </w:tc>
        <w:tc>
          <w:tcPr>
            <w:tcW w:w="3230" w:type="dxa"/>
          </w:tcPr>
          <w:p w14:paraId="55EF9477" w14:textId="77777777" w:rsidR="0052235B" w:rsidRPr="005B5418" w:rsidRDefault="0052235B" w:rsidP="008F3A0B">
            <w:pPr>
              <w:pStyle w:val="BodyTextIndent"/>
              <w:spacing w:before="60" w:after="60"/>
              <w:rPr>
                <w:rFonts w:cs="Arial"/>
                <w:lang w:val="pt-BR"/>
              </w:rPr>
            </w:pPr>
          </w:p>
        </w:tc>
      </w:tr>
      <w:tr w:rsidR="0052235B" w:rsidRPr="005B5418" w14:paraId="715F9395" w14:textId="77777777" w:rsidTr="008F3A0B">
        <w:trPr>
          <w:trHeight w:val="737"/>
        </w:trPr>
        <w:tc>
          <w:tcPr>
            <w:tcW w:w="5400" w:type="dxa"/>
          </w:tcPr>
          <w:p w14:paraId="48F006D0"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provide the following information for each material insurance portfolio and/or in aggregate for all remaining insurance portfolios, and/or individual insurance arrangements?</w:t>
            </w:r>
          </w:p>
          <w:p w14:paraId="3B42404A" w14:textId="77777777" w:rsidR="0052235B" w:rsidRPr="005B5418" w:rsidRDefault="0052235B" w:rsidP="005425ED">
            <w:pPr>
              <w:pStyle w:val="FAM-Table-outline2"/>
              <w:spacing w:line="240" w:lineRule="auto"/>
              <w:ind w:left="1140" w:hanging="443"/>
            </w:pPr>
            <w:r w:rsidRPr="005B5418">
              <w:t>What is insured or guaranteed, for whom, and what other government agencies and/or commercial insurance programs administer or assume risk for any part of the program.</w:t>
            </w:r>
          </w:p>
          <w:p w14:paraId="77A931D8" w14:textId="77777777" w:rsidR="0052235B" w:rsidRPr="005B5418" w:rsidRDefault="0052235B" w:rsidP="005425ED">
            <w:pPr>
              <w:pStyle w:val="FAM-Table-outline2"/>
              <w:spacing w:line="240" w:lineRule="auto"/>
              <w:ind w:left="1140" w:hanging="443"/>
            </w:pPr>
            <w:r w:rsidRPr="005B5418">
              <w:t>Full costs,</w:t>
            </w:r>
            <w:r w:rsidRPr="005B5418">
              <w:rPr>
                <w:vertAlign w:val="superscript"/>
              </w:rPr>
              <w:footnoteReference w:id="181"/>
            </w:r>
            <w:r w:rsidRPr="005B5418">
              <w:t xml:space="preserve"> premiums collected, appropriations used, and borrowing needed during the reporting period, as well as the ability to repay borrowing.</w:t>
            </w:r>
          </w:p>
          <w:p w14:paraId="30EA18F1" w14:textId="77777777" w:rsidR="0052235B" w:rsidRPr="005B5418" w:rsidRDefault="0052235B" w:rsidP="005425ED">
            <w:pPr>
              <w:pStyle w:val="FAM-Table-outline2"/>
              <w:spacing w:line="240" w:lineRule="auto"/>
              <w:ind w:left="1140" w:hanging="443"/>
            </w:pPr>
            <w:r w:rsidRPr="005B5418">
              <w:t>Investing activities, such as buying Treasury securities.</w:t>
            </w:r>
          </w:p>
          <w:p w14:paraId="1FCB9791" w14:textId="77777777" w:rsidR="0052235B" w:rsidRPr="005B5418" w:rsidRDefault="0052235B" w:rsidP="005425ED">
            <w:pPr>
              <w:pStyle w:val="FAM-Table-outline2"/>
              <w:spacing w:line="240" w:lineRule="auto"/>
              <w:ind w:left="1140" w:hanging="443"/>
            </w:pPr>
            <w:r w:rsidRPr="005B5418">
              <w:t>Arrangement duration and renewal characteristics, such as non-cancelable or guaranteed renewals.</w:t>
            </w:r>
          </w:p>
          <w:p w14:paraId="60824A20" w14:textId="77777777" w:rsidR="0052235B" w:rsidRPr="005B5418" w:rsidRDefault="0052235B" w:rsidP="005425ED">
            <w:pPr>
              <w:pStyle w:val="FAM-Table-outline2"/>
              <w:spacing w:line="240" w:lineRule="auto"/>
              <w:ind w:left="1140" w:hanging="443"/>
            </w:pPr>
            <w:r w:rsidRPr="005B5418">
              <w:t>Premium pricing policies (in accordance with SFFAS 7, para. 46), including risk characteristics used in determining premiums and any requirements to set premium prices that do not cover the full estimated cost to settle claims.</w:t>
            </w:r>
          </w:p>
          <w:p w14:paraId="01628D2A" w14:textId="77777777" w:rsidR="0052235B" w:rsidRPr="005B5418" w:rsidRDefault="0052235B" w:rsidP="005425ED">
            <w:pPr>
              <w:pStyle w:val="FAM-Table-outline2"/>
              <w:spacing w:line="240" w:lineRule="auto"/>
              <w:ind w:left="1140" w:hanging="443"/>
            </w:pPr>
            <w:r w:rsidRPr="005B5418">
              <w:t xml:space="preserve">The nature and magnitude of uncertainty of estimated amounts to be paid to settle </w:t>
            </w:r>
            <w:r w:rsidRPr="005B5418">
              <w:lastRenderedPageBreak/>
              <w:t>future claims, including</w:t>
            </w:r>
          </w:p>
          <w:p w14:paraId="3CCE2813" w14:textId="77777777" w:rsidR="0052235B" w:rsidRPr="005B5418" w:rsidRDefault="0052235B"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the basis and estimation method;</w:t>
            </w:r>
          </w:p>
          <w:p w14:paraId="4BE43400" w14:textId="77777777" w:rsidR="0052235B" w:rsidRPr="005B5418" w:rsidRDefault="0052235B"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 xml:space="preserve">significant risk assumptions and factors, including relevant trend information; and </w:t>
            </w:r>
          </w:p>
          <w:p w14:paraId="0CABB3CD" w14:textId="77777777" w:rsidR="0052235B" w:rsidRPr="005B5418" w:rsidRDefault="0052235B"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how much risk, if any, is shared by third parties.</w:t>
            </w:r>
          </w:p>
          <w:p w14:paraId="321D841C" w14:textId="77777777" w:rsidR="0052235B" w:rsidRPr="005B5418" w:rsidRDefault="0052235B" w:rsidP="005425ED">
            <w:pPr>
              <w:pStyle w:val="FAM-Table-outline2"/>
              <w:spacing w:line="240" w:lineRule="auto"/>
              <w:ind w:left="1140" w:hanging="443"/>
            </w:pPr>
            <w:r w:rsidRPr="005B5418">
              <w:t>The total amount of coverage provided through insurance in-force as of the end of the reporting period.</w:t>
            </w:r>
            <w:r w:rsidRPr="005B5418">
              <w:rPr>
                <w:vertAlign w:val="superscript"/>
              </w:rPr>
              <w:footnoteReference w:id="182"/>
            </w:r>
            <w:r w:rsidRPr="005B5418">
              <w:t xml:space="preserve"> </w:t>
            </w:r>
          </w:p>
          <w:p w14:paraId="3161E856" w14:textId="77777777" w:rsidR="0052235B" w:rsidRPr="005B5418" w:rsidRDefault="0052235B" w:rsidP="005425ED">
            <w:pPr>
              <w:pStyle w:val="FAM-Table-outline2"/>
              <w:spacing w:line="240" w:lineRule="auto"/>
              <w:ind w:left="1140" w:hanging="443"/>
            </w:pPr>
            <w:r w:rsidRPr="005B5418">
              <w:t>Any event(s) that caused a material change in the amounts recognized during the reporting period, such as low-probability, high-impact adverse events, changes in laws, and/or actuarial assumptions. (SFFAS 51, para. 40)</w:t>
            </w:r>
          </w:p>
        </w:tc>
        <w:tc>
          <w:tcPr>
            <w:tcW w:w="965" w:type="dxa"/>
          </w:tcPr>
          <w:p w14:paraId="141AEDA2" w14:textId="77777777" w:rsidR="0052235B" w:rsidRPr="005B5418" w:rsidRDefault="0052235B" w:rsidP="008F3A0B">
            <w:pPr>
              <w:pStyle w:val="Table-Cell-CenterBoldBefore6ptAfter6pt"/>
              <w:spacing w:before="60" w:after="60"/>
              <w:rPr>
                <w:rFonts w:cs="Arial"/>
                <w:lang w:val="pt-BR"/>
              </w:rPr>
            </w:pPr>
          </w:p>
        </w:tc>
        <w:tc>
          <w:tcPr>
            <w:tcW w:w="3230" w:type="dxa"/>
          </w:tcPr>
          <w:p w14:paraId="681B10C7" w14:textId="77777777" w:rsidR="0052235B" w:rsidRPr="005B5418" w:rsidRDefault="0052235B" w:rsidP="008F3A0B">
            <w:pPr>
              <w:pStyle w:val="BodyTextIndent"/>
              <w:spacing w:before="60" w:after="60"/>
              <w:rPr>
                <w:rFonts w:cs="Arial"/>
                <w:lang w:val="pt-BR"/>
              </w:rPr>
            </w:pPr>
          </w:p>
        </w:tc>
      </w:tr>
      <w:tr w:rsidR="0052235B" w:rsidRPr="005B5418" w14:paraId="410ADCD9" w14:textId="77777777" w:rsidTr="008F3A0B">
        <w:trPr>
          <w:trHeight w:val="2978"/>
        </w:trPr>
        <w:tc>
          <w:tcPr>
            <w:tcW w:w="5400" w:type="dxa"/>
          </w:tcPr>
          <w:p w14:paraId="7AADAD8B"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provide the following information for changes in the liability balance for unpaid insurance claims provided?</w:t>
            </w:r>
          </w:p>
          <w:p w14:paraId="73E7956B" w14:textId="77777777" w:rsidR="0052235B" w:rsidRPr="005B5418" w:rsidRDefault="0052235B" w:rsidP="005425ED">
            <w:pPr>
              <w:pStyle w:val="FAM-Table-outline2"/>
              <w:spacing w:line="240" w:lineRule="auto"/>
              <w:ind w:left="1140" w:hanging="443"/>
            </w:pPr>
            <w:r w:rsidRPr="005B5418">
              <w:t>Beginning balance</w:t>
            </w:r>
          </w:p>
          <w:p w14:paraId="165C27AE" w14:textId="77777777" w:rsidR="0052235B" w:rsidRPr="005B5418" w:rsidRDefault="0052235B" w:rsidP="005425ED">
            <w:pPr>
              <w:pStyle w:val="FAM-Table-outline2"/>
              <w:spacing w:line="240" w:lineRule="auto"/>
              <w:ind w:left="1140" w:hanging="443"/>
            </w:pPr>
            <w:r w:rsidRPr="005B5418">
              <w:t>Claims expense</w:t>
            </w:r>
          </w:p>
          <w:p w14:paraId="686AF0C9" w14:textId="77777777" w:rsidR="0052235B" w:rsidRPr="005B5418" w:rsidRDefault="0052235B" w:rsidP="005425ED">
            <w:pPr>
              <w:pStyle w:val="FAM-Table-outline2"/>
              <w:spacing w:line="240" w:lineRule="auto"/>
              <w:ind w:left="1140" w:hanging="443"/>
            </w:pPr>
            <w:r w:rsidRPr="005B5418">
              <w:t>CAE</w:t>
            </w:r>
            <w:r w:rsidRPr="005B5418">
              <w:rPr>
                <w:vertAlign w:val="superscript"/>
              </w:rPr>
              <w:footnoteReference w:id="183"/>
            </w:r>
          </w:p>
          <w:p w14:paraId="69A44029" w14:textId="77777777" w:rsidR="0052235B" w:rsidRPr="005B5418" w:rsidRDefault="0052235B" w:rsidP="005425ED">
            <w:pPr>
              <w:pStyle w:val="FAM-Table-outline2"/>
              <w:spacing w:line="240" w:lineRule="auto"/>
              <w:ind w:left="1140" w:hanging="443"/>
            </w:pPr>
            <w:r w:rsidRPr="005B5418">
              <w:t>Payments to settle claims</w:t>
            </w:r>
          </w:p>
          <w:p w14:paraId="5D3E495F" w14:textId="77777777" w:rsidR="0052235B" w:rsidRPr="005B5418" w:rsidRDefault="0052235B" w:rsidP="005425ED">
            <w:pPr>
              <w:pStyle w:val="FAM-Table-outline2"/>
              <w:spacing w:line="240" w:lineRule="auto"/>
              <w:ind w:left="1140" w:hanging="443"/>
            </w:pPr>
            <w:r w:rsidRPr="005B5418">
              <w:t>Recoveries and other adjustments</w:t>
            </w:r>
          </w:p>
          <w:p w14:paraId="161F2906" w14:textId="11476FA3" w:rsidR="0052235B" w:rsidRPr="005B5418" w:rsidRDefault="0052235B" w:rsidP="005425ED">
            <w:pPr>
              <w:pStyle w:val="FAM-Table-outline2"/>
              <w:spacing w:line="240" w:lineRule="auto"/>
              <w:ind w:left="1140" w:hanging="443"/>
            </w:pPr>
            <w:r w:rsidRPr="005B5418">
              <w:t>Ending balance (SFFAS 51, para. 41)</w:t>
            </w:r>
          </w:p>
        </w:tc>
        <w:tc>
          <w:tcPr>
            <w:tcW w:w="965" w:type="dxa"/>
          </w:tcPr>
          <w:p w14:paraId="44758AF2" w14:textId="77777777" w:rsidR="0052235B" w:rsidRPr="005B5418" w:rsidRDefault="0052235B" w:rsidP="008F3A0B">
            <w:pPr>
              <w:pStyle w:val="Table-Cell-CenterBoldBefore6ptAfter6pt"/>
              <w:spacing w:before="60" w:after="60"/>
              <w:rPr>
                <w:rFonts w:cs="Arial"/>
                <w:lang w:val="pt-BR"/>
              </w:rPr>
            </w:pPr>
          </w:p>
        </w:tc>
        <w:tc>
          <w:tcPr>
            <w:tcW w:w="3230" w:type="dxa"/>
          </w:tcPr>
          <w:p w14:paraId="6C602F7E" w14:textId="77777777" w:rsidR="0052235B" w:rsidRPr="005B5418" w:rsidRDefault="0052235B" w:rsidP="008F3A0B">
            <w:pPr>
              <w:pStyle w:val="BodyTextIndent"/>
              <w:spacing w:before="60" w:after="60"/>
              <w:rPr>
                <w:rFonts w:cs="Arial"/>
                <w:lang w:val="pt-BR"/>
              </w:rPr>
            </w:pPr>
          </w:p>
        </w:tc>
      </w:tr>
      <w:tr w:rsidR="00F831ED" w:rsidRPr="005B5418" w14:paraId="653F2D10" w14:textId="77777777" w:rsidTr="007A7A92">
        <w:trPr>
          <w:trHeight w:val="521"/>
        </w:trPr>
        <w:tc>
          <w:tcPr>
            <w:tcW w:w="9595" w:type="dxa"/>
            <w:gridSpan w:val="3"/>
          </w:tcPr>
          <w:p w14:paraId="2A6E51A7" w14:textId="5E0F83F8" w:rsidR="00F831ED" w:rsidRPr="005B5418" w:rsidRDefault="00F831ED" w:rsidP="008F3A0B">
            <w:pPr>
              <w:pStyle w:val="Table-Note"/>
              <w:spacing w:before="60" w:after="60" w:line="240" w:lineRule="auto"/>
              <w:ind w:left="-35"/>
              <w:jc w:val="left"/>
              <w:rPr>
                <w:rFonts w:eastAsia="Arial Unicode MS" w:cs="Arial"/>
                <w:i w:val="0"/>
                <w:iCs/>
                <w:sz w:val="22"/>
                <w:szCs w:val="22"/>
              </w:rPr>
            </w:pPr>
            <w:r w:rsidRPr="005B5418">
              <w:rPr>
                <w:b/>
                <w:i w:val="0"/>
                <w:iCs/>
              </w:rPr>
              <w:lastRenderedPageBreak/>
              <w:t>Nonexchange Transaction Insurance Programs</w:t>
            </w:r>
          </w:p>
        </w:tc>
      </w:tr>
      <w:tr w:rsidR="0052235B" w:rsidRPr="005B5418" w14:paraId="51650FB9" w14:textId="77777777" w:rsidTr="008F3A0B">
        <w:trPr>
          <w:trHeight w:val="1421"/>
        </w:trPr>
        <w:tc>
          <w:tcPr>
            <w:tcW w:w="9595" w:type="dxa"/>
            <w:gridSpan w:val="3"/>
          </w:tcPr>
          <w:p w14:paraId="151EDD16" w14:textId="77777777" w:rsidR="0052235B" w:rsidRPr="005B5418" w:rsidRDefault="0052235B" w:rsidP="008F3A0B">
            <w:pPr>
              <w:pStyle w:val="Table-Note"/>
              <w:spacing w:before="60" w:after="60" w:line="240" w:lineRule="auto"/>
              <w:ind w:left="-35"/>
              <w:jc w:val="left"/>
              <w:rPr>
                <w:rFonts w:eastAsia="Arial Unicode MS" w:cs="Arial"/>
                <w:i w:val="0"/>
                <w:sz w:val="22"/>
                <w:szCs w:val="22"/>
              </w:rPr>
            </w:pPr>
            <w:r w:rsidRPr="005B5418">
              <w:rPr>
                <w:rFonts w:eastAsia="Arial Unicode MS" w:cs="Arial"/>
                <w:i w:val="0"/>
                <w:sz w:val="22"/>
                <w:szCs w:val="22"/>
              </w:rPr>
              <w:t>Nonexchange insurance programs collect funds on demand and/or receive appropriations to cover the risk of loss from certain adverse events. (SFFAS 51, para. 42)</w:t>
            </w:r>
          </w:p>
          <w:p w14:paraId="5C145042" w14:textId="77777777" w:rsidR="0052235B" w:rsidRPr="005B5418" w:rsidRDefault="0052235B" w:rsidP="008F3A0B">
            <w:pPr>
              <w:pStyle w:val="BodyTextIndent"/>
              <w:spacing w:before="60" w:after="60"/>
              <w:ind w:left="-35"/>
              <w:rPr>
                <w:rFonts w:eastAsia="Arial Unicode MS"/>
                <w:szCs w:val="22"/>
              </w:rPr>
            </w:pPr>
            <w:r w:rsidRPr="005B5418">
              <w:rPr>
                <w:rFonts w:eastAsia="Arial Unicode MS"/>
                <w:szCs w:val="22"/>
              </w:rPr>
              <w:t>For nonexchange transaction insurance programs, the entity only records a liability for unpaid insurance claims.</w:t>
            </w:r>
          </w:p>
          <w:p w14:paraId="1257E7D2" w14:textId="77777777" w:rsidR="0052235B" w:rsidRPr="005B5418" w:rsidRDefault="0052235B" w:rsidP="008F3A0B">
            <w:pPr>
              <w:pStyle w:val="BodyTextIndent"/>
              <w:spacing w:before="60" w:after="60"/>
              <w:ind w:left="-35"/>
              <w:rPr>
                <w:rFonts w:eastAsia="Arial Unicode MS" w:cs="Arial"/>
                <w:szCs w:val="22"/>
              </w:rPr>
            </w:pPr>
            <w:r w:rsidRPr="005B5418">
              <w:rPr>
                <w:rFonts w:eastAsia="Arial Unicode MS" w:cs="Arial"/>
                <w:szCs w:val="22"/>
              </w:rPr>
              <w:t>An insurance program other than a life insurance program receiving any exchange revenue should be designated as an exchange transaction insurance program other than life insurance. (SFFAS 51, para. 23)</w:t>
            </w:r>
          </w:p>
        </w:tc>
      </w:tr>
      <w:tr w:rsidR="0052235B" w:rsidRPr="005B5418" w14:paraId="32633F0B" w14:textId="77777777" w:rsidTr="008F3A0B">
        <w:trPr>
          <w:trHeight w:val="431"/>
        </w:trPr>
        <w:tc>
          <w:tcPr>
            <w:tcW w:w="9595" w:type="dxa"/>
            <w:gridSpan w:val="3"/>
          </w:tcPr>
          <w:p w14:paraId="2D18FB08" w14:textId="77777777" w:rsidR="0052235B" w:rsidRPr="005B5418" w:rsidRDefault="0052235B" w:rsidP="008F3A0B">
            <w:pPr>
              <w:pStyle w:val="Table-Note"/>
              <w:spacing w:before="60" w:after="60" w:line="240" w:lineRule="auto"/>
              <w:ind w:left="0"/>
              <w:jc w:val="center"/>
              <w:rPr>
                <w:rFonts w:eastAsia="Arial Unicode MS" w:cs="Arial"/>
                <w:i w:val="0"/>
                <w:sz w:val="22"/>
                <w:szCs w:val="22"/>
              </w:rPr>
            </w:pPr>
            <w:r w:rsidRPr="005B5418">
              <w:rPr>
                <w:rFonts w:eastAsia="Arial Unicode MS"/>
                <w:b/>
                <w:i w:val="0"/>
              </w:rPr>
              <w:t>Revenue</w:t>
            </w:r>
          </w:p>
        </w:tc>
      </w:tr>
      <w:tr w:rsidR="0052235B" w:rsidRPr="005B5418" w14:paraId="6B75AC07" w14:textId="77777777" w:rsidTr="008F3A0B">
        <w:trPr>
          <w:trHeight w:hRule="exact" w:val="461"/>
        </w:trPr>
        <w:tc>
          <w:tcPr>
            <w:tcW w:w="9595" w:type="dxa"/>
            <w:gridSpan w:val="3"/>
          </w:tcPr>
          <w:p w14:paraId="24765A5F" w14:textId="77777777" w:rsidR="0052235B" w:rsidRPr="005B5418" w:rsidRDefault="0052235B" w:rsidP="008F3A0B">
            <w:pPr>
              <w:pStyle w:val="Table-Note"/>
              <w:spacing w:before="60" w:after="60" w:line="240" w:lineRule="auto"/>
              <w:ind w:left="0"/>
              <w:jc w:val="left"/>
              <w:rPr>
                <w:rFonts w:eastAsia="Arial Unicode MS"/>
                <w:b/>
                <w:i w:val="0"/>
                <w:sz w:val="22"/>
              </w:rPr>
            </w:pPr>
            <w:r w:rsidRPr="005B5418">
              <w:rPr>
                <w:rFonts w:eastAsia="Arial Unicode MS"/>
                <w:b/>
                <w:i w:val="0"/>
                <w:sz w:val="22"/>
              </w:rPr>
              <w:t>Accounting</w:t>
            </w:r>
          </w:p>
        </w:tc>
      </w:tr>
      <w:tr w:rsidR="0052235B" w:rsidRPr="005B5418" w14:paraId="1DDB14B2" w14:textId="77777777" w:rsidTr="008F3A0B">
        <w:trPr>
          <w:trHeight w:val="1421"/>
        </w:trPr>
        <w:tc>
          <w:tcPr>
            <w:tcW w:w="5400" w:type="dxa"/>
          </w:tcPr>
          <w:p w14:paraId="1C556741" w14:textId="7C926D78" w:rsidR="0052235B" w:rsidRPr="005B5418" w:rsidRDefault="0052235B" w:rsidP="00F77657">
            <w:pPr>
              <w:pStyle w:val="FAM-Table-outline"/>
              <w:widowControl/>
              <w:numPr>
                <w:ilvl w:val="0"/>
                <w:numId w:val="30"/>
              </w:numPr>
              <w:adjustRightInd/>
              <w:spacing w:line="240" w:lineRule="auto"/>
              <w:textAlignment w:val="auto"/>
            </w:pPr>
            <w:r w:rsidRPr="005B5418">
              <w:t>Does the entity apply general revenue recognition standards as found in SFFAS 7, for nonexchange transaction insurance programs?</w:t>
            </w:r>
            <w:r w:rsidR="00F77657" w:rsidRPr="005B5418">
              <w:rPr>
                <w:rStyle w:val="FootnoteReference"/>
              </w:rPr>
              <w:footnoteReference w:id="184"/>
            </w:r>
            <w:r w:rsidRPr="005B5418">
              <w:t xml:space="preserve"> (SFFAS 51, para. 44)</w:t>
            </w:r>
          </w:p>
        </w:tc>
        <w:tc>
          <w:tcPr>
            <w:tcW w:w="965" w:type="dxa"/>
          </w:tcPr>
          <w:p w14:paraId="1366F2DF" w14:textId="77777777" w:rsidR="0052235B" w:rsidRPr="005B5418" w:rsidRDefault="0052235B" w:rsidP="008F3A0B">
            <w:pPr>
              <w:pStyle w:val="Table-Cell-CenterBoldBefore6ptAfter6pt"/>
              <w:spacing w:before="60" w:after="60"/>
              <w:rPr>
                <w:rFonts w:cs="Arial"/>
                <w:lang w:val="pt-BR"/>
              </w:rPr>
            </w:pPr>
          </w:p>
        </w:tc>
        <w:tc>
          <w:tcPr>
            <w:tcW w:w="3230" w:type="dxa"/>
          </w:tcPr>
          <w:p w14:paraId="6F8008B6" w14:textId="77777777" w:rsidR="0052235B" w:rsidRPr="005B5418" w:rsidRDefault="0052235B" w:rsidP="008F3A0B">
            <w:pPr>
              <w:pStyle w:val="BodyTextIndent"/>
              <w:spacing w:before="60" w:after="60"/>
              <w:rPr>
                <w:rFonts w:cs="Arial"/>
                <w:lang w:val="pt-BR"/>
              </w:rPr>
            </w:pPr>
          </w:p>
        </w:tc>
      </w:tr>
      <w:tr w:rsidR="0052235B" w:rsidRPr="005B5418" w14:paraId="7B94B5B9" w14:textId="77777777" w:rsidTr="008F3A0B">
        <w:trPr>
          <w:trHeight w:val="1421"/>
        </w:trPr>
        <w:tc>
          <w:tcPr>
            <w:tcW w:w="5400" w:type="dxa"/>
          </w:tcPr>
          <w:p w14:paraId="78B5BDC3" w14:textId="77777777" w:rsidR="0052235B" w:rsidRPr="005B5418" w:rsidRDefault="0052235B" w:rsidP="008F3A0B">
            <w:pPr>
              <w:pStyle w:val="FAM-Table-outline"/>
              <w:widowControl/>
              <w:numPr>
                <w:ilvl w:val="0"/>
                <w:numId w:val="30"/>
              </w:numPr>
              <w:adjustRightInd/>
              <w:spacing w:line="240" w:lineRule="auto"/>
              <w:textAlignment w:val="auto"/>
            </w:pPr>
            <w:r w:rsidRPr="005B5418">
              <w:t xml:space="preserve">Do programs accounted for as “nonexchange transaction insurance programs” </w:t>
            </w:r>
            <w:r w:rsidRPr="005B5418">
              <w:rPr>
                <w:u w:val="single"/>
              </w:rPr>
              <w:t>exclude</w:t>
            </w:r>
            <w:r w:rsidRPr="005B5418">
              <w:t xml:space="preserve"> insurance programs that receive any exchange revenue? (SFFAS 51, para. 43)</w:t>
            </w:r>
          </w:p>
        </w:tc>
        <w:tc>
          <w:tcPr>
            <w:tcW w:w="965" w:type="dxa"/>
          </w:tcPr>
          <w:p w14:paraId="6F3DDE85" w14:textId="77777777" w:rsidR="0052235B" w:rsidRPr="005B5418" w:rsidRDefault="0052235B" w:rsidP="008F3A0B">
            <w:pPr>
              <w:pStyle w:val="Table-Cell-CenterBoldBefore6ptAfter6pt"/>
              <w:spacing w:before="60" w:after="60"/>
              <w:rPr>
                <w:rFonts w:cs="Arial"/>
                <w:lang w:val="pt-BR"/>
              </w:rPr>
            </w:pPr>
          </w:p>
        </w:tc>
        <w:tc>
          <w:tcPr>
            <w:tcW w:w="3230" w:type="dxa"/>
          </w:tcPr>
          <w:p w14:paraId="338E77BF" w14:textId="77777777" w:rsidR="0052235B" w:rsidRPr="005B5418" w:rsidRDefault="0052235B" w:rsidP="008F3A0B">
            <w:pPr>
              <w:pStyle w:val="BodyTextIndent"/>
              <w:spacing w:before="60" w:after="60"/>
              <w:rPr>
                <w:rFonts w:cs="Arial"/>
                <w:lang w:val="pt-BR"/>
              </w:rPr>
            </w:pPr>
          </w:p>
        </w:tc>
      </w:tr>
      <w:tr w:rsidR="0052235B" w:rsidRPr="005B5418" w14:paraId="5D6B2660" w14:textId="77777777" w:rsidTr="008F3A0B">
        <w:trPr>
          <w:trHeight w:val="458"/>
        </w:trPr>
        <w:tc>
          <w:tcPr>
            <w:tcW w:w="9595" w:type="dxa"/>
            <w:gridSpan w:val="3"/>
          </w:tcPr>
          <w:p w14:paraId="130C6429" w14:textId="77777777" w:rsidR="0052235B" w:rsidRPr="005B5418" w:rsidRDefault="0052235B" w:rsidP="008F3A0B">
            <w:pPr>
              <w:pStyle w:val="BodyTextIndent"/>
              <w:spacing w:before="60" w:after="60"/>
              <w:jc w:val="center"/>
              <w:rPr>
                <w:rFonts w:cs="Arial"/>
                <w:lang w:val="pt-BR"/>
              </w:rPr>
            </w:pPr>
            <w:r w:rsidRPr="005B5418">
              <w:rPr>
                <w:rFonts w:eastAsia="Arial Unicode MS"/>
                <w:b/>
              </w:rPr>
              <w:t>Liability for Unpaid Insurance Claims</w:t>
            </w:r>
          </w:p>
        </w:tc>
      </w:tr>
      <w:tr w:rsidR="0052235B" w:rsidRPr="005B5418" w14:paraId="4E9C6F36" w14:textId="77777777" w:rsidTr="008F3A0B">
        <w:trPr>
          <w:trHeight w:hRule="exact" w:val="461"/>
        </w:trPr>
        <w:tc>
          <w:tcPr>
            <w:tcW w:w="9595" w:type="dxa"/>
            <w:gridSpan w:val="3"/>
          </w:tcPr>
          <w:p w14:paraId="72AC1487" w14:textId="77777777" w:rsidR="0052235B" w:rsidRPr="005B5418" w:rsidRDefault="0052235B" w:rsidP="008F3A0B">
            <w:pPr>
              <w:pStyle w:val="Table-Note"/>
              <w:spacing w:before="60" w:after="60" w:line="240" w:lineRule="auto"/>
              <w:ind w:left="0"/>
              <w:jc w:val="left"/>
              <w:rPr>
                <w:rFonts w:eastAsia="Arial Unicode MS"/>
                <w:b/>
                <w:i w:val="0"/>
                <w:sz w:val="22"/>
              </w:rPr>
            </w:pPr>
            <w:r w:rsidRPr="005B5418">
              <w:rPr>
                <w:rFonts w:eastAsia="Arial Unicode MS"/>
                <w:b/>
                <w:i w:val="0"/>
                <w:sz w:val="22"/>
              </w:rPr>
              <w:t>Accounting</w:t>
            </w:r>
          </w:p>
        </w:tc>
      </w:tr>
      <w:tr w:rsidR="0052235B" w:rsidRPr="005B5418" w14:paraId="2D82D15F" w14:textId="77777777" w:rsidTr="008F3A0B">
        <w:trPr>
          <w:trHeight w:val="1421"/>
        </w:trPr>
        <w:tc>
          <w:tcPr>
            <w:tcW w:w="5400" w:type="dxa"/>
          </w:tcPr>
          <w:p w14:paraId="6263414F"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recognize a liability for unpaid insurance claims for adverse events that occurred before the end of the reporting period? (SFFAS 51, para. 45)</w:t>
            </w:r>
          </w:p>
        </w:tc>
        <w:tc>
          <w:tcPr>
            <w:tcW w:w="965" w:type="dxa"/>
          </w:tcPr>
          <w:p w14:paraId="14CD539C" w14:textId="77777777" w:rsidR="0052235B" w:rsidRPr="005B5418" w:rsidRDefault="0052235B" w:rsidP="008F3A0B">
            <w:pPr>
              <w:pStyle w:val="Table-Cell-CenterBoldBefore6ptAfter6pt"/>
              <w:spacing w:before="60" w:after="60"/>
              <w:rPr>
                <w:rFonts w:cs="Arial"/>
                <w:lang w:val="pt-BR"/>
              </w:rPr>
            </w:pPr>
          </w:p>
        </w:tc>
        <w:tc>
          <w:tcPr>
            <w:tcW w:w="3230" w:type="dxa"/>
          </w:tcPr>
          <w:p w14:paraId="240D4E55" w14:textId="77777777" w:rsidR="0052235B" w:rsidRPr="005B5418" w:rsidRDefault="0052235B" w:rsidP="008F3A0B">
            <w:pPr>
              <w:pStyle w:val="BodyTextIndent"/>
              <w:spacing w:before="60" w:after="60"/>
              <w:rPr>
                <w:rFonts w:cs="Arial"/>
                <w:lang w:val="pt-BR"/>
              </w:rPr>
            </w:pPr>
          </w:p>
        </w:tc>
      </w:tr>
      <w:tr w:rsidR="0052235B" w:rsidRPr="005B5418" w14:paraId="3522873C" w14:textId="77777777" w:rsidTr="008F3A0B">
        <w:trPr>
          <w:trHeight w:val="1421"/>
        </w:trPr>
        <w:tc>
          <w:tcPr>
            <w:tcW w:w="5400" w:type="dxa"/>
          </w:tcPr>
          <w:p w14:paraId="0EA6EFB9"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initially record the liability for unpaid insurance claims at the estimated settlement amount and remeasured at the end of each reporting period? (SFFAS 51, para. 45)</w:t>
            </w:r>
          </w:p>
        </w:tc>
        <w:tc>
          <w:tcPr>
            <w:tcW w:w="965" w:type="dxa"/>
          </w:tcPr>
          <w:p w14:paraId="35474740" w14:textId="77777777" w:rsidR="0052235B" w:rsidRPr="005B5418" w:rsidRDefault="0052235B" w:rsidP="008F3A0B">
            <w:pPr>
              <w:pStyle w:val="Table-Cell-CenterBoldBefore6ptAfter6pt"/>
              <w:spacing w:before="60" w:after="60"/>
              <w:rPr>
                <w:rFonts w:cs="Arial"/>
                <w:lang w:val="pt-BR"/>
              </w:rPr>
            </w:pPr>
          </w:p>
        </w:tc>
        <w:tc>
          <w:tcPr>
            <w:tcW w:w="3230" w:type="dxa"/>
          </w:tcPr>
          <w:p w14:paraId="0A854130" w14:textId="77777777" w:rsidR="0052235B" w:rsidRPr="005B5418" w:rsidRDefault="0052235B" w:rsidP="008F3A0B">
            <w:pPr>
              <w:pStyle w:val="BodyTextIndent"/>
              <w:spacing w:before="60" w:after="60"/>
              <w:rPr>
                <w:rFonts w:cs="Arial"/>
                <w:lang w:val="pt-BR"/>
              </w:rPr>
            </w:pPr>
          </w:p>
        </w:tc>
      </w:tr>
      <w:tr w:rsidR="0052235B" w:rsidRPr="005B5418" w14:paraId="0A965FE2" w14:textId="77777777" w:rsidTr="008F3A0B">
        <w:trPr>
          <w:trHeight w:val="1421"/>
        </w:trPr>
        <w:tc>
          <w:tcPr>
            <w:tcW w:w="5400" w:type="dxa"/>
          </w:tcPr>
          <w:p w14:paraId="08AAD680" w14:textId="77777777" w:rsidR="0052235B" w:rsidRPr="005B5418" w:rsidRDefault="0052235B" w:rsidP="008F3A0B">
            <w:pPr>
              <w:pStyle w:val="FAM-Table-outline"/>
              <w:spacing w:line="240" w:lineRule="auto"/>
              <w:rPr>
                <w:rFonts w:eastAsia="Arial Unicode MS"/>
              </w:rPr>
            </w:pPr>
            <w:r w:rsidRPr="005B5418">
              <w:lastRenderedPageBreak/>
              <w:t>Does the entity include the following in its estimated settlement amount for insurance claims?</w:t>
            </w:r>
          </w:p>
          <w:p w14:paraId="1CF3ADD7" w14:textId="77777777" w:rsidR="0052235B" w:rsidRPr="005B5418" w:rsidRDefault="0052235B" w:rsidP="005425ED">
            <w:pPr>
              <w:pStyle w:val="FAM-Table-outline2"/>
              <w:spacing w:line="240" w:lineRule="auto"/>
              <w:ind w:left="1140" w:hanging="443"/>
            </w:pPr>
            <w:r w:rsidRPr="005B5418">
              <w:t>Outflows to liquidate the following:</w:t>
            </w:r>
          </w:p>
          <w:p w14:paraId="4B60D391" w14:textId="77777777" w:rsidR="0052235B" w:rsidRPr="005B5418" w:rsidRDefault="0052235B"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Claims that have been reported but not paid.</w:t>
            </w:r>
          </w:p>
          <w:p w14:paraId="5CA13FEF" w14:textId="2B4461B9" w:rsidR="0052235B" w:rsidRPr="00580CC4" w:rsidRDefault="0052235B" w:rsidP="005425ED">
            <w:pPr>
              <w:pStyle w:val="FAM-Table-outline3"/>
              <w:widowControl/>
              <w:adjustRightInd/>
              <w:spacing w:before="60" w:after="60" w:line="240" w:lineRule="auto"/>
              <w:ind w:left="1410" w:hanging="432"/>
              <w:textAlignment w:val="auto"/>
            </w:pPr>
            <w:r w:rsidRPr="005B5418">
              <w:rPr>
                <w:rFonts w:cs="Arial"/>
                <w:sz w:val="22"/>
                <w:szCs w:val="22"/>
              </w:rPr>
              <w:t>Claims IBNR.</w:t>
            </w:r>
            <w:r w:rsidRPr="005B5418">
              <w:rPr>
                <w:rStyle w:val="FootnoteReference"/>
                <w:sz w:val="22"/>
              </w:rPr>
              <w:footnoteReference w:id="185"/>
            </w:r>
            <w:r w:rsidR="00BC2655" w:rsidRPr="005425ED">
              <w:rPr>
                <w:rFonts w:cs="Arial"/>
                <w:sz w:val="22"/>
                <w:szCs w:val="22"/>
                <w:vertAlign w:val="superscript"/>
              </w:rPr>
              <w:t>,</w:t>
            </w:r>
            <w:r w:rsidR="00BC2655" w:rsidRPr="005425ED">
              <w:rPr>
                <w:rStyle w:val="FootnoteReference"/>
                <w:sz w:val="22"/>
              </w:rPr>
              <w:footnoteReference w:id="186"/>
            </w:r>
            <w:r w:rsidRPr="005B5418">
              <w:rPr>
                <w:rFonts w:cs="Arial"/>
                <w:sz w:val="22"/>
                <w:szCs w:val="22"/>
              </w:rPr>
              <w:t xml:space="preserve"> </w:t>
            </w:r>
          </w:p>
          <w:p w14:paraId="7F13230F" w14:textId="77777777" w:rsidR="0052235B" w:rsidRPr="005B5418" w:rsidRDefault="0052235B" w:rsidP="005425ED">
            <w:pPr>
              <w:pStyle w:val="FAM-Table-outline2"/>
              <w:spacing w:line="240" w:lineRule="auto"/>
              <w:ind w:left="1140" w:hanging="443"/>
            </w:pPr>
            <w:r w:rsidRPr="005B5418">
              <w:t>Related estimated CAE.</w:t>
            </w:r>
          </w:p>
          <w:p w14:paraId="1C350125" w14:textId="77777777" w:rsidR="0052235B" w:rsidRPr="005B5418" w:rsidRDefault="0052235B" w:rsidP="005425ED">
            <w:pPr>
              <w:pStyle w:val="FAM-Table-outline2"/>
              <w:spacing w:line="240" w:lineRule="auto"/>
              <w:ind w:left="1140" w:hanging="443"/>
            </w:pPr>
            <w:r w:rsidRPr="005B5418">
              <w:t>Estimated inflows from recoveries not realized at the end of the reporting period.</w:t>
            </w:r>
          </w:p>
          <w:p w14:paraId="3879A44F" w14:textId="77777777" w:rsidR="0052235B" w:rsidRPr="005425ED" w:rsidRDefault="0052235B" w:rsidP="005425ED">
            <w:pPr>
              <w:pStyle w:val="FAM-Table-outline3"/>
              <w:widowControl/>
              <w:adjustRightInd/>
              <w:spacing w:before="60" w:after="60" w:line="240" w:lineRule="auto"/>
              <w:ind w:left="1410" w:hanging="432"/>
              <w:textAlignment w:val="auto"/>
              <w:rPr>
                <w:sz w:val="22"/>
              </w:rPr>
            </w:pPr>
            <w:r w:rsidRPr="005B5418">
              <w:rPr>
                <w:rFonts w:cs="Arial"/>
                <w:sz w:val="22"/>
                <w:szCs w:val="22"/>
              </w:rPr>
              <w:t>If estimated recoveries exceed the related claims for an insurance portfolio, then recognition of the estimated inflows is limited to the amount of the related claims.</w:t>
            </w:r>
            <w:r w:rsidRPr="005B5418">
              <w:rPr>
                <w:rStyle w:val="FootnoteReference"/>
                <w:sz w:val="22"/>
              </w:rPr>
              <w:footnoteReference w:id="187"/>
            </w:r>
          </w:p>
          <w:p w14:paraId="2DA1498F" w14:textId="77777777" w:rsidR="0052235B" w:rsidRPr="005B5418" w:rsidRDefault="0052235B" w:rsidP="005425ED">
            <w:pPr>
              <w:pStyle w:val="FAM-Table-outline3"/>
              <w:widowControl/>
              <w:adjustRightInd/>
              <w:spacing w:before="60" w:after="60" w:line="240" w:lineRule="auto"/>
              <w:ind w:left="1410" w:hanging="432"/>
              <w:textAlignment w:val="auto"/>
              <w:rPr>
                <w:szCs w:val="22"/>
              </w:rPr>
            </w:pPr>
            <w:r w:rsidRPr="005B5418">
              <w:rPr>
                <w:rFonts w:cs="Arial"/>
                <w:sz w:val="22"/>
                <w:szCs w:val="22"/>
              </w:rPr>
              <w:t>Recoveries should be recognized as reductions of claims, rather than as revenue. (SFFAS 51, para. 46)</w:t>
            </w:r>
          </w:p>
        </w:tc>
        <w:tc>
          <w:tcPr>
            <w:tcW w:w="965" w:type="dxa"/>
          </w:tcPr>
          <w:p w14:paraId="1F8FCB24" w14:textId="77777777" w:rsidR="0052235B" w:rsidRPr="005B5418" w:rsidRDefault="0052235B" w:rsidP="008F3A0B">
            <w:pPr>
              <w:pStyle w:val="Table-Cell-CenterBoldBefore6ptAfter6pt"/>
              <w:spacing w:before="60" w:after="60"/>
              <w:rPr>
                <w:rFonts w:cs="Arial"/>
                <w:lang w:val="pt-BR"/>
              </w:rPr>
            </w:pPr>
          </w:p>
        </w:tc>
        <w:tc>
          <w:tcPr>
            <w:tcW w:w="3230" w:type="dxa"/>
          </w:tcPr>
          <w:p w14:paraId="6A70F5E6" w14:textId="77777777" w:rsidR="0052235B" w:rsidRPr="005B5418" w:rsidRDefault="0052235B" w:rsidP="008F3A0B">
            <w:pPr>
              <w:pStyle w:val="BodyTextIndent"/>
              <w:spacing w:before="60" w:after="60"/>
              <w:rPr>
                <w:rFonts w:cs="Arial"/>
                <w:lang w:val="pt-BR"/>
              </w:rPr>
            </w:pPr>
          </w:p>
        </w:tc>
      </w:tr>
      <w:tr w:rsidR="0052235B" w:rsidRPr="005B5418" w14:paraId="606BA493" w14:textId="77777777" w:rsidTr="008F3A0B">
        <w:trPr>
          <w:trHeight w:val="1421"/>
        </w:trPr>
        <w:tc>
          <w:tcPr>
            <w:tcW w:w="5400" w:type="dxa"/>
          </w:tcPr>
          <w:p w14:paraId="45E92716" w14:textId="77777777" w:rsidR="0052235B" w:rsidRPr="005B5418" w:rsidRDefault="0052235B" w:rsidP="008F3A0B">
            <w:pPr>
              <w:pStyle w:val="FAM-Table-outline"/>
              <w:widowControl/>
              <w:numPr>
                <w:ilvl w:val="0"/>
                <w:numId w:val="30"/>
              </w:numPr>
              <w:adjustRightInd/>
              <w:spacing w:line="240" w:lineRule="auto"/>
              <w:textAlignment w:val="auto"/>
            </w:pPr>
            <w:r w:rsidRPr="005B5418">
              <w:rPr>
                <w:rFonts w:cs="Arial"/>
                <w:szCs w:val="22"/>
              </w:rPr>
              <w:t>Does the entity recognize, as a component of claims expense, adjustments to the liability for unpaid insurance claims, other than those resulting from payments made to liquidate existing liability balances? (SFFAS 51, para. 47)</w:t>
            </w:r>
          </w:p>
        </w:tc>
        <w:tc>
          <w:tcPr>
            <w:tcW w:w="965" w:type="dxa"/>
          </w:tcPr>
          <w:p w14:paraId="1C8D437F" w14:textId="77777777" w:rsidR="0052235B" w:rsidRPr="005B5418" w:rsidRDefault="0052235B" w:rsidP="008F3A0B">
            <w:pPr>
              <w:pStyle w:val="Table-Cell-CenterBoldBefore6ptAfter6pt"/>
              <w:spacing w:before="60" w:after="60"/>
              <w:rPr>
                <w:rFonts w:cs="Arial"/>
                <w:lang w:val="pt-BR"/>
              </w:rPr>
            </w:pPr>
          </w:p>
        </w:tc>
        <w:tc>
          <w:tcPr>
            <w:tcW w:w="3230" w:type="dxa"/>
          </w:tcPr>
          <w:p w14:paraId="72632411" w14:textId="77777777" w:rsidR="0052235B" w:rsidRPr="005B5418" w:rsidRDefault="0052235B" w:rsidP="008F3A0B">
            <w:pPr>
              <w:pStyle w:val="BodyTextIndent"/>
              <w:spacing w:before="60" w:after="60"/>
              <w:rPr>
                <w:rFonts w:cs="Arial"/>
                <w:lang w:val="pt-BR"/>
              </w:rPr>
            </w:pPr>
          </w:p>
        </w:tc>
      </w:tr>
      <w:tr w:rsidR="0052235B" w:rsidRPr="005B5418" w14:paraId="70D4B1C1" w14:textId="77777777" w:rsidTr="00D8045C">
        <w:trPr>
          <w:trHeight w:hRule="exact" w:val="1306"/>
        </w:trPr>
        <w:tc>
          <w:tcPr>
            <w:tcW w:w="5400" w:type="dxa"/>
          </w:tcPr>
          <w:p w14:paraId="1A43F303"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apply guidance from SFFAS 39 to subsequent events relating to unpaid insurance claims? (SFFAS 51, para. 48)</w:t>
            </w:r>
            <w:r w:rsidRPr="005B5418" w:rsidDel="007840DE">
              <w:rPr>
                <w:rStyle w:val="FootnoteReference"/>
              </w:rPr>
              <w:t xml:space="preserve"> </w:t>
            </w:r>
          </w:p>
          <w:p w14:paraId="4FE5CFED" w14:textId="77777777" w:rsidR="00D8045C" w:rsidRPr="005B5418" w:rsidRDefault="00D8045C" w:rsidP="00D8045C">
            <w:pPr>
              <w:pStyle w:val="FAM-Table-outline"/>
              <w:widowControl/>
              <w:numPr>
                <w:ilvl w:val="0"/>
                <w:numId w:val="0"/>
              </w:numPr>
              <w:adjustRightInd/>
              <w:spacing w:line="240" w:lineRule="auto"/>
              <w:ind w:left="666" w:hanging="576"/>
              <w:textAlignment w:val="auto"/>
            </w:pPr>
          </w:p>
          <w:p w14:paraId="1C9573BF" w14:textId="1160F6B9" w:rsidR="00D8045C" w:rsidRPr="005B5418" w:rsidRDefault="00D8045C" w:rsidP="00D8045C">
            <w:pPr>
              <w:pStyle w:val="FAM-Table-outline"/>
              <w:widowControl/>
              <w:numPr>
                <w:ilvl w:val="0"/>
                <w:numId w:val="0"/>
              </w:numPr>
              <w:adjustRightInd/>
              <w:spacing w:line="240" w:lineRule="auto"/>
              <w:ind w:left="666" w:hanging="576"/>
              <w:textAlignment w:val="auto"/>
            </w:pPr>
          </w:p>
        </w:tc>
        <w:tc>
          <w:tcPr>
            <w:tcW w:w="965" w:type="dxa"/>
          </w:tcPr>
          <w:p w14:paraId="2C861FC9" w14:textId="77777777" w:rsidR="0052235B" w:rsidRPr="005B5418" w:rsidRDefault="0052235B" w:rsidP="008F3A0B">
            <w:pPr>
              <w:pStyle w:val="Table-Cell-CenterBoldBefore6ptAfter6pt"/>
              <w:spacing w:before="60" w:after="60"/>
              <w:rPr>
                <w:rFonts w:cs="Arial"/>
                <w:lang w:val="pt-BR"/>
              </w:rPr>
            </w:pPr>
          </w:p>
        </w:tc>
        <w:tc>
          <w:tcPr>
            <w:tcW w:w="3230" w:type="dxa"/>
          </w:tcPr>
          <w:p w14:paraId="307E1ABE" w14:textId="77777777" w:rsidR="0052235B" w:rsidRPr="005B5418" w:rsidRDefault="0052235B" w:rsidP="008F3A0B">
            <w:pPr>
              <w:pStyle w:val="BodyTextIndent"/>
              <w:spacing w:before="60" w:after="60"/>
              <w:rPr>
                <w:rFonts w:cs="Arial"/>
                <w:lang w:val="pt-BR"/>
              </w:rPr>
            </w:pPr>
          </w:p>
        </w:tc>
      </w:tr>
      <w:tr w:rsidR="0052235B" w:rsidRPr="005B5418" w14:paraId="5BF9CD59" w14:textId="77777777" w:rsidTr="008F3A0B">
        <w:trPr>
          <w:trHeight w:val="386"/>
        </w:trPr>
        <w:tc>
          <w:tcPr>
            <w:tcW w:w="9595" w:type="dxa"/>
            <w:gridSpan w:val="3"/>
          </w:tcPr>
          <w:p w14:paraId="2AB424F0" w14:textId="77777777" w:rsidR="0052235B" w:rsidRPr="005B5418" w:rsidRDefault="0052235B" w:rsidP="008F3A0B">
            <w:pPr>
              <w:pStyle w:val="BodyTextIndent"/>
              <w:spacing w:before="60" w:after="60"/>
              <w:ind w:left="0"/>
              <w:rPr>
                <w:rFonts w:cs="Arial"/>
                <w:b/>
                <w:lang w:val="pt-BR"/>
              </w:rPr>
            </w:pPr>
            <w:r w:rsidRPr="005B5418">
              <w:rPr>
                <w:rFonts w:cs="Arial"/>
                <w:b/>
                <w:lang w:val="pt-BR"/>
              </w:rPr>
              <w:t>Disclosure for Nonexchange Transaction Insurance Programs</w:t>
            </w:r>
          </w:p>
        </w:tc>
      </w:tr>
      <w:tr w:rsidR="0052235B" w:rsidRPr="005B5418" w14:paraId="605441CF" w14:textId="77777777" w:rsidTr="008F3A0B">
        <w:trPr>
          <w:trHeight w:val="827"/>
        </w:trPr>
        <w:tc>
          <w:tcPr>
            <w:tcW w:w="5400" w:type="dxa"/>
          </w:tcPr>
          <w:p w14:paraId="1947B816" w14:textId="77777777" w:rsidR="0052235B" w:rsidRPr="005B5418" w:rsidRDefault="0052235B" w:rsidP="008F3A0B">
            <w:pPr>
              <w:pStyle w:val="FAM-Table-outline"/>
              <w:widowControl/>
              <w:numPr>
                <w:ilvl w:val="0"/>
                <w:numId w:val="30"/>
              </w:numPr>
              <w:adjustRightInd/>
              <w:spacing w:line="240" w:lineRule="auto"/>
              <w:textAlignment w:val="auto"/>
            </w:pPr>
            <w:r w:rsidRPr="005B5418">
              <w:t xml:space="preserve">Does the entity consider materiality, including both quantitative and qualitative factors, when </w:t>
            </w:r>
            <w:r w:rsidRPr="005B5418">
              <w:lastRenderedPageBreak/>
              <w:t>determining the nature and extent of its disclosures? (SFFAS 51, para. 49)</w:t>
            </w:r>
          </w:p>
        </w:tc>
        <w:tc>
          <w:tcPr>
            <w:tcW w:w="965" w:type="dxa"/>
          </w:tcPr>
          <w:p w14:paraId="6F6DD4EB" w14:textId="77777777" w:rsidR="0052235B" w:rsidRPr="005B5418" w:rsidRDefault="0052235B" w:rsidP="008F3A0B">
            <w:pPr>
              <w:pStyle w:val="Table-Cell-CenterBoldBefore6ptAfter6pt"/>
              <w:spacing w:before="60" w:after="60"/>
              <w:rPr>
                <w:rFonts w:cs="Arial"/>
                <w:lang w:val="pt-BR"/>
              </w:rPr>
            </w:pPr>
          </w:p>
        </w:tc>
        <w:tc>
          <w:tcPr>
            <w:tcW w:w="3230" w:type="dxa"/>
          </w:tcPr>
          <w:p w14:paraId="638E2CA9" w14:textId="77777777" w:rsidR="0052235B" w:rsidRPr="005B5418" w:rsidRDefault="0052235B" w:rsidP="008F3A0B">
            <w:pPr>
              <w:pStyle w:val="BodyTextIndent"/>
              <w:spacing w:before="60" w:after="60"/>
              <w:rPr>
                <w:rFonts w:cs="Arial"/>
                <w:lang w:val="pt-BR"/>
              </w:rPr>
            </w:pPr>
          </w:p>
        </w:tc>
      </w:tr>
      <w:tr w:rsidR="0052235B" w:rsidRPr="005B5418" w14:paraId="05350DB7" w14:textId="77777777" w:rsidTr="008F3A0B">
        <w:trPr>
          <w:trHeight w:val="827"/>
        </w:trPr>
        <w:tc>
          <w:tcPr>
            <w:tcW w:w="5400" w:type="dxa"/>
          </w:tcPr>
          <w:p w14:paraId="1B6D8A0D" w14:textId="77777777" w:rsidR="0052235B" w:rsidRPr="005B5418" w:rsidRDefault="0052235B" w:rsidP="008F3A0B">
            <w:pPr>
              <w:pStyle w:val="FAM-Table-outline"/>
              <w:widowControl/>
              <w:numPr>
                <w:ilvl w:val="0"/>
                <w:numId w:val="30"/>
              </w:numPr>
              <w:adjustRightInd/>
              <w:spacing w:line="240" w:lineRule="auto"/>
              <w:textAlignment w:val="auto"/>
            </w:pPr>
            <w:r w:rsidRPr="005B5418">
              <w:t>Are the entity’s disclosures integrated so that concise, meaningful, and transparent information is provided in a comprehensive note regarding the insurance program and related balances, or by providing references to relevant notes elsewhere in the GPFFR but which relate to the insurance program? (SFFAS 51, para. 50)</w:t>
            </w:r>
          </w:p>
        </w:tc>
        <w:tc>
          <w:tcPr>
            <w:tcW w:w="965" w:type="dxa"/>
          </w:tcPr>
          <w:p w14:paraId="5455E51F" w14:textId="77777777" w:rsidR="0052235B" w:rsidRPr="005B5418" w:rsidRDefault="0052235B" w:rsidP="008F3A0B">
            <w:pPr>
              <w:pStyle w:val="Table-Cell-CenterBoldBefore6ptAfter6pt"/>
              <w:spacing w:before="60" w:after="60"/>
              <w:rPr>
                <w:rFonts w:cs="Arial"/>
                <w:lang w:val="pt-BR"/>
              </w:rPr>
            </w:pPr>
          </w:p>
        </w:tc>
        <w:tc>
          <w:tcPr>
            <w:tcW w:w="3230" w:type="dxa"/>
          </w:tcPr>
          <w:p w14:paraId="7E43AC47" w14:textId="77777777" w:rsidR="0052235B" w:rsidRPr="005B5418" w:rsidRDefault="0052235B" w:rsidP="008F3A0B">
            <w:pPr>
              <w:pStyle w:val="BodyTextIndent"/>
              <w:spacing w:before="60" w:after="60"/>
              <w:rPr>
                <w:rFonts w:cs="Arial"/>
                <w:lang w:val="pt-BR"/>
              </w:rPr>
            </w:pPr>
          </w:p>
        </w:tc>
      </w:tr>
      <w:tr w:rsidR="0052235B" w:rsidRPr="005B5418" w14:paraId="1A9EB20D" w14:textId="77777777" w:rsidTr="008F3A0B">
        <w:trPr>
          <w:trHeight w:val="827"/>
        </w:trPr>
        <w:tc>
          <w:tcPr>
            <w:tcW w:w="5400" w:type="dxa"/>
          </w:tcPr>
          <w:p w14:paraId="5F5BEAF0"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provide the following information for each material insurance portfolio, and/or in aggregate for all remaining insurance portfolios, and/or individual insurance arrangements?</w:t>
            </w:r>
          </w:p>
          <w:p w14:paraId="6450E1A3" w14:textId="77777777" w:rsidR="0052235B" w:rsidRPr="005B5418" w:rsidRDefault="0052235B" w:rsidP="005425ED">
            <w:pPr>
              <w:pStyle w:val="FAM-Table-outline2"/>
              <w:spacing w:line="240" w:lineRule="auto"/>
              <w:ind w:left="1140" w:hanging="443"/>
            </w:pPr>
            <w:r w:rsidRPr="005B5418">
              <w:t>What is insured or guaranteed, for whom, and what other government agencies and/or commercial insurance programs administer or assume risk for any part of the program.</w:t>
            </w:r>
          </w:p>
          <w:p w14:paraId="0DED0C00" w14:textId="77777777" w:rsidR="0052235B" w:rsidRPr="005B5418" w:rsidRDefault="0052235B" w:rsidP="005425ED">
            <w:pPr>
              <w:pStyle w:val="FAM-Table-outline2"/>
              <w:numPr>
                <w:ilvl w:val="1"/>
                <w:numId w:val="65"/>
              </w:numPr>
              <w:spacing w:line="240" w:lineRule="auto"/>
              <w:ind w:left="1140" w:hanging="443"/>
            </w:pPr>
            <w:r w:rsidRPr="005B5418">
              <w:t>Full costs,</w:t>
            </w:r>
            <w:r w:rsidRPr="005B5418">
              <w:rPr>
                <w:vertAlign w:val="superscript"/>
              </w:rPr>
              <w:footnoteReference w:id="188"/>
            </w:r>
            <w:r w:rsidRPr="005B5418">
              <w:t xml:space="preserve"> premiums collected, appropriations used, and borrowing needed during the reporting period, as well as the ability to repay borrowing.</w:t>
            </w:r>
          </w:p>
          <w:p w14:paraId="59F2110C" w14:textId="77777777" w:rsidR="0052235B" w:rsidRPr="005B5418" w:rsidRDefault="0052235B" w:rsidP="005425ED">
            <w:pPr>
              <w:pStyle w:val="FAM-Table-outline2"/>
              <w:spacing w:line="240" w:lineRule="auto"/>
              <w:ind w:left="1140" w:hanging="443"/>
            </w:pPr>
            <w:r w:rsidRPr="005B5418">
              <w:t>Investing activities, such as buying Treasury securities.</w:t>
            </w:r>
          </w:p>
          <w:p w14:paraId="3684EA47" w14:textId="77777777" w:rsidR="0052235B" w:rsidRPr="005B5418" w:rsidRDefault="0052235B" w:rsidP="005425ED">
            <w:pPr>
              <w:pStyle w:val="FAM-Table-outline2"/>
              <w:spacing w:line="240" w:lineRule="auto"/>
              <w:ind w:left="1140" w:hanging="443"/>
            </w:pPr>
            <w:r w:rsidRPr="005B5418">
              <w:t>Any event(s) that caused a material change in the amounts recognized during the reporting period, such as low-probability, high-impact adverse events, changes in laws, and/or actuarial assumptions. (SFFAS 51, para. 51)</w:t>
            </w:r>
          </w:p>
        </w:tc>
        <w:tc>
          <w:tcPr>
            <w:tcW w:w="965" w:type="dxa"/>
          </w:tcPr>
          <w:p w14:paraId="241C755E" w14:textId="77777777" w:rsidR="0052235B" w:rsidRPr="005B5418" w:rsidRDefault="0052235B" w:rsidP="008F3A0B">
            <w:pPr>
              <w:pStyle w:val="Table-Cell-CenterBoldBefore6ptAfter6pt"/>
              <w:spacing w:before="60" w:after="60"/>
              <w:rPr>
                <w:rFonts w:cs="Arial"/>
                <w:lang w:val="pt-BR"/>
              </w:rPr>
            </w:pPr>
          </w:p>
        </w:tc>
        <w:tc>
          <w:tcPr>
            <w:tcW w:w="3230" w:type="dxa"/>
          </w:tcPr>
          <w:p w14:paraId="72CF6D3D" w14:textId="77777777" w:rsidR="0052235B" w:rsidRPr="005B5418" w:rsidRDefault="0052235B" w:rsidP="008F3A0B">
            <w:pPr>
              <w:pStyle w:val="BodyTextIndent"/>
              <w:spacing w:before="60" w:after="60"/>
              <w:rPr>
                <w:rFonts w:cs="Arial"/>
                <w:lang w:val="pt-BR"/>
              </w:rPr>
            </w:pPr>
          </w:p>
        </w:tc>
      </w:tr>
      <w:tr w:rsidR="0052235B" w:rsidRPr="005B5418" w14:paraId="3B817D35" w14:textId="77777777" w:rsidTr="008F3A0B">
        <w:trPr>
          <w:trHeight w:val="827"/>
        </w:trPr>
        <w:tc>
          <w:tcPr>
            <w:tcW w:w="5400" w:type="dxa"/>
          </w:tcPr>
          <w:p w14:paraId="55215DFC"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provide the following information for changes in the liability balance for unpaid insurance claims provided?</w:t>
            </w:r>
          </w:p>
          <w:p w14:paraId="7C1F6E66" w14:textId="77777777" w:rsidR="0052235B" w:rsidRPr="005B5418" w:rsidRDefault="0052235B" w:rsidP="005425ED">
            <w:pPr>
              <w:pStyle w:val="FAM-Table-outline2"/>
              <w:numPr>
                <w:ilvl w:val="1"/>
                <w:numId w:val="65"/>
              </w:numPr>
              <w:spacing w:line="240" w:lineRule="auto"/>
              <w:ind w:left="1140" w:hanging="443"/>
            </w:pPr>
            <w:r w:rsidRPr="005B5418">
              <w:t>Beginning balance</w:t>
            </w:r>
          </w:p>
          <w:p w14:paraId="5CDB47CC" w14:textId="77777777" w:rsidR="0052235B" w:rsidRPr="005B5418" w:rsidRDefault="0052235B" w:rsidP="005425ED">
            <w:pPr>
              <w:pStyle w:val="FAM-Table-outline2"/>
              <w:numPr>
                <w:ilvl w:val="1"/>
                <w:numId w:val="65"/>
              </w:numPr>
              <w:spacing w:line="240" w:lineRule="auto"/>
              <w:ind w:left="1140" w:hanging="443"/>
            </w:pPr>
            <w:r w:rsidRPr="005B5418">
              <w:t>Claims expense</w:t>
            </w:r>
          </w:p>
          <w:p w14:paraId="635E49FA" w14:textId="77777777" w:rsidR="0052235B" w:rsidRPr="005B5418" w:rsidRDefault="0052235B" w:rsidP="005425ED">
            <w:pPr>
              <w:pStyle w:val="FAM-Table-outline2"/>
              <w:numPr>
                <w:ilvl w:val="1"/>
                <w:numId w:val="65"/>
              </w:numPr>
              <w:spacing w:line="240" w:lineRule="auto"/>
              <w:ind w:left="1140" w:hanging="443"/>
            </w:pPr>
            <w:r w:rsidRPr="005B5418">
              <w:t>CAE</w:t>
            </w:r>
            <w:r w:rsidRPr="005B5418">
              <w:rPr>
                <w:vertAlign w:val="superscript"/>
              </w:rPr>
              <w:footnoteReference w:id="189"/>
            </w:r>
          </w:p>
          <w:p w14:paraId="3348F91A" w14:textId="77777777" w:rsidR="0052235B" w:rsidRPr="005B5418" w:rsidRDefault="0052235B" w:rsidP="005425ED">
            <w:pPr>
              <w:pStyle w:val="FAM-Table-outline2"/>
              <w:numPr>
                <w:ilvl w:val="1"/>
                <w:numId w:val="65"/>
              </w:numPr>
              <w:spacing w:line="240" w:lineRule="auto"/>
              <w:ind w:left="1140" w:hanging="443"/>
            </w:pPr>
            <w:r w:rsidRPr="005B5418">
              <w:lastRenderedPageBreak/>
              <w:t>Payments to settle claims</w:t>
            </w:r>
          </w:p>
          <w:p w14:paraId="118928E6" w14:textId="77777777" w:rsidR="0052235B" w:rsidRPr="005B5418" w:rsidRDefault="0052235B" w:rsidP="005425ED">
            <w:pPr>
              <w:pStyle w:val="FAM-Table-outline2"/>
              <w:numPr>
                <w:ilvl w:val="1"/>
                <w:numId w:val="65"/>
              </w:numPr>
              <w:spacing w:line="240" w:lineRule="auto"/>
              <w:ind w:left="1140" w:hanging="443"/>
            </w:pPr>
            <w:r w:rsidRPr="005B5418">
              <w:t>Recoveries and other adjustments</w:t>
            </w:r>
          </w:p>
          <w:p w14:paraId="55F2B9D9" w14:textId="77777777" w:rsidR="0052235B" w:rsidRPr="005B5418" w:rsidRDefault="0052235B" w:rsidP="005425ED">
            <w:pPr>
              <w:pStyle w:val="FAM-Table-outline2"/>
              <w:numPr>
                <w:ilvl w:val="1"/>
                <w:numId w:val="65"/>
              </w:numPr>
              <w:spacing w:line="240" w:lineRule="auto"/>
              <w:ind w:left="1140" w:hanging="443"/>
            </w:pPr>
            <w:r w:rsidRPr="005B5418">
              <w:t>Ending balance (SFFAS 51, para. 52)</w:t>
            </w:r>
          </w:p>
        </w:tc>
        <w:tc>
          <w:tcPr>
            <w:tcW w:w="965" w:type="dxa"/>
          </w:tcPr>
          <w:p w14:paraId="5BD09FCF" w14:textId="77777777" w:rsidR="0052235B" w:rsidRPr="005B5418" w:rsidRDefault="0052235B" w:rsidP="008F3A0B">
            <w:pPr>
              <w:pStyle w:val="Table-Cell-CenterBoldBefore6ptAfter6pt"/>
              <w:spacing w:before="60" w:after="60"/>
              <w:rPr>
                <w:rFonts w:cs="Arial"/>
                <w:lang w:val="pt-BR"/>
              </w:rPr>
            </w:pPr>
          </w:p>
        </w:tc>
        <w:tc>
          <w:tcPr>
            <w:tcW w:w="3230" w:type="dxa"/>
          </w:tcPr>
          <w:p w14:paraId="6D8FAA34" w14:textId="77777777" w:rsidR="0052235B" w:rsidRPr="005B5418" w:rsidRDefault="0052235B" w:rsidP="008F3A0B">
            <w:pPr>
              <w:pStyle w:val="BodyTextIndent"/>
              <w:spacing w:before="60" w:after="60"/>
              <w:rPr>
                <w:rFonts w:cs="Arial"/>
                <w:lang w:val="pt-BR"/>
              </w:rPr>
            </w:pPr>
          </w:p>
        </w:tc>
      </w:tr>
      <w:tr w:rsidR="0052235B" w:rsidRPr="005B5418" w14:paraId="1E523BC5" w14:textId="77777777" w:rsidTr="008F3A0B">
        <w:trPr>
          <w:trHeight w:val="323"/>
        </w:trPr>
        <w:tc>
          <w:tcPr>
            <w:tcW w:w="9595" w:type="dxa"/>
            <w:gridSpan w:val="3"/>
          </w:tcPr>
          <w:p w14:paraId="71AD3EE1" w14:textId="77777777" w:rsidR="0052235B" w:rsidRPr="005B5418" w:rsidRDefault="0052235B" w:rsidP="008F3A0B">
            <w:pPr>
              <w:pStyle w:val="BodyTextIndent"/>
              <w:spacing w:before="60" w:after="60"/>
              <w:ind w:left="-35"/>
              <w:rPr>
                <w:rFonts w:cs="Arial"/>
                <w:lang w:val="pt-BR"/>
              </w:rPr>
            </w:pPr>
            <w:r w:rsidRPr="005B5418">
              <w:rPr>
                <w:rFonts w:eastAsia="Arial Unicode MS" w:cs="Arial"/>
                <w:b/>
              </w:rPr>
              <w:t>Life Insurance Programs</w:t>
            </w:r>
          </w:p>
        </w:tc>
      </w:tr>
      <w:tr w:rsidR="0052235B" w:rsidRPr="005B5418" w14:paraId="6F6F2270" w14:textId="77777777" w:rsidTr="008F3A0B">
        <w:trPr>
          <w:trHeight w:val="1421"/>
        </w:trPr>
        <w:tc>
          <w:tcPr>
            <w:tcW w:w="9595" w:type="dxa"/>
            <w:gridSpan w:val="3"/>
          </w:tcPr>
          <w:p w14:paraId="53CBBC1F" w14:textId="77777777" w:rsidR="0052235B" w:rsidRPr="005B5418" w:rsidRDefault="0052235B" w:rsidP="008F3A0B">
            <w:pPr>
              <w:pStyle w:val="Table-Note"/>
              <w:spacing w:before="60" w:after="60" w:line="240" w:lineRule="auto"/>
              <w:ind w:left="-35"/>
              <w:jc w:val="left"/>
              <w:rPr>
                <w:rFonts w:eastAsia="Arial Unicode MS" w:cs="Arial"/>
                <w:i w:val="0"/>
                <w:sz w:val="22"/>
                <w:szCs w:val="22"/>
              </w:rPr>
            </w:pPr>
            <w:r w:rsidRPr="005B5418">
              <w:rPr>
                <w:rFonts w:eastAsia="Arial Unicode MS" w:cs="Arial"/>
                <w:i w:val="0"/>
                <w:sz w:val="22"/>
                <w:szCs w:val="22"/>
              </w:rPr>
              <w:t>Life insurance programs collect premiums for life insurance arrangements to cover the risk of loss from death of individuals. (SFFAS 51, para. 53)</w:t>
            </w:r>
          </w:p>
          <w:p w14:paraId="49FCDD02" w14:textId="77777777" w:rsidR="0052235B" w:rsidRPr="005B5418" w:rsidRDefault="0052235B" w:rsidP="008F3A0B">
            <w:pPr>
              <w:pStyle w:val="Table-Note"/>
              <w:spacing w:before="60" w:after="60" w:line="240" w:lineRule="auto"/>
              <w:ind w:left="-35"/>
              <w:jc w:val="left"/>
              <w:rPr>
                <w:rFonts w:eastAsia="Arial Unicode MS" w:cs="Arial"/>
                <w:i w:val="0"/>
                <w:sz w:val="22"/>
                <w:szCs w:val="22"/>
              </w:rPr>
            </w:pPr>
            <w:r w:rsidRPr="005B5418">
              <w:rPr>
                <w:rFonts w:eastAsia="Arial Unicode MS" w:cs="Arial"/>
                <w:i w:val="0"/>
                <w:sz w:val="22"/>
                <w:szCs w:val="22"/>
              </w:rPr>
              <w:t>Life insurance programs may have two related liability categories:</w:t>
            </w:r>
          </w:p>
          <w:p w14:paraId="04B77736" w14:textId="77777777" w:rsidR="0052235B" w:rsidRPr="005B5418" w:rsidRDefault="0052235B" w:rsidP="008F3A0B">
            <w:pPr>
              <w:pStyle w:val="ListBullet"/>
              <w:widowControl w:val="0"/>
              <w:numPr>
                <w:ilvl w:val="0"/>
                <w:numId w:val="6"/>
              </w:numPr>
              <w:adjustRightInd w:val="0"/>
              <w:spacing w:before="60" w:after="60"/>
              <w:ind w:left="-35" w:firstLine="0"/>
              <w:contextualSpacing/>
              <w:textAlignment w:val="baseline"/>
              <w:rPr>
                <w:rFonts w:eastAsia="Arial Unicode MS"/>
                <w:szCs w:val="22"/>
              </w:rPr>
            </w:pPr>
            <w:r w:rsidRPr="005B5418">
              <w:rPr>
                <w:rFonts w:eastAsia="Arial Unicode MS"/>
                <w:szCs w:val="22"/>
              </w:rPr>
              <w:t>Unpaid insurance claims</w:t>
            </w:r>
          </w:p>
          <w:p w14:paraId="0D651229" w14:textId="77777777" w:rsidR="0052235B" w:rsidRPr="005B5418" w:rsidRDefault="0052235B" w:rsidP="008F3A0B">
            <w:pPr>
              <w:pStyle w:val="ListBullet"/>
              <w:widowControl w:val="0"/>
              <w:numPr>
                <w:ilvl w:val="0"/>
                <w:numId w:val="6"/>
              </w:numPr>
              <w:adjustRightInd w:val="0"/>
              <w:spacing w:before="60" w:after="60"/>
              <w:ind w:left="-35" w:firstLine="0"/>
              <w:contextualSpacing/>
              <w:textAlignment w:val="baseline"/>
              <w:rPr>
                <w:rFonts w:eastAsia="Arial Unicode MS"/>
                <w:szCs w:val="22"/>
              </w:rPr>
            </w:pPr>
            <w:r w:rsidRPr="005B5418">
              <w:rPr>
                <w:rFonts w:eastAsia="Arial Unicode MS"/>
                <w:szCs w:val="22"/>
              </w:rPr>
              <w:t>Future policy benefits</w:t>
            </w:r>
            <w:r w:rsidRPr="005B5418">
              <w:rPr>
                <w:rFonts w:eastAsia="Arial Unicode MS" w:cs="Arial"/>
                <w:szCs w:val="22"/>
              </w:rPr>
              <w:t xml:space="preserve"> </w:t>
            </w:r>
          </w:p>
          <w:p w14:paraId="79766391" w14:textId="77777777" w:rsidR="0052235B" w:rsidRPr="005B5418" w:rsidRDefault="0052235B" w:rsidP="008F3A0B">
            <w:pPr>
              <w:pStyle w:val="Table-Note"/>
              <w:spacing w:before="60" w:after="60" w:line="240" w:lineRule="auto"/>
              <w:ind w:left="-35"/>
              <w:jc w:val="left"/>
              <w:rPr>
                <w:rFonts w:eastAsia="Arial Unicode MS" w:cs="Arial"/>
                <w:i w:val="0"/>
                <w:sz w:val="22"/>
                <w:szCs w:val="22"/>
              </w:rPr>
            </w:pPr>
            <w:r w:rsidRPr="005B5418">
              <w:rPr>
                <w:rFonts w:eastAsia="Arial Unicode MS" w:cs="Arial"/>
                <w:i w:val="0"/>
                <w:sz w:val="22"/>
                <w:szCs w:val="22"/>
              </w:rPr>
              <w:t xml:space="preserve">The liability for future policy benefits represents the expected present value of future claims to be paid to, or on behalf of, existing policyholders, less the expected present value of future net premiums to be collected from those policyholders. (SFFAS 51, para. 59)  </w:t>
            </w:r>
          </w:p>
          <w:p w14:paraId="4DD6A61D" w14:textId="77777777" w:rsidR="0052235B" w:rsidRPr="005B5418" w:rsidRDefault="0052235B" w:rsidP="008F3A0B">
            <w:pPr>
              <w:pStyle w:val="Table-Note"/>
              <w:spacing w:before="60" w:after="60" w:line="240" w:lineRule="auto"/>
              <w:ind w:left="-35"/>
              <w:jc w:val="left"/>
              <w:rPr>
                <w:rFonts w:eastAsia="Arial Unicode MS" w:cs="Arial"/>
                <w:i w:val="0"/>
                <w:sz w:val="22"/>
                <w:szCs w:val="22"/>
              </w:rPr>
            </w:pPr>
            <w:r w:rsidRPr="005B5418">
              <w:rPr>
                <w:rFonts w:eastAsia="Arial Unicode MS" w:cs="Arial"/>
                <w:i w:val="0"/>
                <w:sz w:val="22"/>
                <w:szCs w:val="22"/>
              </w:rPr>
              <w:t>The liability is estimated using appropriate financial and/or actuarial methods that include assumptions, such as estimates of expected investment yield, mortality, morbidity, terminations, and expenses. (SFFAS 51, para. 62)</w:t>
            </w:r>
          </w:p>
          <w:p w14:paraId="3EAF8ADD" w14:textId="4975BAFF" w:rsidR="0052235B" w:rsidRPr="005B5418" w:rsidRDefault="0052235B" w:rsidP="00ED5199">
            <w:pPr>
              <w:pStyle w:val="Table-Note"/>
              <w:spacing w:before="60" w:after="60" w:line="240" w:lineRule="auto"/>
              <w:ind w:left="-35"/>
              <w:jc w:val="left"/>
              <w:rPr>
                <w:rFonts w:cs="Arial"/>
                <w:i w:val="0"/>
                <w:lang w:val="pt-BR"/>
              </w:rPr>
            </w:pPr>
            <w:r w:rsidRPr="005B5418">
              <w:rPr>
                <w:rFonts w:eastAsia="Arial Unicode MS" w:cs="Arial"/>
                <w:i w:val="0"/>
                <w:sz w:val="22"/>
                <w:szCs w:val="22"/>
              </w:rPr>
              <w:t xml:space="preserve">Life insurance that is a federal employee or veteran benefit shall be disclosed within the </w:t>
            </w:r>
            <w:r w:rsidR="00A6273F" w:rsidRPr="005B5418">
              <w:rPr>
                <w:rFonts w:eastAsia="Arial Unicode MS" w:cs="Arial"/>
                <w:i w:val="0"/>
                <w:sz w:val="22"/>
                <w:szCs w:val="22"/>
              </w:rPr>
              <w:t>Pensions, Other Post-</w:t>
            </w:r>
            <w:r w:rsidR="00F23DCB" w:rsidRPr="005B5418">
              <w:rPr>
                <w:rFonts w:eastAsia="Arial Unicode MS" w:cs="Arial"/>
                <w:i w:val="0"/>
                <w:sz w:val="22"/>
                <w:szCs w:val="22"/>
              </w:rPr>
              <w:t>E</w:t>
            </w:r>
            <w:r w:rsidR="00A6273F" w:rsidRPr="005B5418">
              <w:rPr>
                <w:rFonts w:eastAsia="Arial Unicode MS" w:cs="Arial"/>
                <w:i w:val="0"/>
                <w:sz w:val="22"/>
                <w:szCs w:val="22"/>
              </w:rPr>
              <w:t>mployment,</w:t>
            </w:r>
            <w:r w:rsidRPr="005B5418">
              <w:rPr>
                <w:rFonts w:eastAsia="Arial Unicode MS" w:cs="Arial"/>
                <w:i w:val="0"/>
                <w:sz w:val="22"/>
                <w:szCs w:val="22"/>
              </w:rPr>
              <w:t xml:space="preserve"> and Veteran</w:t>
            </w:r>
            <w:r w:rsidR="00A6273F" w:rsidRPr="005B5418">
              <w:rPr>
                <w:rFonts w:eastAsia="Arial Unicode MS" w:cs="Arial"/>
                <w:i w:val="0"/>
                <w:sz w:val="22"/>
                <w:szCs w:val="22"/>
              </w:rPr>
              <w:t>s</w:t>
            </w:r>
            <w:r w:rsidRPr="005B5418">
              <w:rPr>
                <w:rFonts w:eastAsia="Arial Unicode MS" w:cs="Arial"/>
                <w:i w:val="0"/>
                <w:sz w:val="22"/>
                <w:szCs w:val="22"/>
              </w:rPr>
              <w:t xml:space="preserve"> Benefits Payable note. (A-136, section II.3.8.</w:t>
            </w:r>
            <w:r w:rsidR="00ED5199" w:rsidRPr="005B5418">
              <w:rPr>
                <w:rFonts w:eastAsia="Arial Unicode MS" w:cs="Arial"/>
                <w:i w:val="0"/>
                <w:sz w:val="22"/>
                <w:szCs w:val="22"/>
              </w:rPr>
              <w:t>17</w:t>
            </w:r>
            <w:r w:rsidRPr="005B5418">
              <w:rPr>
                <w:rFonts w:eastAsia="Arial Unicode MS" w:cs="Arial"/>
                <w:i w:val="0"/>
                <w:sz w:val="22"/>
                <w:szCs w:val="22"/>
              </w:rPr>
              <w:t>)</w:t>
            </w:r>
          </w:p>
        </w:tc>
      </w:tr>
      <w:tr w:rsidR="0052235B" w:rsidRPr="005B5418" w14:paraId="48C199F0" w14:textId="77777777" w:rsidTr="008F3A0B">
        <w:trPr>
          <w:trHeight w:val="305"/>
        </w:trPr>
        <w:tc>
          <w:tcPr>
            <w:tcW w:w="9595" w:type="dxa"/>
            <w:gridSpan w:val="3"/>
          </w:tcPr>
          <w:p w14:paraId="158920F2" w14:textId="77777777" w:rsidR="0052235B" w:rsidRPr="005B5418" w:rsidRDefault="0052235B" w:rsidP="008F3A0B">
            <w:pPr>
              <w:pStyle w:val="BodyTextIndent"/>
              <w:spacing w:before="60" w:after="60"/>
              <w:jc w:val="center"/>
              <w:rPr>
                <w:rFonts w:cs="Arial"/>
                <w:lang w:val="pt-BR"/>
              </w:rPr>
            </w:pPr>
            <w:r w:rsidRPr="005B5418">
              <w:rPr>
                <w:rFonts w:eastAsia="Arial Unicode MS" w:cs="Arial"/>
                <w:b/>
                <w:szCs w:val="22"/>
              </w:rPr>
              <w:t>Revenue</w:t>
            </w:r>
          </w:p>
        </w:tc>
      </w:tr>
      <w:tr w:rsidR="0052235B" w:rsidRPr="005B5418" w14:paraId="6F8F4EAB" w14:textId="77777777" w:rsidTr="008F3A0B">
        <w:trPr>
          <w:trHeight w:hRule="exact" w:val="461"/>
        </w:trPr>
        <w:tc>
          <w:tcPr>
            <w:tcW w:w="9595" w:type="dxa"/>
            <w:gridSpan w:val="3"/>
          </w:tcPr>
          <w:p w14:paraId="463B649A" w14:textId="77777777" w:rsidR="0052235B" w:rsidRPr="005B5418" w:rsidRDefault="0052235B" w:rsidP="008F3A0B">
            <w:pPr>
              <w:pStyle w:val="Table-Note"/>
              <w:spacing w:before="60" w:after="60" w:line="240" w:lineRule="auto"/>
              <w:ind w:left="0"/>
              <w:jc w:val="left"/>
              <w:rPr>
                <w:rFonts w:eastAsia="Arial Unicode MS"/>
                <w:b/>
                <w:i w:val="0"/>
                <w:sz w:val="22"/>
              </w:rPr>
            </w:pPr>
            <w:r w:rsidRPr="005B5418">
              <w:rPr>
                <w:rFonts w:eastAsia="Arial Unicode MS"/>
                <w:b/>
                <w:i w:val="0"/>
                <w:sz w:val="22"/>
              </w:rPr>
              <w:t>Accounting</w:t>
            </w:r>
          </w:p>
        </w:tc>
      </w:tr>
      <w:tr w:rsidR="0052235B" w:rsidRPr="005B5418" w14:paraId="1DFE6A0C" w14:textId="77777777" w:rsidTr="008F3A0B">
        <w:trPr>
          <w:trHeight w:val="1025"/>
        </w:trPr>
        <w:tc>
          <w:tcPr>
            <w:tcW w:w="5400" w:type="dxa"/>
          </w:tcPr>
          <w:p w14:paraId="67C9F772" w14:textId="77777777" w:rsidR="0052235B" w:rsidRPr="005B5418" w:rsidRDefault="0052235B" w:rsidP="008F3A0B">
            <w:pPr>
              <w:pStyle w:val="FAM-Table-outline"/>
              <w:widowControl/>
              <w:numPr>
                <w:ilvl w:val="0"/>
                <w:numId w:val="30"/>
              </w:numPr>
              <w:adjustRightInd/>
              <w:spacing w:line="240" w:lineRule="auto"/>
              <w:textAlignment w:val="auto"/>
            </w:pPr>
            <w:r w:rsidRPr="005B5418">
              <w:rPr>
                <w:rFonts w:eastAsia="Arial Unicode MS" w:cs="Arial"/>
                <w:szCs w:val="22"/>
              </w:rPr>
              <w:t>Does the entity recognize premiums as revenue when due from policyholders? (SFFAS 51, para. 54)</w:t>
            </w:r>
          </w:p>
        </w:tc>
        <w:tc>
          <w:tcPr>
            <w:tcW w:w="965" w:type="dxa"/>
          </w:tcPr>
          <w:p w14:paraId="4A26BE09" w14:textId="77777777" w:rsidR="0052235B" w:rsidRPr="005B5418" w:rsidRDefault="0052235B" w:rsidP="008F3A0B">
            <w:pPr>
              <w:pStyle w:val="Table-Cell-CenterBoldBefore6ptAfter6pt"/>
              <w:spacing w:before="60" w:after="60"/>
              <w:rPr>
                <w:rFonts w:cs="Arial"/>
                <w:lang w:val="pt-BR"/>
              </w:rPr>
            </w:pPr>
          </w:p>
        </w:tc>
        <w:tc>
          <w:tcPr>
            <w:tcW w:w="3230" w:type="dxa"/>
          </w:tcPr>
          <w:p w14:paraId="4B552F25" w14:textId="77777777" w:rsidR="0052235B" w:rsidRPr="005B5418" w:rsidRDefault="0052235B" w:rsidP="008F3A0B">
            <w:pPr>
              <w:pStyle w:val="BodyTextIndent"/>
              <w:spacing w:before="60" w:after="60"/>
              <w:rPr>
                <w:rFonts w:cs="Arial"/>
                <w:lang w:val="pt-BR"/>
              </w:rPr>
            </w:pPr>
          </w:p>
        </w:tc>
      </w:tr>
      <w:tr w:rsidR="0052235B" w:rsidRPr="005B5418" w14:paraId="0EE38E2F" w14:textId="77777777" w:rsidTr="008F3A0B">
        <w:trPr>
          <w:trHeight w:val="287"/>
        </w:trPr>
        <w:tc>
          <w:tcPr>
            <w:tcW w:w="9595" w:type="dxa"/>
            <w:gridSpan w:val="3"/>
          </w:tcPr>
          <w:p w14:paraId="44370C66" w14:textId="77777777" w:rsidR="0052235B" w:rsidRPr="005B5418" w:rsidRDefault="0052235B" w:rsidP="008F3A0B">
            <w:pPr>
              <w:pStyle w:val="BodyTextIndent"/>
              <w:spacing w:before="60" w:after="60"/>
              <w:jc w:val="center"/>
              <w:rPr>
                <w:rFonts w:cs="Arial"/>
                <w:lang w:val="pt-BR"/>
              </w:rPr>
            </w:pPr>
            <w:r w:rsidRPr="005B5418">
              <w:rPr>
                <w:rFonts w:eastAsia="Arial Unicode MS"/>
                <w:b/>
              </w:rPr>
              <w:t>Liability for Unpaid Insurance Claims</w:t>
            </w:r>
          </w:p>
        </w:tc>
      </w:tr>
      <w:tr w:rsidR="0052235B" w:rsidRPr="005B5418" w14:paraId="0119A160" w14:textId="77777777" w:rsidTr="008F3A0B">
        <w:trPr>
          <w:trHeight w:hRule="exact" w:val="461"/>
        </w:trPr>
        <w:tc>
          <w:tcPr>
            <w:tcW w:w="9595" w:type="dxa"/>
            <w:gridSpan w:val="3"/>
          </w:tcPr>
          <w:p w14:paraId="4AD24E7B" w14:textId="77777777" w:rsidR="0052235B" w:rsidRPr="005B5418" w:rsidRDefault="0052235B" w:rsidP="008F3A0B">
            <w:pPr>
              <w:pStyle w:val="Table-Note"/>
              <w:spacing w:before="60" w:after="60" w:line="240" w:lineRule="auto"/>
              <w:ind w:left="0"/>
              <w:jc w:val="left"/>
              <w:rPr>
                <w:rFonts w:eastAsia="Arial Unicode MS"/>
                <w:b/>
                <w:i w:val="0"/>
                <w:sz w:val="22"/>
              </w:rPr>
            </w:pPr>
            <w:r w:rsidRPr="005B5418">
              <w:rPr>
                <w:rFonts w:eastAsia="Arial Unicode MS"/>
                <w:b/>
                <w:i w:val="0"/>
                <w:sz w:val="22"/>
              </w:rPr>
              <w:t>Accounting</w:t>
            </w:r>
          </w:p>
        </w:tc>
      </w:tr>
      <w:tr w:rsidR="0052235B" w:rsidRPr="005B5418" w14:paraId="765E6854" w14:textId="77777777" w:rsidTr="008F3A0B">
        <w:trPr>
          <w:trHeight w:val="1142"/>
        </w:trPr>
        <w:tc>
          <w:tcPr>
            <w:tcW w:w="5400" w:type="dxa"/>
          </w:tcPr>
          <w:p w14:paraId="4F508770"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recognize a liability for unpaid insurance claims for adverse events that occurred before the end of the reporting period? (SFFAS 51, para. 55)</w:t>
            </w:r>
          </w:p>
        </w:tc>
        <w:tc>
          <w:tcPr>
            <w:tcW w:w="965" w:type="dxa"/>
          </w:tcPr>
          <w:p w14:paraId="5F68A9EE" w14:textId="77777777" w:rsidR="0052235B" w:rsidRPr="005B5418" w:rsidRDefault="0052235B" w:rsidP="008F3A0B">
            <w:pPr>
              <w:pStyle w:val="Table-Cell-CenterBoldBefore6ptAfter6pt"/>
              <w:spacing w:before="60" w:after="60"/>
              <w:rPr>
                <w:rFonts w:cs="Arial"/>
                <w:lang w:val="pt-BR"/>
              </w:rPr>
            </w:pPr>
          </w:p>
        </w:tc>
        <w:tc>
          <w:tcPr>
            <w:tcW w:w="3230" w:type="dxa"/>
          </w:tcPr>
          <w:p w14:paraId="4D4BF763" w14:textId="77777777" w:rsidR="0052235B" w:rsidRPr="005B5418" w:rsidRDefault="0052235B" w:rsidP="008F3A0B">
            <w:pPr>
              <w:pStyle w:val="BodyTextIndent"/>
              <w:spacing w:before="60" w:after="60"/>
              <w:rPr>
                <w:rFonts w:cs="Arial"/>
                <w:lang w:val="pt-BR"/>
              </w:rPr>
            </w:pPr>
          </w:p>
        </w:tc>
      </w:tr>
      <w:tr w:rsidR="0052235B" w:rsidRPr="005B5418" w14:paraId="64AD0997" w14:textId="77777777" w:rsidTr="008F3A0B">
        <w:trPr>
          <w:trHeight w:val="1421"/>
        </w:trPr>
        <w:tc>
          <w:tcPr>
            <w:tcW w:w="5400" w:type="dxa"/>
          </w:tcPr>
          <w:p w14:paraId="1ED556C7"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initially record the liability for unpaid insurance claims at the estimated settlement amount and remeasured at the end of each reporting period? (SFFAS 51, para. 55)</w:t>
            </w:r>
          </w:p>
        </w:tc>
        <w:tc>
          <w:tcPr>
            <w:tcW w:w="965" w:type="dxa"/>
          </w:tcPr>
          <w:p w14:paraId="796ED84C" w14:textId="77777777" w:rsidR="0052235B" w:rsidRPr="005B5418" w:rsidRDefault="0052235B" w:rsidP="008F3A0B">
            <w:pPr>
              <w:pStyle w:val="Table-Cell-CenterBoldBefore6ptAfter6pt"/>
              <w:spacing w:before="60" w:after="60"/>
              <w:rPr>
                <w:rFonts w:cs="Arial"/>
                <w:lang w:val="pt-BR"/>
              </w:rPr>
            </w:pPr>
          </w:p>
        </w:tc>
        <w:tc>
          <w:tcPr>
            <w:tcW w:w="3230" w:type="dxa"/>
          </w:tcPr>
          <w:p w14:paraId="2C6CCACE" w14:textId="77777777" w:rsidR="0052235B" w:rsidRPr="005B5418" w:rsidRDefault="0052235B" w:rsidP="008F3A0B">
            <w:pPr>
              <w:pStyle w:val="BodyTextIndent"/>
              <w:spacing w:before="60" w:after="60"/>
              <w:rPr>
                <w:rFonts w:cs="Arial"/>
                <w:lang w:val="pt-BR"/>
              </w:rPr>
            </w:pPr>
          </w:p>
        </w:tc>
      </w:tr>
      <w:tr w:rsidR="0052235B" w:rsidRPr="005B5418" w14:paraId="6990CED4" w14:textId="77777777" w:rsidTr="008F3A0B">
        <w:trPr>
          <w:trHeight w:val="1421"/>
        </w:trPr>
        <w:tc>
          <w:tcPr>
            <w:tcW w:w="5400" w:type="dxa"/>
          </w:tcPr>
          <w:p w14:paraId="5D55CE01" w14:textId="77777777" w:rsidR="0052235B" w:rsidRPr="005B5418" w:rsidRDefault="0052235B" w:rsidP="008F3A0B">
            <w:pPr>
              <w:pStyle w:val="FAM-Table-outline"/>
              <w:spacing w:line="240" w:lineRule="auto"/>
              <w:rPr>
                <w:rFonts w:eastAsia="Arial Unicode MS"/>
                <w:szCs w:val="22"/>
              </w:rPr>
            </w:pPr>
            <w:r w:rsidRPr="005B5418">
              <w:rPr>
                <w:szCs w:val="22"/>
              </w:rPr>
              <w:lastRenderedPageBreak/>
              <w:t>Does the entity include the following in its estimated settlement for insurance claims?</w:t>
            </w:r>
          </w:p>
          <w:p w14:paraId="3FCCE8A3" w14:textId="77777777" w:rsidR="0052235B" w:rsidRPr="005B5418" w:rsidRDefault="0052235B" w:rsidP="005425ED">
            <w:pPr>
              <w:pStyle w:val="FAM-Table-outline2"/>
              <w:spacing w:line="240" w:lineRule="auto"/>
              <w:ind w:left="1140" w:hanging="443"/>
            </w:pPr>
            <w:r w:rsidRPr="005B5418">
              <w:t>Outflows to liquidate the following:</w:t>
            </w:r>
          </w:p>
          <w:p w14:paraId="33057AC0" w14:textId="77777777" w:rsidR="0052235B" w:rsidRPr="005B5418" w:rsidRDefault="0052235B"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Claims that have been reported but not paid.</w:t>
            </w:r>
          </w:p>
          <w:p w14:paraId="7442E0CD" w14:textId="77777777" w:rsidR="0052235B" w:rsidRPr="005B5418" w:rsidRDefault="0052235B"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Claims IBNR.</w:t>
            </w:r>
            <w:r w:rsidRPr="005B5418">
              <w:rPr>
                <w:rStyle w:val="FootnoteReference"/>
                <w:sz w:val="22"/>
              </w:rPr>
              <w:footnoteReference w:id="190"/>
            </w:r>
          </w:p>
          <w:p w14:paraId="44B71C7F" w14:textId="77777777" w:rsidR="0052235B" w:rsidRPr="005B5418" w:rsidRDefault="0052235B" w:rsidP="005425ED">
            <w:pPr>
              <w:pStyle w:val="FAM-Table-outline2"/>
              <w:spacing w:line="240" w:lineRule="auto"/>
              <w:ind w:left="1140" w:hanging="443"/>
            </w:pPr>
            <w:r w:rsidRPr="005B5418">
              <w:t>Related estimated CAE.</w:t>
            </w:r>
          </w:p>
          <w:p w14:paraId="3FCD1013" w14:textId="77777777" w:rsidR="0052235B" w:rsidRPr="005B5418" w:rsidRDefault="0052235B" w:rsidP="005425ED">
            <w:pPr>
              <w:pStyle w:val="FAM-Table-outline2"/>
              <w:spacing w:line="240" w:lineRule="auto"/>
              <w:ind w:left="1140" w:hanging="443"/>
            </w:pPr>
            <w:r w:rsidRPr="005B5418">
              <w:t>Estimated inflows from recoveries (such as moneys recovered from improper payments) not realized at the end of the reporting period.</w:t>
            </w:r>
          </w:p>
          <w:p w14:paraId="38EE7DDF" w14:textId="77777777" w:rsidR="0052235B" w:rsidRPr="005425ED" w:rsidRDefault="0052235B" w:rsidP="005425ED">
            <w:pPr>
              <w:pStyle w:val="FAM-Table-outline3"/>
              <w:widowControl/>
              <w:adjustRightInd/>
              <w:spacing w:before="60" w:after="60" w:line="240" w:lineRule="auto"/>
              <w:ind w:left="1410" w:hanging="432"/>
              <w:textAlignment w:val="auto"/>
              <w:rPr>
                <w:sz w:val="22"/>
              </w:rPr>
            </w:pPr>
            <w:r w:rsidRPr="005B5418">
              <w:rPr>
                <w:rFonts w:cs="Arial"/>
                <w:sz w:val="22"/>
                <w:szCs w:val="22"/>
              </w:rPr>
              <w:t>If estimated recoveries exceed the related claims for a group of arrangements, then recognition is limited to the amount of the related claims.</w:t>
            </w:r>
            <w:r w:rsidRPr="005B5418">
              <w:rPr>
                <w:rStyle w:val="FootnoteReference"/>
                <w:sz w:val="22"/>
              </w:rPr>
              <w:footnoteReference w:id="191"/>
            </w:r>
          </w:p>
          <w:p w14:paraId="305FAD1A" w14:textId="77777777" w:rsidR="0052235B" w:rsidRPr="005B5418" w:rsidRDefault="0052235B" w:rsidP="005425ED">
            <w:pPr>
              <w:pStyle w:val="FAM-Table-outline3"/>
              <w:widowControl/>
              <w:adjustRightInd/>
              <w:spacing w:before="60" w:after="60" w:line="240" w:lineRule="auto"/>
              <w:ind w:left="1410" w:hanging="432"/>
              <w:textAlignment w:val="auto"/>
              <w:rPr>
                <w:szCs w:val="22"/>
              </w:rPr>
            </w:pPr>
            <w:r w:rsidRPr="005B5418">
              <w:rPr>
                <w:rFonts w:cs="Arial"/>
                <w:sz w:val="22"/>
                <w:szCs w:val="22"/>
              </w:rPr>
              <w:t>Recoveries should be recognized as reductions of claims, rather than as revenue. (SFFAS 51, para. 56)</w:t>
            </w:r>
          </w:p>
        </w:tc>
        <w:tc>
          <w:tcPr>
            <w:tcW w:w="965" w:type="dxa"/>
          </w:tcPr>
          <w:p w14:paraId="61809729" w14:textId="77777777" w:rsidR="0052235B" w:rsidRPr="005B5418" w:rsidRDefault="0052235B" w:rsidP="008F3A0B">
            <w:pPr>
              <w:pStyle w:val="Table-Cell-CenterBoldBefore6ptAfter6pt"/>
              <w:spacing w:before="60" w:after="60"/>
              <w:rPr>
                <w:rFonts w:cs="Arial"/>
                <w:lang w:val="pt-BR"/>
              </w:rPr>
            </w:pPr>
          </w:p>
        </w:tc>
        <w:tc>
          <w:tcPr>
            <w:tcW w:w="3230" w:type="dxa"/>
          </w:tcPr>
          <w:p w14:paraId="1D33DC22" w14:textId="77777777" w:rsidR="0052235B" w:rsidRPr="005B5418" w:rsidRDefault="0052235B" w:rsidP="008F3A0B">
            <w:pPr>
              <w:pStyle w:val="BodyTextIndent"/>
              <w:spacing w:before="60" w:after="60"/>
              <w:rPr>
                <w:rFonts w:cs="Arial"/>
                <w:lang w:val="pt-BR"/>
              </w:rPr>
            </w:pPr>
          </w:p>
        </w:tc>
      </w:tr>
      <w:tr w:rsidR="0052235B" w:rsidRPr="005B5418" w14:paraId="40D2F50F" w14:textId="77777777" w:rsidTr="008F3A0B">
        <w:trPr>
          <w:trHeight w:val="1421"/>
        </w:trPr>
        <w:tc>
          <w:tcPr>
            <w:tcW w:w="5400" w:type="dxa"/>
          </w:tcPr>
          <w:p w14:paraId="735B89FB" w14:textId="77777777" w:rsidR="0052235B" w:rsidRPr="005B5418" w:rsidRDefault="0052235B" w:rsidP="008F3A0B">
            <w:pPr>
              <w:pStyle w:val="FAM-Table-outline"/>
              <w:widowControl/>
              <w:numPr>
                <w:ilvl w:val="0"/>
                <w:numId w:val="30"/>
              </w:numPr>
              <w:adjustRightInd/>
              <w:spacing w:line="240" w:lineRule="auto"/>
              <w:textAlignment w:val="auto"/>
            </w:pPr>
            <w:r w:rsidRPr="005B5418">
              <w:rPr>
                <w:rFonts w:cs="Arial"/>
                <w:szCs w:val="22"/>
              </w:rPr>
              <w:t>Does the entity recognize, as a component of claims expense, adjustments to the liability for unpaid insurance claims, other than those resulting from payments made to liquidate existing liability balances? (SFFAS 51, para. 57)</w:t>
            </w:r>
          </w:p>
        </w:tc>
        <w:tc>
          <w:tcPr>
            <w:tcW w:w="965" w:type="dxa"/>
          </w:tcPr>
          <w:p w14:paraId="19C962C3" w14:textId="77777777" w:rsidR="0052235B" w:rsidRPr="005B5418" w:rsidRDefault="0052235B" w:rsidP="008F3A0B">
            <w:pPr>
              <w:pStyle w:val="Table-Cell-CenterBoldBefore6ptAfter6pt"/>
              <w:spacing w:before="60" w:after="60"/>
              <w:rPr>
                <w:rFonts w:cs="Arial"/>
                <w:lang w:val="pt-BR"/>
              </w:rPr>
            </w:pPr>
          </w:p>
        </w:tc>
        <w:tc>
          <w:tcPr>
            <w:tcW w:w="3230" w:type="dxa"/>
          </w:tcPr>
          <w:p w14:paraId="5DDEA0FD" w14:textId="77777777" w:rsidR="0052235B" w:rsidRPr="005B5418" w:rsidRDefault="0052235B" w:rsidP="008F3A0B">
            <w:pPr>
              <w:pStyle w:val="BodyTextIndent"/>
              <w:spacing w:before="60" w:after="60"/>
              <w:rPr>
                <w:rFonts w:cs="Arial"/>
                <w:lang w:val="pt-BR"/>
              </w:rPr>
            </w:pPr>
          </w:p>
        </w:tc>
      </w:tr>
      <w:tr w:rsidR="0052235B" w:rsidRPr="005B5418" w14:paraId="3944D4B0" w14:textId="77777777" w:rsidTr="008F3A0B">
        <w:trPr>
          <w:trHeight w:val="917"/>
        </w:trPr>
        <w:tc>
          <w:tcPr>
            <w:tcW w:w="5400" w:type="dxa"/>
          </w:tcPr>
          <w:p w14:paraId="7810108B"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apply guidance from SFFAS 39 to subsequent events relating to unpaid insurance claims? (SFFAS 51, para. 58)</w:t>
            </w:r>
            <w:r w:rsidRPr="005B5418" w:rsidDel="007840DE">
              <w:rPr>
                <w:rStyle w:val="FootnoteReference"/>
              </w:rPr>
              <w:t xml:space="preserve"> </w:t>
            </w:r>
          </w:p>
        </w:tc>
        <w:tc>
          <w:tcPr>
            <w:tcW w:w="965" w:type="dxa"/>
          </w:tcPr>
          <w:p w14:paraId="1B57AB5F" w14:textId="77777777" w:rsidR="0052235B" w:rsidRPr="005B5418" w:rsidRDefault="0052235B" w:rsidP="008F3A0B">
            <w:pPr>
              <w:pStyle w:val="Table-Cell-CenterBoldBefore6ptAfter6pt"/>
              <w:spacing w:before="60" w:after="60"/>
              <w:rPr>
                <w:rFonts w:cs="Arial"/>
                <w:lang w:val="pt-BR"/>
              </w:rPr>
            </w:pPr>
          </w:p>
        </w:tc>
        <w:tc>
          <w:tcPr>
            <w:tcW w:w="3230" w:type="dxa"/>
          </w:tcPr>
          <w:p w14:paraId="0D560D31" w14:textId="77777777" w:rsidR="0052235B" w:rsidRPr="005B5418" w:rsidRDefault="0052235B" w:rsidP="008F3A0B">
            <w:pPr>
              <w:pStyle w:val="BodyTextIndent"/>
              <w:spacing w:before="60" w:after="60"/>
              <w:rPr>
                <w:rFonts w:cs="Arial"/>
                <w:lang w:val="pt-BR"/>
              </w:rPr>
            </w:pPr>
          </w:p>
        </w:tc>
      </w:tr>
      <w:tr w:rsidR="0052235B" w:rsidRPr="005B5418" w14:paraId="3BF0A9AD" w14:textId="77777777" w:rsidTr="008F3A0B">
        <w:trPr>
          <w:trHeight w:val="350"/>
        </w:trPr>
        <w:tc>
          <w:tcPr>
            <w:tcW w:w="9595" w:type="dxa"/>
            <w:gridSpan w:val="3"/>
          </w:tcPr>
          <w:p w14:paraId="20A02D25" w14:textId="77777777" w:rsidR="0052235B" w:rsidRPr="005B5418" w:rsidRDefault="0052235B" w:rsidP="008F3A0B">
            <w:pPr>
              <w:pStyle w:val="BodyTextIndent"/>
              <w:spacing w:before="60" w:after="60"/>
              <w:jc w:val="center"/>
              <w:rPr>
                <w:rFonts w:cs="Arial"/>
                <w:lang w:val="pt-BR"/>
              </w:rPr>
            </w:pPr>
            <w:r w:rsidRPr="005B5418">
              <w:rPr>
                <w:rFonts w:eastAsia="Arial Unicode MS"/>
                <w:b/>
              </w:rPr>
              <w:t>Liability for Future Policy Benefits</w:t>
            </w:r>
          </w:p>
        </w:tc>
      </w:tr>
      <w:tr w:rsidR="0052235B" w:rsidRPr="005B5418" w14:paraId="0C695B7A" w14:textId="77777777" w:rsidTr="008F3A0B">
        <w:trPr>
          <w:trHeight w:hRule="exact" w:val="461"/>
        </w:trPr>
        <w:tc>
          <w:tcPr>
            <w:tcW w:w="9595" w:type="dxa"/>
            <w:gridSpan w:val="3"/>
          </w:tcPr>
          <w:p w14:paraId="1AAA2565" w14:textId="77777777" w:rsidR="0052235B" w:rsidRPr="005B5418" w:rsidRDefault="0052235B" w:rsidP="008F3A0B">
            <w:pPr>
              <w:pStyle w:val="Table-Note"/>
              <w:spacing w:before="60" w:after="60" w:line="240" w:lineRule="auto"/>
              <w:ind w:left="0"/>
              <w:jc w:val="left"/>
              <w:rPr>
                <w:rFonts w:eastAsia="Arial Unicode MS"/>
                <w:b/>
                <w:i w:val="0"/>
                <w:sz w:val="22"/>
              </w:rPr>
            </w:pPr>
            <w:r w:rsidRPr="005B5418">
              <w:rPr>
                <w:rFonts w:eastAsia="Arial Unicode MS"/>
                <w:b/>
                <w:i w:val="0"/>
                <w:sz w:val="22"/>
              </w:rPr>
              <w:t>Accounting</w:t>
            </w:r>
          </w:p>
        </w:tc>
      </w:tr>
      <w:tr w:rsidR="0052235B" w:rsidRPr="005B5418" w14:paraId="250DB2E1" w14:textId="77777777" w:rsidTr="008F3A0B">
        <w:trPr>
          <w:trHeight w:val="1421"/>
        </w:trPr>
        <w:tc>
          <w:tcPr>
            <w:tcW w:w="5400" w:type="dxa"/>
          </w:tcPr>
          <w:p w14:paraId="40E70B3F" w14:textId="77777777" w:rsidR="0052235B" w:rsidRPr="005B5418" w:rsidRDefault="0052235B" w:rsidP="008F3A0B">
            <w:pPr>
              <w:pStyle w:val="FAM-Table-outline"/>
              <w:widowControl/>
              <w:numPr>
                <w:ilvl w:val="0"/>
                <w:numId w:val="30"/>
              </w:numPr>
              <w:adjustRightInd/>
              <w:spacing w:line="240" w:lineRule="auto"/>
              <w:textAlignment w:val="auto"/>
            </w:pPr>
            <w:r w:rsidRPr="005B5418">
              <w:t>Does the entity classify all subsequent events relating to the liability for future policy benefits as nonrecognized events and, as applicable, disclose in accordance with SFFAS 39, paragraph 15? (SFFAS 51, para. 60)</w:t>
            </w:r>
          </w:p>
        </w:tc>
        <w:tc>
          <w:tcPr>
            <w:tcW w:w="965" w:type="dxa"/>
          </w:tcPr>
          <w:p w14:paraId="7AA74501" w14:textId="77777777" w:rsidR="0052235B" w:rsidRPr="005B5418" w:rsidRDefault="0052235B" w:rsidP="008F3A0B">
            <w:pPr>
              <w:pStyle w:val="Table-Cell-CenterBoldBefore6ptAfter6pt"/>
              <w:spacing w:before="60" w:after="60"/>
              <w:rPr>
                <w:rFonts w:cs="Arial"/>
                <w:lang w:val="pt-BR"/>
              </w:rPr>
            </w:pPr>
          </w:p>
        </w:tc>
        <w:tc>
          <w:tcPr>
            <w:tcW w:w="3230" w:type="dxa"/>
          </w:tcPr>
          <w:p w14:paraId="7E0F1E63" w14:textId="77777777" w:rsidR="0052235B" w:rsidRPr="005B5418" w:rsidRDefault="0052235B" w:rsidP="008F3A0B">
            <w:pPr>
              <w:pStyle w:val="BodyTextIndent"/>
              <w:spacing w:before="60" w:after="60"/>
              <w:rPr>
                <w:rFonts w:cs="Arial"/>
                <w:lang w:val="pt-BR"/>
              </w:rPr>
            </w:pPr>
          </w:p>
        </w:tc>
      </w:tr>
      <w:tr w:rsidR="0052235B" w:rsidRPr="005B5418" w14:paraId="57843940" w14:textId="77777777" w:rsidTr="008F3A0B">
        <w:trPr>
          <w:trHeight w:val="1079"/>
        </w:trPr>
        <w:tc>
          <w:tcPr>
            <w:tcW w:w="5400" w:type="dxa"/>
          </w:tcPr>
          <w:p w14:paraId="19941F68" w14:textId="77777777" w:rsidR="0052235B" w:rsidRPr="005B5418" w:rsidRDefault="0052235B" w:rsidP="008F3A0B">
            <w:pPr>
              <w:pStyle w:val="FAM-Table-outline"/>
              <w:widowControl/>
              <w:numPr>
                <w:ilvl w:val="0"/>
                <w:numId w:val="30"/>
              </w:numPr>
              <w:adjustRightInd/>
              <w:spacing w:line="240" w:lineRule="auto"/>
              <w:textAlignment w:val="auto"/>
            </w:pPr>
            <w:r w:rsidRPr="005B5418">
              <w:lastRenderedPageBreak/>
              <w:t>Does the entity determine its estimates by considering insurance portfolios rather than individual arrangements? (SFFAS 51, para. 61)</w:t>
            </w:r>
          </w:p>
        </w:tc>
        <w:tc>
          <w:tcPr>
            <w:tcW w:w="965" w:type="dxa"/>
          </w:tcPr>
          <w:p w14:paraId="62859F10" w14:textId="77777777" w:rsidR="0052235B" w:rsidRPr="005B5418" w:rsidRDefault="0052235B" w:rsidP="008F3A0B">
            <w:pPr>
              <w:pStyle w:val="Table-Cell-CenterBoldBefore6ptAfter6pt"/>
              <w:spacing w:before="60" w:after="60"/>
              <w:rPr>
                <w:rFonts w:cs="Arial"/>
                <w:lang w:val="pt-BR"/>
              </w:rPr>
            </w:pPr>
          </w:p>
        </w:tc>
        <w:tc>
          <w:tcPr>
            <w:tcW w:w="3230" w:type="dxa"/>
          </w:tcPr>
          <w:p w14:paraId="3B341130" w14:textId="77777777" w:rsidR="0052235B" w:rsidRPr="005B5418" w:rsidRDefault="0052235B" w:rsidP="008F3A0B">
            <w:pPr>
              <w:pStyle w:val="BodyTextIndent"/>
              <w:spacing w:before="60" w:after="60"/>
              <w:rPr>
                <w:rFonts w:cs="Arial"/>
                <w:lang w:val="pt-BR"/>
              </w:rPr>
            </w:pPr>
          </w:p>
        </w:tc>
      </w:tr>
      <w:tr w:rsidR="0052235B" w:rsidRPr="005B5418" w14:paraId="7075C175" w14:textId="77777777" w:rsidTr="008F3A0B">
        <w:trPr>
          <w:trHeight w:val="1421"/>
        </w:trPr>
        <w:tc>
          <w:tcPr>
            <w:tcW w:w="5400" w:type="dxa"/>
          </w:tcPr>
          <w:p w14:paraId="06952BCA" w14:textId="77777777" w:rsidR="0052235B" w:rsidRPr="005B5418" w:rsidRDefault="0052235B" w:rsidP="008F3A0B">
            <w:pPr>
              <w:pStyle w:val="FAM-Table-outline"/>
              <w:widowControl/>
              <w:numPr>
                <w:ilvl w:val="0"/>
                <w:numId w:val="30"/>
              </w:numPr>
              <w:adjustRightInd/>
              <w:spacing w:line="240" w:lineRule="auto"/>
              <w:textAlignment w:val="auto"/>
            </w:pPr>
            <w:r w:rsidRPr="005B5418">
              <w:rPr>
                <w:rFonts w:eastAsia="Arial Unicode MS" w:cs="Arial"/>
                <w:szCs w:val="22"/>
              </w:rPr>
              <w:t>Does the entity estimate the liability for future policy benefits using appropriate financial and/or actuarial methods that include assumptions, such as estimates of expected investment yield, mortality, morbidity, terminations, and expenses? (SFFAS 51, para. 62)</w:t>
            </w:r>
          </w:p>
        </w:tc>
        <w:tc>
          <w:tcPr>
            <w:tcW w:w="965" w:type="dxa"/>
          </w:tcPr>
          <w:p w14:paraId="23BD8833" w14:textId="77777777" w:rsidR="0052235B" w:rsidRPr="005B5418" w:rsidRDefault="0052235B" w:rsidP="008F3A0B">
            <w:pPr>
              <w:pStyle w:val="Table-Cell-CenterBoldBefore6ptAfter6pt"/>
              <w:spacing w:before="60" w:after="60"/>
              <w:rPr>
                <w:rFonts w:cs="Arial"/>
                <w:lang w:val="pt-BR"/>
              </w:rPr>
            </w:pPr>
          </w:p>
        </w:tc>
        <w:tc>
          <w:tcPr>
            <w:tcW w:w="3230" w:type="dxa"/>
          </w:tcPr>
          <w:p w14:paraId="391EDFA0" w14:textId="77777777" w:rsidR="0052235B" w:rsidRPr="005B5418" w:rsidRDefault="0052235B" w:rsidP="008F3A0B">
            <w:pPr>
              <w:pStyle w:val="BodyTextIndent"/>
              <w:spacing w:before="60" w:after="60"/>
              <w:rPr>
                <w:rFonts w:cs="Arial"/>
                <w:lang w:val="pt-BR"/>
              </w:rPr>
            </w:pPr>
          </w:p>
        </w:tc>
      </w:tr>
      <w:tr w:rsidR="0052235B" w:rsidRPr="005B5418" w14:paraId="5C5E0635" w14:textId="77777777" w:rsidTr="008F3A0B">
        <w:trPr>
          <w:trHeight w:val="1421"/>
        </w:trPr>
        <w:tc>
          <w:tcPr>
            <w:tcW w:w="5400" w:type="dxa"/>
          </w:tcPr>
          <w:p w14:paraId="708B9884" w14:textId="6D72B4C1" w:rsidR="0052235B" w:rsidRPr="005B5418" w:rsidRDefault="0052235B" w:rsidP="008F3A0B">
            <w:pPr>
              <w:pStyle w:val="FAM-Table-outline"/>
              <w:widowControl/>
              <w:numPr>
                <w:ilvl w:val="0"/>
                <w:numId w:val="30"/>
              </w:numPr>
              <w:adjustRightInd/>
              <w:spacing w:line="240" w:lineRule="auto"/>
              <w:textAlignment w:val="auto"/>
            </w:pPr>
            <w:r w:rsidRPr="005B5418">
              <w:rPr>
                <w:rFonts w:eastAsia="Arial Unicode MS" w:cs="Arial"/>
                <w:szCs w:val="22"/>
              </w:rPr>
              <w:t>Does the entity recognize, as an expense during the period in which the changes occurred, changes in the liability for future policy benefits that result from periodic re-estimations? (SFFAS 51, par</w:t>
            </w:r>
            <w:r w:rsidR="00AE73BF" w:rsidRPr="005B5418">
              <w:rPr>
                <w:rFonts w:eastAsia="Arial Unicode MS" w:cs="Arial"/>
                <w:szCs w:val="22"/>
              </w:rPr>
              <w:t>a</w:t>
            </w:r>
            <w:r w:rsidRPr="005B5418">
              <w:rPr>
                <w:rFonts w:eastAsia="Arial Unicode MS" w:cs="Arial"/>
                <w:szCs w:val="22"/>
              </w:rPr>
              <w:t>. 63)</w:t>
            </w:r>
          </w:p>
        </w:tc>
        <w:tc>
          <w:tcPr>
            <w:tcW w:w="965" w:type="dxa"/>
          </w:tcPr>
          <w:p w14:paraId="3666F943" w14:textId="77777777" w:rsidR="0052235B" w:rsidRPr="005B5418" w:rsidRDefault="0052235B" w:rsidP="008F3A0B">
            <w:pPr>
              <w:pStyle w:val="Table-Cell-CenterBoldBefore6ptAfter6pt"/>
              <w:spacing w:before="60" w:after="60"/>
              <w:rPr>
                <w:rFonts w:cs="Arial"/>
                <w:lang w:val="pt-BR"/>
              </w:rPr>
            </w:pPr>
          </w:p>
        </w:tc>
        <w:tc>
          <w:tcPr>
            <w:tcW w:w="3230" w:type="dxa"/>
          </w:tcPr>
          <w:p w14:paraId="27755C2E" w14:textId="77777777" w:rsidR="0052235B" w:rsidRPr="005B5418" w:rsidRDefault="0052235B" w:rsidP="008F3A0B">
            <w:pPr>
              <w:pStyle w:val="BodyTextIndent"/>
              <w:spacing w:before="60" w:after="60"/>
              <w:rPr>
                <w:rFonts w:cs="Arial"/>
                <w:lang w:val="pt-BR"/>
              </w:rPr>
            </w:pPr>
          </w:p>
        </w:tc>
      </w:tr>
      <w:tr w:rsidR="0052235B" w:rsidRPr="005B5418" w14:paraId="2DBBC0ED" w14:textId="77777777" w:rsidTr="008F3A0B">
        <w:trPr>
          <w:trHeight w:val="908"/>
        </w:trPr>
        <w:tc>
          <w:tcPr>
            <w:tcW w:w="5400" w:type="dxa"/>
          </w:tcPr>
          <w:p w14:paraId="1E21139F" w14:textId="77777777" w:rsidR="0052235B" w:rsidRPr="005B5418" w:rsidRDefault="0052235B" w:rsidP="008F3A0B">
            <w:pPr>
              <w:pStyle w:val="FAM-Table-outline"/>
              <w:widowControl/>
              <w:numPr>
                <w:ilvl w:val="0"/>
                <w:numId w:val="30"/>
              </w:numPr>
              <w:adjustRightInd/>
              <w:spacing w:line="240" w:lineRule="auto"/>
              <w:textAlignment w:val="auto"/>
            </w:pPr>
            <w:r w:rsidRPr="005B5418">
              <w:rPr>
                <w:rFonts w:eastAsia="Arial Unicode MS" w:cs="Arial"/>
                <w:szCs w:val="22"/>
              </w:rPr>
              <w:t>Does the entity recognize the effects of changes in relevant law or policy when those changes occur? (SFFAS 51, para. 64)</w:t>
            </w:r>
          </w:p>
        </w:tc>
        <w:tc>
          <w:tcPr>
            <w:tcW w:w="965" w:type="dxa"/>
          </w:tcPr>
          <w:p w14:paraId="75FA719B" w14:textId="77777777" w:rsidR="0052235B" w:rsidRPr="005B5418" w:rsidRDefault="0052235B" w:rsidP="008F3A0B">
            <w:pPr>
              <w:pStyle w:val="Table-Cell-CenterBoldBefore6ptAfter6pt"/>
              <w:spacing w:before="60" w:after="60"/>
              <w:rPr>
                <w:rFonts w:cs="Arial"/>
                <w:lang w:val="pt-BR"/>
              </w:rPr>
            </w:pPr>
          </w:p>
        </w:tc>
        <w:tc>
          <w:tcPr>
            <w:tcW w:w="3230" w:type="dxa"/>
          </w:tcPr>
          <w:p w14:paraId="23E54604" w14:textId="77777777" w:rsidR="0052235B" w:rsidRPr="005B5418" w:rsidRDefault="0052235B" w:rsidP="008F3A0B">
            <w:pPr>
              <w:pStyle w:val="BodyTextIndent"/>
              <w:spacing w:before="60" w:after="60"/>
              <w:rPr>
                <w:rFonts w:cs="Arial"/>
                <w:lang w:val="pt-BR"/>
              </w:rPr>
            </w:pPr>
          </w:p>
        </w:tc>
      </w:tr>
      <w:tr w:rsidR="0052235B" w:rsidRPr="005B5418" w14:paraId="6ACF1EFE" w14:textId="77777777" w:rsidTr="008F3A0B">
        <w:trPr>
          <w:trHeight w:val="386"/>
        </w:trPr>
        <w:tc>
          <w:tcPr>
            <w:tcW w:w="9595" w:type="dxa"/>
            <w:gridSpan w:val="3"/>
          </w:tcPr>
          <w:p w14:paraId="16E503CA" w14:textId="77777777" w:rsidR="0052235B" w:rsidRPr="005B5418" w:rsidRDefault="0052235B" w:rsidP="008F3A0B">
            <w:pPr>
              <w:pStyle w:val="BodyTextIndent"/>
              <w:spacing w:before="60" w:after="60"/>
              <w:ind w:left="0"/>
              <w:rPr>
                <w:rFonts w:cs="Arial"/>
                <w:b/>
                <w:i/>
                <w:lang w:val="pt-BR"/>
              </w:rPr>
            </w:pPr>
            <w:r w:rsidRPr="005B5418">
              <w:rPr>
                <w:rFonts w:cs="Arial"/>
                <w:b/>
                <w:lang w:val="pt-BR"/>
              </w:rPr>
              <w:t>Disclosure for</w:t>
            </w:r>
            <w:r w:rsidRPr="005B5418">
              <w:rPr>
                <w:rFonts w:cs="Arial"/>
                <w:b/>
                <w:i/>
                <w:lang w:val="pt-BR"/>
              </w:rPr>
              <w:t xml:space="preserve"> </w:t>
            </w:r>
            <w:r w:rsidRPr="005B5418">
              <w:rPr>
                <w:b/>
              </w:rPr>
              <w:t>Life Insurance Programs</w:t>
            </w:r>
          </w:p>
        </w:tc>
      </w:tr>
      <w:tr w:rsidR="0052235B" w:rsidRPr="005B5418" w14:paraId="672BB5D8" w14:textId="77777777" w:rsidTr="008F3A0B">
        <w:trPr>
          <w:trHeight w:val="1205"/>
        </w:trPr>
        <w:tc>
          <w:tcPr>
            <w:tcW w:w="5400" w:type="dxa"/>
          </w:tcPr>
          <w:p w14:paraId="26E4E279" w14:textId="77777777" w:rsidR="0052235B" w:rsidRPr="005B5418" w:rsidRDefault="0052235B" w:rsidP="008F3A0B">
            <w:pPr>
              <w:pStyle w:val="FAM-Table-outline"/>
              <w:widowControl/>
              <w:numPr>
                <w:ilvl w:val="0"/>
                <w:numId w:val="30"/>
              </w:numPr>
              <w:adjustRightInd/>
              <w:spacing w:line="240" w:lineRule="auto"/>
              <w:textAlignment w:val="auto"/>
              <w:rPr>
                <w:rFonts w:eastAsia="Arial Unicode MS" w:cs="Arial"/>
                <w:szCs w:val="22"/>
              </w:rPr>
            </w:pPr>
            <w:r w:rsidRPr="005B5418">
              <w:rPr>
                <w:rFonts w:eastAsia="Arial Unicode MS" w:cs="Arial"/>
                <w:szCs w:val="22"/>
              </w:rPr>
              <w:t>Does the entity consider materiality, including both quantitative and qualitative factors, when determining the nature and extent of its disclosures? (SFFAS 51, para. 65)</w:t>
            </w:r>
          </w:p>
        </w:tc>
        <w:tc>
          <w:tcPr>
            <w:tcW w:w="965" w:type="dxa"/>
          </w:tcPr>
          <w:p w14:paraId="35D0FA86" w14:textId="77777777" w:rsidR="0052235B" w:rsidRPr="005B5418" w:rsidRDefault="0052235B" w:rsidP="008F3A0B">
            <w:pPr>
              <w:pStyle w:val="Table-Cell-CenterBoldBefore6ptAfter6pt"/>
              <w:spacing w:before="60" w:after="60"/>
              <w:rPr>
                <w:rFonts w:cs="Arial"/>
                <w:lang w:val="pt-BR"/>
              </w:rPr>
            </w:pPr>
          </w:p>
        </w:tc>
        <w:tc>
          <w:tcPr>
            <w:tcW w:w="3230" w:type="dxa"/>
          </w:tcPr>
          <w:p w14:paraId="2D27B3DB" w14:textId="77777777" w:rsidR="0052235B" w:rsidRPr="005B5418" w:rsidRDefault="0052235B" w:rsidP="008F3A0B">
            <w:pPr>
              <w:pStyle w:val="BodyTextIndent"/>
              <w:spacing w:before="60" w:after="60"/>
              <w:rPr>
                <w:rFonts w:cs="Arial"/>
                <w:lang w:val="pt-BR"/>
              </w:rPr>
            </w:pPr>
          </w:p>
        </w:tc>
      </w:tr>
      <w:tr w:rsidR="0052235B" w:rsidRPr="005B5418" w14:paraId="306EB0F3" w14:textId="77777777" w:rsidTr="008F3A0B">
        <w:trPr>
          <w:trHeight w:val="2160"/>
        </w:trPr>
        <w:tc>
          <w:tcPr>
            <w:tcW w:w="5400" w:type="dxa"/>
          </w:tcPr>
          <w:p w14:paraId="12EBFEC8" w14:textId="77777777" w:rsidR="0052235B" w:rsidRPr="005B5418" w:rsidRDefault="0052235B" w:rsidP="008F3A0B">
            <w:pPr>
              <w:pStyle w:val="FAM-Table-outline"/>
              <w:widowControl/>
              <w:numPr>
                <w:ilvl w:val="0"/>
                <w:numId w:val="30"/>
              </w:numPr>
              <w:adjustRightInd/>
              <w:spacing w:line="240" w:lineRule="auto"/>
              <w:textAlignment w:val="auto"/>
              <w:rPr>
                <w:rFonts w:eastAsia="Arial Unicode MS" w:cs="Arial"/>
                <w:szCs w:val="22"/>
              </w:rPr>
            </w:pPr>
            <w:r w:rsidRPr="005B5418">
              <w:rPr>
                <w:rFonts w:eastAsia="Arial Unicode MS" w:cs="Arial"/>
                <w:szCs w:val="22"/>
              </w:rPr>
              <w:t>Are the entity’s disclosures integrated so that concise, meaningful, and transparent information is provided in a comprehensive note regarding the insurance program and related balances or by providing references to relevant notes elsewhere in the GPFFR but which relate to the insurance program? (SFFAS 51, para. 66)</w:t>
            </w:r>
          </w:p>
        </w:tc>
        <w:tc>
          <w:tcPr>
            <w:tcW w:w="965" w:type="dxa"/>
          </w:tcPr>
          <w:p w14:paraId="0299F3EF" w14:textId="77777777" w:rsidR="0052235B" w:rsidRPr="005B5418" w:rsidRDefault="0052235B" w:rsidP="008F3A0B">
            <w:pPr>
              <w:pStyle w:val="Table-Cell-CenterBoldBefore6ptAfter6pt"/>
              <w:spacing w:before="60" w:after="60"/>
              <w:rPr>
                <w:rFonts w:cs="Arial"/>
                <w:lang w:val="pt-BR"/>
              </w:rPr>
            </w:pPr>
          </w:p>
        </w:tc>
        <w:tc>
          <w:tcPr>
            <w:tcW w:w="3230" w:type="dxa"/>
          </w:tcPr>
          <w:p w14:paraId="672FD0EB" w14:textId="77777777" w:rsidR="0052235B" w:rsidRPr="005B5418" w:rsidRDefault="0052235B" w:rsidP="008F3A0B">
            <w:pPr>
              <w:pStyle w:val="BodyTextIndent"/>
              <w:spacing w:before="60" w:after="60"/>
              <w:rPr>
                <w:rFonts w:cs="Arial"/>
                <w:lang w:val="pt-BR"/>
              </w:rPr>
            </w:pPr>
          </w:p>
        </w:tc>
      </w:tr>
      <w:tr w:rsidR="0052235B" w:rsidRPr="005B5418" w14:paraId="0780C21F" w14:textId="77777777" w:rsidTr="008F3A0B">
        <w:trPr>
          <w:trHeight w:val="557"/>
        </w:trPr>
        <w:tc>
          <w:tcPr>
            <w:tcW w:w="5400" w:type="dxa"/>
          </w:tcPr>
          <w:p w14:paraId="21872223" w14:textId="77777777" w:rsidR="0052235B" w:rsidRPr="005B5418" w:rsidRDefault="0052235B" w:rsidP="008F3A0B">
            <w:pPr>
              <w:pStyle w:val="FAM-Table-outline"/>
              <w:widowControl/>
              <w:numPr>
                <w:ilvl w:val="0"/>
                <w:numId w:val="30"/>
              </w:numPr>
              <w:adjustRightInd/>
              <w:spacing w:line="240" w:lineRule="auto"/>
              <w:textAlignment w:val="auto"/>
              <w:rPr>
                <w:rFonts w:eastAsia="Arial Unicode MS" w:cs="Arial"/>
                <w:szCs w:val="22"/>
              </w:rPr>
            </w:pPr>
            <w:r w:rsidRPr="005B5418">
              <w:rPr>
                <w:rFonts w:eastAsia="Arial Unicode MS" w:cs="Arial"/>
                <w:szCs w:val="22"/>
              </w:rPr>
              <w:t>Does the entity provide the following information for each material insurance portfolio, and/or in aggregate for all remaining insurance portfolios, and/or individual insurance arrangements?</w:t>
            </w:r>
          </w:p>
          <w:p w14:paraId="5835539B" w14:textId="77777777" w:rsidR="0052235B" w:rsidRPr="005B5418" w:rsidRDefault="0052235B" w:rsidP="005425ED">
            <w:pPr>
              <w:pStyle w:val="FAM-Table-outline2"/>
              <w:spacing w:line="240" w:lineRule="auto"/>
              <w:ind w:left="1140" w:hanging="443"/>
            </w:pPr>
            <w:r w:rsidRPr="005B5418">
              <w:t xml:space="preserve">The type of life insurance and specific characteristics of those products, such as when and how benefits are paid and what other government agencies or </w:t>
            </w:r>
            <w:r w:rsidRPr="005B5418">
              <w:lastRenderedPageBreak/>
              <w:t>commercial insurance programs administer and/or assume risk for any part of the program.</w:t>
            </w:r>
          </w:p>
          <w:p w14:paraId="10D558AC" w14:textId="77777777" w:rsidR="0052235B" w:rsidRPr="005B5418" w:rsidRDefault="0052235B" w:rsidP="005425ED">
            <w:pPr>
              <w:pStyle w:val="FAM-Table-outline2"/>
              <w:spacing w:line="240" w:lineRule="auto"/>
              <w:ind w:left="1140" w:hanging="443"/>
            </w:pPr>
            <w:r w:rsidRPr="005B5418">
              <w:t>Premium pricing policies (in accordance with SFFAS 7, para. 46), including risk characteristics used in determining premiums and requirements to set premium prices that do not cover the full estimated cost to settle claims.</w:t>
            </w:r>
          </w:p>
          <w:p w14:paraId="63B77F85" w14:textId="77777777" w:rsidR="0052235B" w:rsidRPr="005B5418" w:rsidRDefault="0052235B" w:rsidP="005425ED">
            <w:pPr>
              <w:pStyle w:val="FAM-Table-outline2"/>
              <w:numPr>
                <w:ilvl w:val="1"/>
                <w:numId w:val="65"/>
              </w:numPr>
              <w:spacing w:line="240" w:lineRule="auto"/>
              <w:ind w:left="1140" w:hanging="443"/>
            </w:pPr>
            <w:r w:rsidRPr="005B5418">
              <w:t>Full costs,</w:t>
            </w:r>
            <w:r w:rsidRPr="005B5418">
              <w:rPr>
                <w:rStyle w:val="FootnoteReference"/>
              </w:rPr>
              <w:footnoteReference w:id="192"/>
            </w:r>
            <w:r w:rsidRPr="005B5418">
              <w:t xml:space="preserve"> premiums collected, appropriations used, and borrowing needed during the reporting period, as well as the ability to repay borrowing.</w:t>
            </w:r>
          </w:p>
          <w:p w14:paraId="11A404A2" w14:textId="77777777" w:rsidR="0052235B" w:rsidRPr="005B5418" w:rsidRDefault="0052235B" w:rsidP="005425ED">
            <w:pPr>
              <w:pStyle w:val="FAM-Table-outline2"/>
              <w:spacing w:line="240" w:lineRule="auto"/>
              <w:ind w:left="1140" w:hanging="443"/>
            </w:pPr>
            <w:r w:rsidRPr="005B5418">
              <w:t>Investing activities, such as buying Treasury securities.</w:t>
            </w:r>
          </w:p>
          <w:p w14:paraId="5C52833B" w14:textId="77777777" w:rsidR="0052235B" w:rsidRPr="005B5418" w:rsidRDefault="0052235B" w:rsidP="005425ED">
            <w:pPr>
              <w:pStyle w:val="FAM-Table-outline2"/>
              <w:spacing w:line="240" w:lineRule="auto"/>
              <w:ind w:left="1140" w:hanging="443"/>
            </w:pPr>
            <w:r w:rsidRPr="005B5418">
              <w:t>The nature and magnitude of uncertainty to estimate the amounts to be paid to settle future claims, including the basis and estimation method.</w:t>
            </w:r>
          </w:p>
          <w:p w14:paraId="64815A1B" w14:textId="77777777" w:rsidR="0052235B" w:rsidRPr="005B5418" w:rsidRDefault="0052235B" w:rsidP="005425ED">
            <w:pPr>
              <w:pStyle w:val="FAM-Table-outline2"/>
              <w:spacing w:line="240" w:lineRule="auto"/>
              <w:ind w:left="1140" w:hanging="443"/>
            </w:pPr>
            <w:r w:rsidRPr="005B5418">
              <w:t>Significant risk assumptions and factors, including relevant trend information.</w:t>
            </w:r>
          </w:p>
          <w:p w14:paraId="516A9852" w14:textId="77777777" w:rsidR="0052235B" w:rsidRPr="005B5418" w:rsidRDefault="0052235B" w:rsidP="005425ED">
            <w:pPr>
              <w:pStyle w:val="FAM-Table-outline2"/>
              <w:spacing w:line="240" w:lineRule="auto"/>
              <w:ind w:left="1140" w:hanging="443"/>
            </w:pPr>
            <w:r w:rsidRPr="005B5418">
              <w:t>How much risk, if any, is shared by third parties.</w:t>
            </w:r>
          </w:p>
          <w:p w14:paraId="01626BD1" w14:textId="77777777" w:rsidR="0052235B" w:rsidRPr="005B5418" w:rsidRDefault="0052235B" w:rsidP="005425ED">
            <w:pPr>
              <w:pStyle w:val="FAM-Table-outline2"/>
              <w:spacing w:line="240" w:lineRule="auto"/>
              <w:ind w:left="1140" w:hanging="443"/>
            </w:pPr>
            <w:r w:rsidRPr="005B5418">
              <w:t>The total value of life insurance policies issued—insurance in-force—at the end of the reporting period, which represents the maximum risk exposure.</w:t>
            </w:r>
            <w:r w:rsidRPr="005B5418">
              <w:rPr>
                <w:vertAlign w:val="superscript"/>
              </w:rPr>
              <w:footnoteReference w:id="193"/>
            </w:r>
          </w:p>
          <w:p w14:paraId="37CEE53A" w14:textId="77777777" w:rsidR="0052235B" w:rsidRPr="005B5418" w:rsidRDefault="0052235B" w:rsidP="005425ED">
            <w:pPr>
              <w:pStyle w:val="FAM-Table-outline2"/>
              <w:spacing w:line="240" w:lineRule="auto"/>
              <w:ind w:left="1140" w:hanging="443"/>
            </w:pPr>
            <w:r w:rsidRPr="005B5418">
              <w:t>The net cash surrender value of policies at the end of the reporting period, including appropriate information to aid in avoiding the misleading inference that there is a more than remote likelihood that 100% of all policies will cancel at the end of the reporting period.</w:t>
            </w:r>
          </w:p>
          <w:p w14:paraId="173CB3AC" w14:textId="77777777" w:rsidR="0052235B" w:rsidRPr="005B5418" w:rsidRDefault="0052235B" w:rsidP="005425ED">
            <w:pPr>
              <w:pStyle w:val="FAM-Table-outline2"/>
              <w:spacing w:line="240" w:lineRule="auto"/>
              <w:ind w:left="1140" w:hanging="443"/>
              <w:rPr>
                <w:rFonts w:eastAsia="Arial Unicode MS" w:cs="Arial"/>
                <w:szCs w:val="22"/>
              </w:rPr>
            </w:pPr>
            <w:r w:rsidRPr="005B5418">
              <w:t xml:space="preserve">Any event(s) that caused a material change in the amounts recognized during the reporting period, such as low-probability, high-impact adverse events, changes in laws, and/or actuarial </w:t>
            </w:r>
            <w:r w:rsidRPr="005B5418">
              <w:lastRenderedPageBreak/>
              <w:t>assumptions. (SFFAS 51, para. 67)</w:t>
            </w:r>
          </w:p>
        </w:tc>
        <w:tc>
          <w:tcPr>
            <w:tcW w:w="965" w:type="dxa"/>
          </w:tcPr>
          <w:p w14:paraId="0EC58502" w14:textId="77777777" w:rsidR="0052235B" w:rsidRPr="005B5418" w:rsidRDefault="0052235B" w:rsidP="008F3A0B">
            <w:pPr>
              <w:pStyle w:val="Table-Cell-CenterBoldBefore6ptAfter6pt"/>
              <w:spacing w:before="60" w:after="60"/>
              <w:rPr>
                <w:rFonts w:cs="Arial"/>
                <w:lang w:val="pt-BR"/>
              </w:rPr>
            </w:pPr>
          </w:p>
        </w:tc>
        <w:tc>
          <w:tcPr>
            <w:tcW w:w="3230" w:type="dxa"/>
          </w:tcPr>
          <w:p w14:paraId="4A8C680E" w14:textId="77777777" w:rsidR="0052235B" w:rsidRPr="005B5418" w:rsidRDefault="0052235B" w:rsidP="008F3A0B">
            <w:pPr>
              <w:pStyle w:val="BodyTextIndent"/>
              <w:spacing w:before="60" w:after="60"/>
              <w:rPr>
                <w:rFonts w:cs="Arial"/>
                <w:lang w:val="pt-BR"/>
              </w:rPr>
            </w:pPr>
          </w:p>
        </w:tc>
      </w:tr>
      <w:tr w:rsidR="0052235B" w:rsidRPr="005B5418" w14:paraId="07E7FA8F" w14:textId="77777777" w:rsidTr="008F3A0B">
        <w:trPr>
          <w:trHeight w:val="431"/>
        </w:trPr>
        <w:tc>
          <w:tcPr>
            <w:tcW w:w="5400" w:type="dxa"/>
          </w:tcPr>
          <w:p w14:paraId="71A3DB5A" w14:textId="77777777" w:rsidR="0052235B" w:rsidRPr="005B5418" w:rsidRDefault="0052235B" w:rsidP="008F3A0B">
            <w:pPr>
              <w:pStyle w:val="FAM-Table-outline"/>
              <w:widowControl/>
              <w:numPr>
                <w:ilvl w:val="0"/>
                <w:numId w:val="30"/>
              </w:numPr>
              <w:adjustRightInd/>
              <w:spacing w:line="240" w:lineRule="auto"/>
              <w:textAlignment w:val="auto"/>
              <w:rPr>
                <w:rFonts w:eastAsia="Arial Unicode MS" w:cs="Arial"/>
                <w:szCs w:val="22"/>
              </w:rPr>
            </w:pPr>
            <w:r w:rsidRPr="005B5418">
              <w:rPr>
                <w:rFonts w:eastAsia="Arial Unicode MS" w:cs="Arial"/>
                <w:szCs w:val="22"/>
              </w:rPr>
              <w:lastRenderedPageBreak/>
              <w:t>Does the entity provide the following information for changes in the liability balance for unpaid insurance claims?</w:t>
            </w:r>
          </w:p>
          <w:p w14:paraId="3622FF76" w14:textId="77777777" w:rsidR="0052235B" w:rsidRPr="005B5418" w:rsidRDefault="0052235B" w:rsidP="005425ED">
            <w:pPr>
              <w:pStyle w:val="FAM-Table-outline2"/>
              <w:spacing w:line="240" w:lineRule="auto"/>
              <w:ind w:left="1140" w:hanging="443"/>
            </w:pPr>
            <w:r w:rsidRPr="005B5418">
              <w:t>Beginning balance</w:t>
            </w:r>
          </w:p>
          <w:p w14:paraId="77AF1DC4" w14:textId="77777777" w:rsidR="0052235B" w:rsidRPr="005B5418" w:rsidRDefault="0052235B" w:rsidP="005425ED">
            <w:pPr>
              <w:pStyle w:val="FAM-Table-outline2"/>
              <w:spacing w:line="240" w:lineRule="auto"/>
              <w:ind w:left="1140" w:hanging="443"/>
            </w:pPr>
            <w:r w:rsidRPr="005B5418">
              <w:t>Claims expense</w:t>
            </w:r>
          </w:p>
          <w:p w14:paraId="1415E87C" w14:textId="77777777" w:rsidR="0052235B" w:rsidRPr="005B5418" w:rsidRDefault="0052235B" w:rsidP="005425ED">
            <w:pPr>
              <w:pStyle w:val="FAM-Table-outline2"/>
              <w:numPr>
                <w:ilvl w:val="1"/>
                <w:numId w:val="65"/>
              </w:numPr>
              <w:spacing w:line="240" w:lineRule="auto"/>
              <w:ind w:left="1140" w:hanging="443"/>
            </w:pPr>
            <w:r w:rsidRPr="005B5418">
              <w:t>CAE</w:t>
            </w:r>
            <w:r w:rsidRPr="005B5418">
              <w:rPr>
                <w:vertAlign w:val="superscript"/>
              </w:rPr>
              <w:footnoteReference w:id="194"/>
            </w:r>
          </w:p>
          <w:p w14:paraId="27848F53" w14:textId="77777777" w:rsidR="0052235B" w:rsidRPr="005B5418" w:rsidRDefault="0052235B" w:rsidP="005425ED">
            <w:pPr>
              <w:pStyle w:val="FAM-Table-outline2"/>
              <w:spacing w:line="240" w:lineRule="auto"/>
              <w:ind w:left="1140" w:hanging="443"/>
            </w:pPr>
            <w:r w:rsidRPr="005B5418">
              <w:t>Payments to settle claims</w:t>
            </w:r>
          </w:p>
          <w:p w14:paraId="237B386C" w14:textId="77777777" w:rsidR="0052235B" w:rsidRPr="005B5418" w:rsidRDefault="0052235B" w:rsidP="005425ED">
            <w:pPr>
              <w:pStyle w:val="FAM-Table-outline2"/>
              <w:spacing w:line="240" w:lineRule="auto"/>
              <w:ind w:left="1140" w:hanging="443"/>
            </w:pPr>
            <w:r w:rsidRPr="005B5418">
              <w:t>Recoveries and other adjustments</w:t>
            </w:r>
          </w:p>
          <w:p w14:paraId="493055D5" w14:textId="77777777" w:rsidR="0052235B" w:rsidRPr="005B5418" w:rsidRDefault="0052235B" w:rsidP="005425ED">
            <w:pPr>
              <w:pStyle w:val="FAM-Table-outline2"/>
              <w:spacing w:line="240" w:lineRule="auto"/>
              <w:ind w:left="1140" w:hanging="443"/>
              <w:rPr>
                <w:rFonts w:eastAsia="Arial Unicode MS" w:cs="Arial"/>
                <w:szCs w:val="22"/>
              </w:rPr>
            </w:pPr>
            <w:r w:rsidRPr="005B5418">
              <w:t>Ending balance (SFFAS 51, para. 68)</w:t>
            </w:r>
          </w:p>
        </w:tc>
        <w:tc>
          <w:tcPr>
            <w:tcW w:w="965" w:type="dxa"/>
          </w:tcPr>
          <w:p w14:paraId="5E59BAF9" w14:textId="77777777" w:rsidR="0052235B" w:rsidRPr="005B5418" w:rsidRDefault="0052235B" w:rsidP="008F3A0B">
            <w:pPr>
              <w:pStyle w:val="Table-Cell-CenterBoldBefore6ptAfter6pt"/>
              <w:spacing w:before="60" w:after="60"/>
              <w:rPr>
                <w:rFonts w:cs="Arial"/>
                <w:lang w:val="pt-BR"/>
              </w:rPr>
            </w:pPr>
          </w:p>
        </w:tc>
        <w:tc>
          <w:tcPr>
            <w:tcW w:w="3230" w:type="dxa"/>
          </w:tcPr>
          <w:p w14:paraId="3366C032" w14:textId="77777777" w:rsidR="0052235B" w:rsidRPr="005B5418" w:rsidRDefault="0052235B" w:rsidP="008F3A0B">
            <w:pPr>
              <w:pStyle w:val="BodyTextIndent"/>
              <w:spacing w:before="60" w:after="60"/>
              <w:rPr>
                <w:rFonts w:cs="Arial"/>
                <w:lang w:val="pt-BR"/>
              </w:rPr>
            </w:pPr>
          </w:p>
        </w:tc>
      </w:tr>
      <w:tr w:rsidR="0052235B" w:rsidRPr="005B5418" w14:paraId="622DAE7F" w14:textId="77777777" w:rsidTr="008F3A0B">
        <w:trPr>
          <w:trHeight w:val="431"/>
        </w:trPr>
        <w:tc>
          <w:tcPr>
            <w:tcW w:w="5400" w:type="dxa"/>
          </w:tcPr>
          <w:p w14:paraId="698402DC" w14:textId="6F318F77" w:rsidR="0052235B" w:rsidRPr="005B5418" w:rsidRDefault="0052235B" w:rsidP="00695208">
            <w:pPr>
              <w:pStyle w:val="FAM-Table-outline"/>
              <w:widowControl/>
              <w:numPr>
                <w:ilvl w:val="0"/>
                <w:numId w:val="30"/>
              </w:numPr>
              <w:adjustRightInd/>
              <w:spacing w:line="240" w:lineRule="auto"/>
              <w:textAlignment w:val="auto"/>
              <w:rPr>
                <w:rFonts w:eastAsia="Arial Unicode MS" w:cs="Arial"/>
                <w:szCs w:val="22"/>
              </w:rPr>
            </w:pPr>
            <w:r w:rsidRPr="005B5418">
              <w:rPr>
                <w:rFonts w:eastAsia="Arial Unicode MS" w:cs="Arial"/>
                <w:szCs w:val="22"/>
              </w:rPr>
              <w:t xml:space="preserve">For life insurance that is a federal employee or veteran benefit, is the life insurance–related disclosure included within the </w:t>
            </w:r>
            <w:r w:rsidR="00AC1494" w:rsidRPr="005B5418">
              <w:rPr>
                <w:rFonts w:eastAsia="Arial Unicode MS" w:cs="Arial"/>
                <w:szCs w:val="22"/>
              </w:rPr>
              <w:t>Pensions, Other Post-</w:t>
            </w:r>
            <w:r w:rsidR="00F23DCB" w:rsidRPr="005B5418">
              <w:rPr>
                <w:rFonts w:eastAsia="Arial Unicode MS" w:cs="Arial"/>
                <w:szCs w:val="22"/>
              </w:rPr>
              <w:t>E</w:t>
            </w:r>
            <w:r w:rsidR="00AC1494" w:rsidRPr="005B5418">
              <w:rPr>
                <w:rFonts w:eastAsia="Arial Unicode MS" w:cs="Arial"/>
                <w:szCs w:val="22"/>
              </w:rPr>
              <w:t>mployment,</w:t>
            </w:r>
            <w:r w:rsidRPr="005B5418">
              <w:rPr>
                <w:rFonts w:eastAsia="Arial Unicode MS" w:cs="Arial"/>
                <w:szCs w:val="22"/>
              </w:rPr>
              <w:t xml:space="preserve"> and Veteran</w:t>
            </w:r>
            <w:r w:rsidR="00AC1494" w:rsidRPr="005B5418">
              <w:rPr>
                <w:rFonts w:eastAsia="Arial Unicode MS" w:cs="Arial"/>
                <w:szCs w:val="22"/>
              </w:rPr>
              <w:t>s</w:t>
            </w:r>
            <w:r w:rsidRPr="005B5418">
              <w:rPr>
                <w:rFonts w:eastAsia="Arial Unicode MS" w:cs="Arial"/>
                <w:szCs w:val="22"/>
              </w:rPr>
              <w:t xml:space="preserve"> Benefits Payable note disclosure? (A-136, section II.3.8.</w:t>
            </w:r>
            <w:r w:rsidR="00695208" w:rsidRPr="005B5418">
              <w:rPr>
                <w:rFonts w:eastAsia="Arial Unicode MS" w:cs="Arial"/>
                <w:szCs w:val="22"/>
              </w:rPr>
              <w:t>17</w:t>
            </w:r>
            <w:r w:rsidRPr="005B5418">
              <w:rPr>
                <w:rFonts w:eastAsia="Arial Unicode MS" w:cs="Arial"/>
                <w:szCs w:val="22"/>
              </w:rPr>
              <w:t>)</w:t>
            </w:r>
          </w:p>
        </w:tc>
        <w:tc>
          <w:tcPr>
            <w:tcW w:w="965" w:type="dxa"/>
          </w:tcPr>
          <w:p w14:paraId="086E93A2" w14:textId="77777777" w:rsidR="0052235B" w:rsidRPr="005B5418" w:rsidRDefault="0052235B" w:rsidP="008F3A0B">
            <w:pPr>
              <w:pStyle w:val="Table-Cell-CenterBoldBefore6ptAfter6pt"/>
              <w:spacing w:before="60" w:after="60"/>
              <w:rPr>
                <w:rFonts w:cs="Arial"/>
                <w:lang w:val="pt-BR"/>
              </w:rPr>
            </w:pPr>
          </w:p>
        </w:tc>
        <w:tc>
          <w:tcPr>
            <w:tcW w:w="3230" w:type="dxa"/>
          </w:tcPr>
          <w:p w14:paraId="15225BEF" w14:textId="77777777" w:rsidR="0052235B" w:rsidRPr="005B5418" w:rsidRDefault="0052235B" w:rsidP="008F3A0B">
            <w:pPr>
              <w:pStyle w:val="BodyTextIndent"/>
              <w:spacing w:before="60" w:after="60"/>
              <w:rPr>
                <w:rFonts w:cs="Arial"/>
                <w:lang w:val="pt-BR"/>
              </w:rPr>
            </w:pPr>
          </w:p>
        </w:tc>
      </w:tr>
    </w:tbl>
    <w:p w14:paraId="24E4540D" w14:textId="0D8C33B4" w:rsidR="009118E5" w:rsidRPr="005B5418" w:rsidRDefault="0052235B" w:rsidP="003B61E9">
      <w:pPr>
        <w:spacing w:line="240" w:lineRule="auto"/>
        <w:rPr>
          <w:rFonts w:cs="Arial"/>
        </w:rPr>
      </w:pPr>
      <w:r w:rsidRPr="005B5418">
        <w:br w:type="page"/>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5"/>
        <w:gridCol w:w="965"/>
        <w:gridCol w:w="3211"/>
      </w:tblGrid>
      <w:tr w:rsidR="009118E5" w:rsidRPr="005B5418" w14:paraId="3DBEE6AC" w14:textId="77777777" w:rsidTr="00052522">
        <w:trPr>
          <w:tblHeader/>
        </w:trPr>
        <w:tc>
          <w:tcPr>
            <w:tcW w:w="5405" w:type="dxa"/>
            <w:tcBorders>
              <w:top w:val="single" w:sz="4" w:space="0" w:color="auto"/>
              <w:left w:val="single" w:sz="4" w:space="0" w:color="auto"/>
              <w:bottom w:val="single" w:sz="4" w:space="0" w:color="auto"/>
              <w:right w:val="single" w:sz="4" w:space="0" w:color="auto"/>
            </w:tcBorders>
          </w:tcPr>
          <w:p w14:paraId="667941E0" w14:textId="7F25AA5E" w:rsidR="009118E5" w:rsidRPr="005B5418" w:rsidRDefault="009118E5" w:rsidP="00ED5199">
            <w:pPr>
              <w:pStyle w:val="Heading4"/>
              <w:spacing w:before="60" w:after="60" w:line="240" w:lineRule="auto"/>
              <w:jc w:val="left"/>
              <w:rPr>
                <w:b/>
                <w:u w:val="none"/>
              </w:rPr>
            </w:pPr>
            <w:bookmarkStart w:id="186" w:name="_II.3.8.17_Other_Liabilities"/>
            <w:bookmarkEnd w:id="186"/>
            <w:r w:rsidRPr="005B5418">
              <w:rPr>
                <w:b/>
                <w:u w:val="none"/>
              </w:rPr>
              <w:lastRenderedPageBreak/>
              <w:br w:type="page"/>
            </w:r>
            <w:bookmarkStart w:id="187" w:name="_Ref392094602"/>
            <w:bookmarkStart w:id="188" w:name="_Toc394667907"/>
            <w:bookmarkStart w:id="189" w:name="_Ref390095764"/>
            <w:bookmarkStart w:id="190" w:name="_Ref384816125"/>
            <w:r w:rsidRPr="005B5418">
              <w:rPr>
                <w:b/>
                <w:u w:val="none"/>
              </w:rPr>
              <w:t>II.3.8.</w:t>
            </w:r>
            <w:r w:rsidR="00ED5199" w:rsidRPr="005B5418">
              <w:rPr>
                <w:b/>
                <w:u w:val="none"/>
              </w:rPr>
              <w:t xml:space="preserve">18 </w:t>
            </w:r>
            <w:r w:rsidR="00985FA8" w:rsidRPr="005B5418">
              <w:rPr>
                <w:b/>
                <w:u w:val="none"/>
              </w:rPr>
              <w:t xml:space="preserve">Advances from Others and Deferred Revenue / </w:t>
            </w:r>
            <w:r w:rsidRPr="005B5418">
              <w:rPr>
                <w:b/>
                <w:u w:val="none"/>
              </w:rPr>
              <w:t>Other Liabilities</w:t>
            </w:r>
            <w:bookmarkEnd w:id="187"/>
            <w:bookmarkEnd w:id="188"/>
            <w:r w:rsidRPr="005B5418">
              <w:rPr>
                <w:b/>
                <w:u w:val="none"/>
              </w:rPr>
              <w:t xml:space="preserve"> </w:t>
            </w:r>
            <w:bookmarkEnd w:id="189"/>
            <w:bookmarkEnd w:id="190"/>
          </w:p>
        </w:tc>
        <w:tc>
          <w:tcPr>
            <w:tcW w:w="965" w:type="dxa"/>
            <w:tcBorders>
              <w:top w:val="single" w:sz="4" w:space="0" w:color="auto"/>
              <w:left w:val="single" w:sz="4" w:space="0" w:color="auto"/>
              <w:bottom w:val="single" w:sz="4" w:space="0" w:color="auto"/>
              <w:right w:val="single" w:sz="4" w:space="0" w:color="auto"/>
            </w:tcBorders>
          </w:tcPr>
          <w:p w14:paraId="54E10F55" w14:textId="77777777" w:rsidR="009118E5" w:rsidRPr="005B5418" w:rsidRDefault="009118E5" w:rsidP="005F0FB9">
            <w:pPr>
              <w:pStyle w:val="TableCellCenter"/>
              <w:jc w:val="left"/>
            </w:pPr>
            <w:r w:rsidRPr="005B5418">
              <w:t>Yes, No, or N/A</w:t>
            </w:r>
          </w:p>
        </w:tc>
        <w:tc>
          <w:tcPr>
            <w:tcW w:w="3211" w:type="dxa"/>
            <w:tcBorders>
              <w:top w:val="single" w:sz="4" w:space="0" w:color="auto"/>
              <w:left w:val="single" w:sz="4" w:space="0" w:color="auto"/>
              <w:bottom w:val="single" w:sz="4" w:space="0" w:color="auto"/>
              <w:right w:val="single" w:sz="4" w:space="0" w:color="auto"/>
            </w:tcBorders>
          </w:tcPr>
          <w:p w14:paraId="59160B5D" w14:textId="59D1D758" w:rsidR="009118E5" w:rsidRPr="005B5418" w:rsidRDefault="009118E5" w:rsidP="008203F6">
            <w:pPr>
              <w:pStyle w:val="TableCellCenter"/>
              <w:jc w:val="left"/>
            </w:pPr>
            <w:r w:rsidRPr="005B5418">
              <w:t xml:space="preserve">Explanation </w:t>
            </w:r>
            <w:r w:rsidR="008203F6" w:rsidRPr="005B5418">
              <w:t xml:space="preserve">and </w:t>
            </w:r>
            <w:r w:rsidRPr="005B5418">
              <w:t>Reference</w:t>
            </w:r>
          </w:p>
        </w:tc>
      </w:tr>
      <w:tr w:rsidR="009118E5" w:rsidRPr="005B5418" w14:paraId="1E0DC809" w14:textId="77777777" w:rsidTr="00052522">
        <w:trPr>
          <w:cantSplit/>
        </w:trPr>
        <w:tc>
          <w:tcPr>
            <w:tcW w:w="9581" w:type="dxa"/>
            <w:gridSpan w:val="3"/>
          </w:tcPr>
          <w:p w14:paraId="05F6528B" w14:textId="3793FABD" w:rsidR="00CE0379" w:rsidRPr="005B5418" w:rsidRDefault="00CE0379" w:rsidP="00BE7026">
            <w:pPr>
              <w:pStyle w:val="BodyText"/>
              <w:spacing w:line="240" w:lineRule="auto"/>
              <w:rPr>
                <w:sz w:val="22"/>
                <w:szCs w:val="22"/>
              </w:rPr>
            </w:pPr>
            <w:r w:rsidRPr="005B5418">
              <w:rPr>
                <w:sz w:val="22"/>
                <w:szCs w:val="22"/>
              </w:rPr>
              <w:t xml:space="preserve">This topic includes (i) advances from others and deferred revenue, and (ii) other liabilities. </w:t>
            </w:r>
          </w:p>
          <w:p w14:paraId="256E856A" w14:textId="6505F370" w:rsidR="00CE0379" w:rsidRPr="005B5418" w:rsidRDefault="00CE0379" w:rsidP="0040038A">
            <w:pPr>
              <w:pStyle w:val="BodyText"/>
              <w:spacing w:line="240" w:lineRule="auto"/>
              <w:jc w:val="left"/>
              <w:rPr>
                <w:sz w:val="22"/>
                <w:szCs w:val="22"/>
              </w:rPr>
            </w:pPr>
            <w:r w:rsidRPr="005B5418">
              <w:rPr>
                <w:sz w:val="22"/>
                <w:szCs w:val="22"/>
              </w:rPr>
              <w:t>Advances from others and deferred</w:t>
            </w:r>
            <w:r w:rsidRPr="005B5418">
              <w:rPr>
                <w:b/>
                <w:sz w:val="22"/>
                <w:szCs w:val="22"/>
              </w:rPr>
              <w:t xml:space="preserve"> </w:t>
            </w:r>
            <w:r w:rsidRPr="005B5418">
              <w:rPr>
                <w:sz w:val="22"/>
                <w:szCs w:val="22"/>
              </w:rPr>
              <w:t>revenue are amounts received for goods or services to be delivered or performed in the future and reflect amounts that have yet to be earned.</w:t>
            </w:r>
            <w:r w:rsidR="00BA72D8" w:rsidRPr="005B5418">
              <w:rPr>
                <w:sz w:val="22"/>
                <w:szCs w:val="22"/>
              </w:rPr>
              <w:t xml:space="preserve"> </w:t>
            </w:r>
            <w:r w:rsidR="00A70E82" w:rsidRPr="005B5418">
              <w:rPr>
                <w:sz w:val="22"/>
                <w:szCs w:val="22"/>
              </w:rPr>
              <w:t>Because cash is not usually received when unearned lease revenue is recognized, unearned lease revenue is not included in advances from others and deferred revenue</w:t>
            </w:r>
            <w:r w:rsidR="00F23DCB" w:rsidRPr="005B5418">
              <w:rPr>
                <w:sz w:val="22"/>
                <w:szCs w:val="22"/>
              </w:rPr>
              <w:t>. I</w:t>
            </w:r>
            <w:r w:rsidR="00A70E82" w:rsidRPr="005B5418">
              <w:rPr>
                <w:sz w:val="22"/>
                <w:szCs w:val="22"/>
              </w:rPr>
              <w:t>t is instead included in Other Liabilities</w:t>
            </w:r>
            <w:r w:rsidR="00F23DCB" w:rsidRPr="005B5418">
              <w:rPr>
                <w:sz w:val="22"/>
                <w:szCs w:val="22"/>
              </w:rPr>
              <w:t>.</w:t>
            </w:r>
            <w:r w:rsidR="00841DA7" w:rsidRPr="005B5418" w:rsidDel="00841DA7">
              <w:rPr>
                <w:rStyle w:val="FootnoteReference"/>
                <w:sz w:val="22"/>
                <w:szCs w:val="22"/>
              </w:rPr>
              <w:t xml:space="preserve"> </w:t>
            </w:r>
          </w:p>
          <w:p w14:paraId="6066AF84" w14:textId="3058EA34" w:rsidR="00C10A2F" w:rsidRPr="005B5418" w:rsidRDefault="00CE0379" w:rsidP="0040038A">
            <w:pPr>
              <w:pStyle w:val="BodyText"/>
              <w:spacing w:line="240" w:lineRule="auto"/>
              <w:jc w:val="left"/>
              <w:rPr>
                <w:spacing w:val="-2"/>
                <w:sz w:val="22"/>
                <w:szCs w:val="22"/>
              </w:rPr>
            </w:pPr>
            <w:r w:rsidRPr="005B5418">
              <w:rPr>
                <w:bCs/>
                <w:sz w:val="22"/>
                <w:szCs w:val="22"/>
              </w:rPr>
              <w:t>Other</w:t>
            </w:r>
            <w:r w:rsidRPr="005B5418">
              <w:rPr>
                <w:bCs/>
                <w:spacing w:val="-4"/>
                <w:sz w:val="22"/>
                <w:szCs w:val="22"/>
              </w:rPr>
              <w:t xml:space="preserve"> </w:t>
            </w:r>
            <w:r w:rsidRPr="005B5418">
              <w:rPr>
                <w:bCs/>
                <w:spacing w:val="-2"/>
                <w:sz w:val="22"/>
                <w:szCs w:val="22"/>
              </w:rPr>
              <w:t>Liabilities</w:t>
            </w:r>
            <w:r w:rsidRPr="005B5418">
              <w:rPr>
                <w:spacing w:val="-3"/>
                <w:sz w:val="22"/>
                <w:szCs w:val="22"/>
              </w:rPr>
              <w:t xml:space="preserve"> </w:t>
            </w:r>
            <w:r w:rsidR="00F36276" w:rsidRPr="005B5418">
              <w:rPr>
                <w:spacing w:val="-3"/>
                <w:sz w:val="22"/>
                <w:szCs w:val="22"/>
              </w:rPr>
              <w:t>(including</w:t>
            </w:r>
            <w:r w:rsidR="0040038A" w:rsidRPr="005B5418">
              <w:rPr>
                <w:spacing w:val="-3"/>
                <w:sz w:val="22"/>
                <w:szCs w:val="22"/>
              </w:rPr>
              <w:t xml:space="preserve"> lessee</w:t>
            </w:r>
            <w:r w:rsidR="00F36276" w:rsidRPr="005B5418">
              <w:rPr>
                <w:spacing w:val="-3"/>
                <w:sz w:val="22"/>
                <w:szCs w:val="22"/>
              </w:rPr>
              <w:t xml:space="preserve"> lease liabilities) </w:t>
            </w:r>
            <w:r w:rsidRPr="005B5418">
              <w:rPr>
                <w:spacing w:val="-3"/>
                <w:sz w:val="22"/>
                <w:szCs w:val="22"/>
              </w:rPr>
              <w:t xml:space="preserve">are </w:t>
            </w:r>
            <w:r w:rsidRPr="005B5418">
              <w:rPr>
                <w:sz w:val="22"/>
                <w:szCs w:val="22"/>
              </w:rPr>
              <w:t>liabilities</w:t>
            </w:r>
            <w:r w:rsidRPr="005B5418">
              <w:rPr>
                <w:spacing w:val="-3"/>
                <w:sz w:val="22"/>
                <w:szCs w:val="22"/>
              </w:rPr>
              <w:t xml:space="preserve"> </w:t>
            </w:r>
            <w:r w:rsidRPr="005B5418">
              <w:rPr>
                <w:sz w:val="22"/>
                <w:szCs w:val="22"/>
              </w:rPr>
              <w:t>not</w:t>
            </w:r>
            <w:r w:rsidRPr="005B5418">
              <w:rPr>
                <w:spacing w:val="2"/>
                <w:sz w:val="22"/>
                <w:szCs w:val="22"/>
              </w:rPr>
              <w:t xml:space="preserve"> </w:t>
            </w:r>
            <w:r w:rsidRPr="005B5418">
              <w:rPr>
                <w:spacing w:val="-2"/>
                <w:sz w:val="22"/>
                <w:szCs w:val="22"/>
              </w:rPr>
              <w:t>recognized</w:t>
            </w:r>
            <w:r w:rsidRPr="005B5418">
              <w:rPr>
                <w:sz w:val="22"/>
                <w:szCs w:val="22"/>
              </w:rPr>
              <w:t xml:space="preserve"> in any</w:t>
            </w:r>
            <w:r w:rsidRPr="005B5418">
              <w:rPr>
                <w:spacing w:val="-4"/>
                <w:sz w:val="22"/>
                <w:szCs w:val="22"/>
              </w:rPr>
              <w:t xml:space="preserve"> previous </w:t>
            </w:r>
            <w:r w:rsidRPr="005B5418">
              <w:rPr>
                <w:spacing w:val="-2"/>
                <w:sz w:val="22"/>
                <w:szCs w:val="22"/>
              </w:rPr>
              <w:t>category and</w:t>
            </w:r>
            <w:r w:rsidRPr="005B5418">
              <w:rPr>
                <w:sz w:val="22"/>
                <w:szCs w:val="22"/>
              </w:rPr>
              <w:t xml:space="preserve"> may include</w:t>
            </w:r>
            <w:r w:rsidRPr="005B5418">
              <w:rPr>
                <w:spacing w:val="-2"/>
                <w:sz w:val="22"/>
                <w:szCs w:val="22"/>
              </w:rPr>
              <w:t xml:space="preserve"> </w:t>
            </w:r>
            <w:r w:rsidRPr="005B5418">
              <w:rPr>
                <w:sz w:val="22"/>
                <w:szCs w:val="22"/>
              </w:rPr>
              <w:t>liabilities</w:t>
            </w:r>
            <w:r w:rsidRPr="005B5418">
              <w:rPr>
                <w:spacing w:val="-3"/>
                <w:sz w:val="22"/>
                <w:szCs w:val="22"/>
              </w:rPr>
              <w:t xml:space="preserve"> described in previous categories </w:t>
            </w:r>
            <w:r w:rsidRPr="005B5418">
              <w:rPr>
                <w:sz w:val="22"/>
                <w:szCs w:val="22"/>
              </w:rPr>
              <w:t xml:space="preserve">that </w:t>
            </w:r>
            <w:r w:rsidRPr="005B5418">
              <w:rPr>
                <w:spacing w:val="-2"/>
                <w:sz w:val="22"/>
                <w:szCs w:val="22"/>
              </w:rPr>
              <w:t>are</w:t>
            </w:r>
            <w:r w:rsidRPr="005B5418">
              <w:rPr>
                <w:sz w:val="22"/>
                <w:szCs w:val="22"/>
              </w:rPr>
              <w:t xml:space="preserve"> </w:t>
            </w:r>
            <w:r w:rsidRPr="005B5418">
              <w:rPr>
                <w:spacing w:val="-2"/>
                <w:sz w:val="22"/>
                <w:szCs w:val="22"/>
              </w:rPr>
              <w:t>immaterial</w:t>
            </w:r>
            <w:r w:rsidRPr="005B5418">
              <w:rPr>
                <w:spacing w:val="-3"/>
                <w:sz w:val="22"/>
                <w:szCs w:val="22"/>
              </w:rPr>
              <w:t xml:space="preserve"> </w:t>
            </w:r>
            <w:r w:rsidRPr="005B5418">
              <w:rPr>
                <w:sz w:val="22"/>
                <w:szCs w:val="22"/>
              </w:rPr>
              <w:t>to the entity</w:t>
            </w:r>
            <w:r w:rsidRPr="005B5418">
              <w:rPr>
                <w:spacing w:val="-2"/>
                <w:sz w:val="22"/>
                <w:szCs w:val="22"/>
              </w:rPr>
              <w:t>.</w:t>
            </w:r>
            <w:r w:rsidRPr="005B5418">
              <w:rPr>
                <w:sz w:val="22"/>
                <w:szCs w:val="22"/>
              </w:rPr>
              <w:t xml:space="preserve"> </w:t>
            </w:r>
            <w:r w:rsidRPr="005B5418">
              <w:rPr>
                <w:spacing w:val="-3"/>
                <w:sz w:val="22"/>
                <w:szCs w:val="22"/>
              </w:rPr>
              <w:t>This</w:t>
            </w:r>
            <w:r w:rsidRPr="005B5418">
              <w:rPr>
                <w:sz w:val="22"/>
                <w:szCs w:val="22"/>
              </w:rPr>
              <w:t xml:space="preserve"> may include</w:t>
            </w:r>
            <w:r w:rsidRPr="005B5418">
              <w:rPr>
                <w:spacing w:val="3"/>
                <w:sz w:val="22"/>
                <w:szCs w:val="22"/>
              </w:rPr>
              <w:t xml:space="preserve"> </w:t>
            </w:r>
            <w:r w:rsidRPr="005B5418">
              <w:rPr>
                <w:sz w:val="22"/>
                <w:szCs w:val="22"/>
              </w:rPr>
              <w:t>liabilities</w:t>
            </w:r>
            <w:r w:rsidRPr="005B5418">
              <w:rPr>
                <w:spacing w:val="-2"/>
                <w:sz w:val="22"/>
                <w:szCs w:val="22"/>
              </w:rPr>
              <w:t xml:space="preserve"> </w:t>
            </w:r>
            <w:r w:rsidRPr="005B5418">
              <w:rPr>
                <w:sz w:val="22"/>
                <w:szCs w:val="22"/>
              </w:rPr>
              <w:t>related</w:t>
            </w:r>
            <w:r w:rsidRPr="005B5418">
              <w:rPr>
                <w:spacing w:val="-5"/>
                <w:sz w:val="22"/>
                <w:szCs w:val="22"/>
              </w:rPr>
              <w:t xml:space="preserve"> </w:t>
            </w:r>
            <w:r w:rsidRPr="005B5418">
              <w:rPr>
                <w:sz w:val="22"/>
                <w:szCs w:val="22"/>
              </w:rPr>
              <w:t xml:space="preserve">to grants </w:t>
            </w:r>
            <w:r w:rsidRPr="005B5418">
              <w:rPr>
                <w:spacing w:val="-2"/>
                <w:sz w:val="22"/>
                <w:szCs w:val="22"/>
              </w:rPr>
              <w:t>payable</w:t>
            </w:r>
            <w:r w:rsidRPr="005B5418">
              <w:rPr>
                <w:sz w:val="22"/>
                <w:szCs w:val="22"/>
              </w:rPr>
              <w:t xml:space="preserve">, </w:t>
            </w:r>
            <w:r w:rsidR="0039526F" w:rsidRPr="005B5418">
              <w:rPr>
                <w:sz w:val="22"/>
                <w:szCs w:val="22"/>
              </w:rPr>
              <w:t xml:space="preserve">actuarial liabilities for </w:t>
            </w:r>
            <w:r w:rsidRPr="005B5418">
              <w:rPr>
                <w:sz w:val="22"/>
                <w:szCs w:val="22"/>
              </w:rPr>
              <w:t>Treasury-</w:t>
            </w:r>
            <w:r w:rsidR="0039526F" w:rsidRPr="005B5418">
              <w:rPr>
                <w:sz w:val="22"/>
                <w:szCs w:val="22"/>
              </w:rPr>
              <w:t>managed and Department of Labor-</w:t>
            </w:r>
            <w:r w:rsidRPr="005B5418">
              <w:rPr>
                <w:sz w:val="22"/>
                <w:szCs w:val="22"/>
              </w:rPr>
              <w:t>managed benefit programs</w:t>
            </w:r>
            <w:r w:rsidR="0039526F" w:rsidRPr="005B5418">
              <w:rPr>
                <w:sz w:val="22"/>
                <w:szCs w:val="22"/>
              </w:rPr>
              <w:t xml:space="preserve"> (i.e., D.C</w:t>
            </w:r>
            <w:r w:rsidR="00915D38">
              <w:rPr>
                <w:sz w:val="22"/>
                <w:szCs w:val="22"/>
              </w:rPr>
              <w:t>.</w:t>
            </w:r>
            <w:r w:rsidR="0039526F" w:rsidRPr="005B5418">
              <w:rPr>
                <w:sz w:val="22"/>
                <w:szCs w:val="22"/>
              </w:rPr>
              <w:t xml:space="preserve"> Federal Pension Fund, D.C</w:t>
            </w:r>
            <w:r w:rsidR="00915D38">
              <w:rPr>
                <w:sz w:val="22"/>
                <w:szCs w:val="22"/>
              </w:rPr>
              <w:t>.</w:t>
            </w:r>
            <w:r w:rsidR="0039526F" w:rsidRPr="005B5418">
              <w:rPr>
                <w:sz w:val="22"/>
                <w:szCs w:val="22"/>
              </w:rPr>
              <w:t xml:space="preserve"> Judicial Retirement Fund, and Energy Employees Occupational Illness Fund)</w:t>
            </w:r>
            <w:r w:rsidRPr="005B5418">
              <w:rPr>
                <w:sz w:val="22"/>
                <w:szCs w:val="22"/>
              </w:rPr>
              <w:t>, probable</w:t>
            </w:r>
            <w:r w:rsidR="00344480" w:rsidRPr="005B5418">
              <w:rPr>
                <w:sz w:val="22"/>
                <w:szCs w:val="22"/>
              </w:rPr>
              <w:t xml:space="preserve"> </w:t>
            </w:r>
            <w:r w:rsidRPr="005B5418">
              <w:rPr>
                <w:sz w:val="22"/>
                <w:szCs w:val="22"/>
              </w:rPr>
              <w:t>legal and other contingent liabilities,</w:t>
            </w:r>
            <w:r w:rsidRPr="005B5418">
              <w:rPr>
                <w:rStyle w:val="FootnoteReference"/>
                <w:sz w:val="22"/>
                <w:szCs w:val="22"/>
              </w:rPr>
              <w:footnoteReference w:id="195"/>
            </w:r>
            <w:r w:rsidRPr="005B5418">
              <w:rPr>
                <w:sz w:val="22"/>
                <w:szCs w:val="22"/>
              </w:rPr>
              <w:t xml:space="preserve"> accrued</w:t>
            </w:r>
            <w:r w:rsidRPr="005B5418">
              <w:rPr>
                <w:spacing w:val="-2"/>
                <w:sz w:val="22"/>
                <w:szCs w:val="22"/>
              </w:rPr>
              <w:t xml:space="preserve"> </w:t>
            </w:r>
            <w:r w:rsidRPr="005B5418">
              <w:rPr>
                <w:sz w:val="22"/>
                <w:szCs w:val="22"/>
              </w:rPr>
              <w:t>liabilities</w:t>
            </w:r>
            <w:r w:rsidRPr="005B5418">
              <w:rPr>
                <w:spacing w:val="-3"/>
                <w:sz w:val="22"/>
                <w:szCs w:val="22"/>
              </w:rPr>
              <w:t xml:space="preserve"> </w:t>
            </w:r>
            <w:r w:rsidRPr="005B5418">
              <w:rPr>
                <w:sz w:val="22"/>
                <w:szCs w:val="22"/>
              </w:rPr>
              <w:t>related to</w:t>
            </w:r>
            <w:r w:rsidRPr="005B5418">
              <w:rPr>
                <w:spacing w:val="1"/>
                <w:sz w:val="22"/>
                <w:szCs w:val="22"/>
              </w:rPr>
              <w:t xml:space="preserve"> </w:t>
            </w:r>
            <w:r w:rsidRPr="005B5418">
              <w:rPr>
                <w:sz w:val="22"/>
                <w:szCs w:val="22"/>
              </w:rPr>
              <w:t>ongoing</w:t>
            </w:r>
            <w:r w:rsidRPr="005B5418">
              <w:rPr>
                <w:spacing w:val="-6"/>
                <w:sz w:val="22"/>
                <w:szCs w:val="22"/>
              </w:rPr>
              <w:t xml:space="preserve"> </w:t>
            </w:r>
            <w:r w:rsidRPr="005B5418">
              <w:rPr>
                <w:spacing w:val="-2"/>
                <w:sz w:val="22"/>
                <w:szCs w:val="22"/>
              </w:rPr>
              <w:t>continuous</w:t>
            </w:r>
            <w:r w:rsidRPr="005B5418">
              <w:rPr>
                <w:sz w:val="22"/>
                <w:szCs w:val="22"/>
              </w:rPr>
              <w:t xml:space="preserve"> expenses,</w:t>
            </w:r>
            <w:r w:rsidRPr="005B5418">
              <w:rPr>
                <w:spacing w:val="1"/>
                <w:sz w:val="22"/>
                <w:szCs w:val="22"/>
              </w:rPr>
              <w:t xml:space="preserve"> non-fiduciary deposit funds, undeposited collections, and the allocation of special drawing rights made by the International Monetary Fund</w:t>
            </w:r>
            <w:r w:rsidRPr="005B5418">
              <w:rPr>
                <w:spacing w:val="-2"/>
                <w:sz w:val="22"/>
                <w:szCs w:val="22"/>
              </w:rPr>
              <w:t xml:space="preserve">. </w:t>
            </w:r>
          </w:p>
          <w:p w14:paraId="5FA41FF0" w14:textId="0F837C9F" w:rsidR="00752BD8" w:rsidRPr="005B5418" w:rsidRDefault="006E28C4" w:rsidP="00BE7026">
            <w:pPr>
              <w:pStyle w:val="Table-Note"/>
              <w:spacing w:line="240" w:lineRule="auto"/>
              <w:ind w:left="-21"/>
              <w:jc w:val="left"/>
              <w:rPr>
                <w:rFonts w:cs="Arial"/>
                <w:i w:val="0"/>
                <w:sz w:val="22"/>
                <w:szCs w:val="22"/>
              </w:rPr>
            </w:pPr>
            <w:r w:rsidRPr="005B5418">
              <w:rPr>
                <w:rFonts w:eastAsia="Arial Unicode MS" w:cs="Arial"/>
                <w:i w:val="0"/>
                <w:sz w:val="22"/>
                <w:szCs w:val="22"/>
              </w:rPr>
              <w:t xml:space="preserve">Claims and other contingencies include (1) indemnity agreements, (2) claims against the </w:t>
            </w:r>
            <w:r w:rsidR="00D04998" w:rsidRPr="005B5418">
              <w:rPr>
                <w:rFonts w:eastAsia="Arial Unicode MS" w:cs="Arial"/>
                <w:i w:val="0"/>
                <w:sz w:val="22"/>
                <w:szCs w:val="22"/>
              </w:rPr>
              <w:t>f</w:t>
            </w:r>
            <w:r w:rsidRPr="005B5418">
              <w:rPr>
                <w:rFonts w:eastAsia="Arial Unicode MS" w:cs="Arial"/>
                <w:i w:val="0"/>
                <w:sz w:val="22"/>
                <w:szCs w:val="22"/>
              </w:rPr>
              <w:t>ederal government in the process of judicial proceedings, (3) the unfunded portion of total liabilities to international organizations, (4) litigation addressing claims for equity relief or non-monetary judgments, and (5) other claims that may derive from treaties or international agreements. (SFFAS 1, par</w:t>
            </w:r>
            <w:r w:rsidR="008203F6" w:rsidRPr="005B5418">
              <w:rPr>
                <w:rFonts w:eastAsia="Arial Unicode MS" w:cs="Arial"/>
                <w:i w:val="0"/>
                <w:sz w:val="22"/>
                <w:szCs w:val="22"/>
              </w:rPr>
              <w:t>as</w:t>
            </w:r>
            <w:r w:rsidRPr="005B5418">
              <w:rPr>
                <w:rFonts w:eastAsia="Arial Unicode MS" w:cs="Arial"/>
                <w:i w:val="0"/>
                <w:sz w:val="22"/>
                <w:szCs w:val="22"/>
              </w:rPr>
              <w:t>. 83</w:t>
            </w:r>
            <w:r w:rsidR="008203F6" w:rsidRPr="005B5418">
              <w:rPr>
                <w:rFonts w:eastAsia="Arial Unicode MS" w:cs="Arial"/>
                <w:i w:val="0"/>
                <w:sz w:val="22"/>
                <w:szCs w:val="22"/>
              </w:rPr>
              <w:t>–</w:t>
            </w:r>
            <w:r w:rsidRPr="005B5418">
              <w:rPr>
                <w:rFonts w:eastAsia="Arial Unicode MS" w:cs="Arial"/>
                <w:i w:val="0"/>
                <w:sz w:val="22"/>
                <w:szCs w:val="22"/>
              </w:rPr>
              <w:t>85; A-136, section II.3.2.4)</w:t>
            </w:r>
          </w:p>
          <w:p w14:paraId="366A10A8" w14:textId="506A459D" w:rsidR="009118E5" w:rsidRPr="005B5418" w:rsidRDefault="009118E5" w:rsidP="00BE7026">
            <w:pPr>
              <w:pStyle w:val="Table-Note"/>
              <w:spacing w:line="240" w:lineRule="auto"/>
              <w:ind w:left="-21"/>
              <w:jc w:val="left"/>
              <w:rPr>
                <w:rFonts w:cs="Arial"/>
                <w:i w:val="0"/>
                <w:sz w:val="22"/>
                <w:szCs w:val="22"/>
              </w:rPr>
            </w:pPr>
            <w:r w:rsidRPr="005B5418">
              <w:rPr>
                <w:rFonts w:cs="Arial"/>
                <w:i w:val="0"/>
                <w:sz w:val="22"/>
                <w:szCs w:val="22"/>
              </w:rPr>
              <w:t xml:space="preserve">Separate reporting of items normally characterized as “Other Liabilities” is appropriate if the amounts are significant to the </w:t>
            </w:r>
            <w:r w:rsidR="001B5C17" w:rsidRPr="005B5418">
              <w:rPr>
                <w:rFonts w:cs="Arial"/>
                <w:i w:val="0"/>
                <w:sz w:val="22"/>
                <w:szCs w:val="22"/>
              </w:rPr>
              <w:t>balance sheet</w:t>
            </w:r>
            <w:r w:rsidRPr="005B5418">
              <w:rPr>
                <w:rFonts w:cs="Arial"/>
                <w:i w:val="0"/>
                <w:sz w:val="22"/>
                <w:szCs w:val="22"/>
              </w:rPr>
              <w:t>. Entities separately disclose the amount of other current liabilities. (SFFAS 1, par</w:t>
            </w:r>
            <w:r w:rsidR="00C44F1D" w:rsidRPr="005B5418">
              <w:rPr>
                <w:rFonts w:cs="Arial"/>
                <w:i w:val="0"/>
                <w:sz w:val="22"/>
                <w:szCs w:val="22"/>
              </w:rPr>
              <w:t>as</w:t>
            </w:r>
            <w:r w:rsidRPr="005B5418">
              <w:rPr>
                <w:rFonts w:cs="Arial"/>
                <w:i w:val="0"/>
                <w:sz w:val="22"/>
                <w:szCs w:val="22"/>
              </w:rPr>
              <w:t>. 83</w:t>
            </w:r>
            <w:r w:rsidR="00C44F1D" w:rsidRPr="005B5418">
              <w:rPr>
                <w:rFonts w:cs="Arial"/>
                <w:i w:val="0"/>
                <w:sz w:val="22"/>
                <w:szCs w:val="22"/>
              </w:rPr>
              <w:t>–</w:t>
            </w:r>
            <w:r w:rsidRPr="005B5418">
              <w:rPr>
                <w:rFonts w:cs="Arial"/>
                <w:i w:val="0"/>
                <w:sz w:val="22"/>
                <w:szCs w:val="22"/>
              </w:rPr>
              <w:t>86; A-136, section II.3.2.4)</w:t>
            </w:r>
          </w:p>
        </w:tc>
      </w:tr>
      <w:tr w:rsidR="00BB19D7" w:rsidRPr="005B5418" w14:paraId="4E0DE0B2" w14:textId="77777777" w:rsidTr="00052522">
        <w:trPr>
          <w:cantSplit/>
          <w:trHeight w:val="1007"/>
        </w:trPr>
        <w:tc>
          <w:tcPr>
            <w:tcW w:w="5405" w:type="dxa"/>
          </w:tcPr>
          <w:p w14:paraId="11BFD44B" w14:textId="0FCB0414" w:rsidR="00BB19D7" w:rsidRPr="005B5418" w:rsidRDefault="005F3CC0" w:rsidP="00825C76">
            <w:pPr>
              <w:pStyle w:val="FAM-Table-outline"/>
              <w:widowControl/>
              <w:numPr>
                <w:ilvl w:val="0"/>
                <w:numId w:val="61"/>
              </w:numPr>
              <w:adjustRightInd/>
              <w:spacing w:line="240" w:lineRule="auto"/>
              <w:textAlignment w:val="auto"/>
              <w:rPr>
                <w:rFonts w:eastAsia="Arial Unicode MS" w:cs="Arial"/>
                <w:szCs w:val="22"/>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947ED2" w:rsidRPr="005B5418">
              <w:rPr>
                <w:rFonts w:eastAsia="Arial Unicode MS" w:cs="Arial"/>
                <w:szCs w:val="22"/>
              </w:rPr>
              <w:t>.</w:t>
            </w:r>
            <w:r w:rsidRPr="005B5418">
              <w:rPr>
                <w:rFonts w:eastAsia="Arial Unicode MS" w:cs="Arial"/>
                <w:szCs w:val="22"/>
              </w:rPr>
              <w:t>)</w:t>
            </w:r>
          </w:p>
        </w:tc>
        <w:tc>
          <w:tcPr>
            <w:tcW w:w="965" w:type="dxa"/>
          </w:tcPr>
          <w:p w14:paraId="073FFE9E" w14:textId="77777777" w:rsidR="00BB19D7" w:rsidRPr="005B5418" w:rsidRDefault="00BB19D7" w:rsidP="003B61E9">
            <w:pPr>
              <w:pStyle w:val="Table-Cell-CenterBoldBefore6ptAfter6pt"/>
              <w:rPr>
                <w:rFonts w:cs="Arial"/>
              </w:rPr>
            </w:pPr>
          </w:p>
        </w:tc>
        <w:tc>
          <w:tcPr>
            <w:tcW w:w="3211" w:type="dxa"/>
          </w:tcPr>
          <w:p w14:paraId="3D179DCF" w14:textId="77777777" w:rsidR="00BB19D7" w:rsidRPr="005B5418" w:rsidRDefault="00BB19D7" w:rsidP="003B61E9">
            <w:pPr>
              <w:spacing w:line="240" w:lineRule="auto"/>
              <w:rPr>
                <w:rFonts w:cs="Arial"/>
              </w:rPr>
            </w:pPr>
          </w:p>
        </w:tc>
      </w:tr>
      <w:tr w:rsidR="00BB19D7" w:rsidRPr="005B5418" w14:paraId="7D909570" w14:textId="77777777" w:rsidTr="00052522">
        <w:trPr>
          <w:cantSplit/>
          <w:trHeight w:val="323"/>
        </w:trPr>
        <w:tc>
          <w:tcPr>
            <w:tcW w:w="9581" w:type="dxa"/>
            <w:gridSpan w:val="3"/>
          </w:tcPr>
          <w:p w14:paraId="0571E5FC" w14:textId="77777777" w:rsidR="00BB19D7" w:rsidRPr="005B5418" w:rsidRDefault="00BB19D7" w:rsidP="008848DA">
            <w:pPr>
              <w:spacing w:before="60" w:after="60" w:line="240" w:lineRule="auto"/>
              <w:rPr>
                <w:rFonts w:ascii="Arial" w:hAnsi="Arial" w:cs="Arial"/>
                <w:b/>
              </w:rPr>
            </w:pPr>
            <w:r w:rsidRPr="005B5418">
              <w:rPr>
                <w:rFonts w:ascii="Arial" w:hAnsi="Arial" w:cs="Arial"/>
                <w:b/>
              </w:rPr>
              <w:t>Accounting</w:t>
            </w:r>
          </w:p>
        </w:tc>
      </w:tr>
      <w:tr w:rsidR="006E28C4" w:rsidRPr="005B5418" w14:paraId="5B8415DE" w14:textId="77777777" w:rsidTr="00052522">
        <w:trPr>
          <w:cantSplit/>
          <w:trHeight w:val="1007"/>
        </w:trPr>
        <w:tc>
          <w:tcPr>
            <w:tcW w:w="5405" w:type="dxa"/>
          </w:tcPr>
          <w:p w14:paraId="2EC1DFED" w14:textId="49B4D995" w:rsidR="006E28C4" w:rsidRPr="005B5418" w:rsidRDefault="006E28C4" w:rsidP="00825C76">
            <w:pPr>
              <w:pStyle w:val="FAM-Table-outline"/>
              <w:widowControl/>
              <w:numPr>
                <w:ilvl w:val="0"/>
                <w:numId w:val="61"/>
              </w:numPr>
              <w:adjustRightInd/>
              <w:spacing w:line="240" w:lineRule="auto"/>
              <w:textAlignment w:val="auto"/>
              <w:rPr>
                <w:rFonts w:eastAsia="Arial Unicode MS" w:cs="Arial"/>
                <w:szCs w:val="22"/>
              </w:rPr>
            </w:pPr>
            <w:r w:rsidRPr="005B5418">
              <w:rPr>
                <w:rFonts w:eastAsia="Arial Unicode MS" w:cs="Arial"/>
                <w:szCs w:val="22"/>
              </w:rPr>
              <w:t>Does the agency record “unearned revenue” as a liability if it receives advances or progress payments prior to incurring costs from providing goods and services</w:t>
            </w:r>
            <w:r w:rsidR="00D04998" w:rsidRPr="005B5418">
              <w:rPr>
                <w:rFonts w:eastAsia="Arial Unicode MS" w:cs="Arial"/>
                <w:szCs w:val="22"/>
              </w:rPr>
              <w:t>?</w:t>
            </w:r>
            <w:r w:rsidRPr="005B5418">
              <w:rPr>
                <w:rFonts w:eastAsia="Arial Unicode MS" w:cs="Arial"/>
                <w:szCs w:val="22"/>
              </w:rPr>
              <w:t xml:space="preserve"> “Unearned revenue” should also be recorded if an agency request</w:t>
            </w:r>
            <w:r w:rsidR="00D04998" w:rsidRPr="005B5418">
              <w:rPr>
                <w:rFonts w:eastAsia="Arial Unicode MS" w:cs="Arial"/>
                <w:szCs w:val="22"/>
              </w:rPr>
              <w:t>s</w:t>
            </w:r>
            <w:r w:rsidRPr="005B5418">
              <w:rPr>
                <w:rFonts w:eastAsia="Arial Unicode MS" w:cs="Arial"/>
                <w:szCs w:val="22"/>
              </w:rPr>
              <w:t xml:space="preserve"> advances or progress payments prior to the receipt of cash and records the amount</w:t>
            </w:r>
            <w:r w:rsidR="00D04998" w:rsidRPr="005B5418">
              <w:rPr>
                <w:rFonts w:eastAsia="Arial Unicode MS" w:cs="Arial"/>
                <w:szCs w:val="22"/>
              </w:rPr>
              <w:t>.</w:t>
            </w:r>
            <w:r w:rsidRPr="005B5418">
              <w:rPr>
                <w:rStyle w:val="FootnoteReference"/>
                <w:rFonts w:eastAsia="Arial Unicode MS" w:cs="Arial"/>
                <w:szCs w:val="22"/>
              </w:rPr>
              <w:footnoteReference w:id="196"/>
            </w:r>
            <w:r w:rsidRPr="005B5418">
              <w:rPr>
                <w:rFonts w:eastAsia="Arial Unicode MS" w:cs="Arial"/>
                <w:szCs w:val="22"/>
              </w:rPr>
              <w:t xml:space="preserve"> (SFFAS 7, par</w:t>
            </w:r>
            <w:r w:rsidR="00947ED2" w:rsidRPr="005B5418">
              <w:rPr>
                <w:rFonts w:eastAsia="Arial Unicode MS" w:cs="Arial"/>
                <w:szCs w:val="22"/>
              </w:rPr>
              <w:t>a</w:t>
            </w:r>
            <w:r w:rsidRPr="005B5418">
              <w:rPr>
                <w:rFonts w:eastAsia="Arial Unicode MS" w:cs="Arial"/>
                <w:szCs w:val="22"/>
              </w:rPr>
              <w:t xml:space="preserve">. 37) </w:t>
            </w:r>
          </w:p>
        </w:tc>
        <w:tc>
          <w:tcPr>
            <w:tcW w:w="965" w:type="dxa"/>
          </w:tcPr>
          <w:p w14:paraId="5EB852D9" w14:textId="77777777" w:rsidR="006E28C4" w:rsidRPr="005B5418" w:rsidRDefault="006E28C4" w:rsidP="003B61E9">
            <w:pPr>
              <w:pStyle w:val="Table-Cell-CenterBoldBefore6ptAfter6pt"/>
              <w:rPr>
                <w:rFonts w:cs="Arial"/>
              </w:rPr>
            </w:pPr>
          </w:p>
        </w:tc>
        <w:tc>
          <w:tcPr>
            <w:tcW w:w="3211" w:type="dxa"/>
          </w:tcPr>
          <w:p w14:paraId="604F412C" w14:textId="77777777" w:rsidR="006E28C4" w:rsidRPr="005B5418" w:rsidRDefault="006E28C4" w:rsidP="003B61E9">
            <w:pPr>
              <w:spacing w:line="240" w:lineRule="auto"/>
              <w:rPr>
                <w:rFonts w:cs="Arial"/>
              </w:rPr>
            </w:pPr>
          </w:p>
        </w:tc>
      </w:tr>
      <w:tr w:rsidR="006E28C4" w:rsidRPr="005B5418" w14:paraId="740D4283" w14:textId="77777777" w:rsidTr="00052522">
        <w:trPr>
          <w:cantSplit/>
          <w:trHeight w:val="1007"/>
        </w:trPr>
        <w:tc>
          <w:tcPr>
            <w:tcW w:w="5405" w:type="dxa"/>
          </w:tcPr>
          <w:p w14:paraId="7547BA2A" w14:textId="1F536739" w:rsidR="006E28C4" w:rsidRPr="005B5418" w:rsidRDefault="006E28C4" w:rsidP="008848DA">
            <w:pPr>
              <w:pStyle w:val="FAM-Table-outline"/>
              <w:widowControl/>
              <w:adjustRightInd/>
              <w:spacing w:line="240" w:lineRule="auto"/>
              <w:textAlignment w:val="auto"/>
              <w:rPr>
                <w:rFonts w:eastAsia="Arial Unicode MS" w:cs="Arial"/>
                <w:szCs w:val="22"/>
              </w:rPr>
            </w:pPr>
            <w:r w:rsidRPr="005B5418">
              <w:rPr>
                <w:rFonts w:eastAsia="Arial Unicode MS"/>
              </w:rPr>
              <w:lastRenderedPageBreak/>
              <w:t>Are amounts payable for refunds, refund offsets,</w:t>
            </w:r>
            <w:r w:rsidRPr="005B5418">
              <w:rPr>
                <w:rStyle w:val="FootnoteReference"/>
                <w:rFonts w:eastAsia="Arial Unicode MS"/>
              </w:rPr>
              <w:footnoteReference w:id="197"/>
            </w:r>
            <w:r w:rsidRPr="005B5418">
              <w:rPr>
                <w:rFonts w:eastAsia="Arial Unicode MS"/>
              </w:rPr>
              <w:t xml:space="preserve"> and drawbacks</w:t>
            </w:r>
            <w:r w:rsidRPr="005B5418">
              <w:rPr>
                <w:rStyle w:val="FootnoteReference"/>
                <w:rFonts w:eastAsia="Arial Unicode MS"/>
              </w:rPr>
              <w:footnoteReference w:id="198"/>
            </w:r>
            <w:r w:rsidRPr="005B5418">
              <w:rPr>
                <w:rFonts w:eastAsia="Arial Unicode MS"/>
              </w:rPr>
              <w:t xml:space="preserve"> recognized as liabilities when measurable and legally payable under established processes of the collecting entity? (SFFAS 7, par</w:t>
            </w:r>
            <w:r w:rsidR="00947ED2" w:rsidRPr="005B5418">
              <w:rPr>
                <w:rFonts w:eastAsia="Arial Unicode MS"/>
              </w:rPr>
              <w:t>a</w:t>
            </w:r>
            <w:r w:rsidRPr="005B5418">
              <w:rPr>
                <w:rFonts w:eastAsia="Arial Unicode MS"/>
              </w:rPr>
              <w:t>. 57)</w:t>
            </w:r>
          </w:p>
        </w:tc>
        <w:tc>
          <w:tcPr>
            <w:tcW w:w="965" w:type="dxa"/>
          </w:tcPr>
          <w:p w14:paraId="5BBDD943" w14:textId="77777777" w:rsidR="006E28C4" w:rsidRPr="005B5418" w:rsidRDefault="006E28C4" w:rsidP="003B61E9">
            <w:pPr>
              <w:pStyle w:val="Table-Cell-CenterBoldBefore6ptAfter6pt"/>
              <w:rPr>
                <w:rFonts w:cs="Arial"/>
              </w:rPr>
            </w:pPr>
          </w:p>
        </w:tc>
        <w:tc>
          <w:tcPr>
            <w:tcW w:w="3211" w:type="dxa"/>
          </w:tcPr>
          <w:p w14:paraId="1D44D0DC" w14:textId="77777777" w:rsidR="006E28C4" w:rsidRPr="005B5418" w:rsidRDefault="006E28C4" w:rsidP="003B61E9">
            <w:pPr>
              <w:spacing w:line="240" w:lineRule="auto"/>
              <w:rPr>
                <w:rFonts w:cs="Arial"/>
              </w:rPr>
            </w:pPr>
          </w:p>
        </w:tc>
      </w:tr>
      <w:tr w:rsidR="006E28C4" w:rsidRPr="005B5418" w14:paraId="45BE2CEB" w14:textId="77777777" w:rsidTr="00052522">
        <w:trPr>
          <w:cantSplit/>
          <w:trHeight w:val="1007"/>
        </w:trPr>
        <w:tc>
          <w:tcPr>
            <w:tcW w:w="5405" w:type="dxa"/>
            <w:vAlign w:val="center"/>
          </w:tcPr>
          <w:p w14:paraId="3BBD9D71" w14:textId="720F805D" w:rsidR="006E28C4" w:rsidRPr="005B5418" w:rsidRDefault="006E28C4" w:rsidP="008848DA">
            <w:pPr>
              <w:pStyle w:val="FAM-Table-outline"/>
              <w:widowControl/>
              <w:adjustRightInd/>
              <w:spacing w:line="240" w:lineRule="auto"/>
              <w:textAlignment w:val="auto"/>
              <w:rPr>
                <w:rFonts w:eastAsia="Arial Unicode MS" w:cs="Arial"/>
                <w:szCs w:val="22"/>
              </w:rPr>
            </w:pPr>
            <w:r w:rsidRPr="005B5418">
              <w:rPr>
                <w:rFonts w:eastAsia="Arial Unicode MS"/>
              </w:rPr>
              <w:t>Do amounts payable for refunds include refund claims filed by the taxpayer when the government has determined the amount refundable and identified the payee? (SFFAS 7, par</w:t>
            </w:r>
            <w:r w:rsidR="00B06D92" w:rsidRPr="005B5418">
              <w:rPr>
                <w:rFonts w:eastAsia="Arial Unicode MS"/>
              </w:rPr>
              <w:t>a</w:t>
            </w:r>
            <w:r w:rsidRPr="005B5418">
              <w:rPr>
                <w:rFonts w:eastAsia="Arial Unicode MS"/>
              </w:rPr>
              <w:t>. 57)</w:t>
            </w:r>
          </w:p>
        </w:tc>
        <w:tc>
          <w:tcPr>
            <w:tcW w:w="965" w:type="dxa"/>
          </w:tcPr>
          <w:p w14:paraId="744DC9A5" w14:textId="77777777" w:rsidR="006E28C4" w:rsidRPr="005B5418" w:rsidRDefault="006E28C4" w:rsidP="003B61E9">
            <w:pPr>
              <w:pStyle w:val="Table-Cell-CenterBoldBefore6ptAfter6pt"/>
              <w:rPr>
                <w:rFonts w:cs="Arial"/>
              </w:rPr>
            </w:pPr>
          </w:p>
        </w:tc>
        <w:tc>
          <w:tcPr>
            <w:tcW w:w="3211" w:type="dxa"/>
          </w:tcPr>
          <w:p w14:paraId="673DB7B9" w14:textId="77777777" w:rsidR="006E28C4" w:rsidRPr="005B5418" w:rsidRDefault="006E28C4" w:rsidP="003B61E9">
            <w:pPr>
              <w:spacing w:line="240" w:lineRule="auto"/>
              <w:rPr>
                <w:rFonts w:cs="Arial"/>
              </w:rPr>
            </w:pPr>
          </w:p>
        </w:tc>
      </w:tr>
      <w:tr w:rsidR="006E28C4" w:rsidRPr="005B5418" w14:paraId="1A7F3686" w14:textId="77777777" w:rsidTr="00052522">
        <w:trPr>
          <w:cantSplit/>
          <w:trHeight w:val="1007"/>
        </w:trPr>
        <w:tc>
          <w:tcPr>
            <w:tcW w:w="5405" w:type="dxa"/>
            <w:vAlign w:val="center"/>
          </w:tcPr>
          <w:p w14:paraId="2BCDFEC0" w14:textId="72BFF514" w:rsidR="006E28C4" w:rsidRPr="005B5418" w:rsidRDefault="006E28C4" w:rsidP="008848DA">
            <w:pPr>
              <w:pStyle w:val="FAM-Table-outline"/>
              <w:widowControl/>
              <w:adjustRightInd/>
              <w:spacing w:line="240" w:lineRule="auto"/>
              <w:textAlignment w:val="auto"/>
              <w:rPr>
                <w:rFonts w:eastAsia="Arial Unicode MS" w:cs="Arial"/>
                <w:szCs w:val="22"/>
              </w:rPr>
            </w:pPr>
            <w:r w:rsidRPr="005B5418">
              <w:rPr>
                <w:rFonts w:eastAsia="Arial Unicode MS"/>
              </w:rPr>
              <w:t>Are amounts payable for refunds with respect to returns or claims filed as of the end of the reporting period included in accounts payable for refunds if they do not require specific approval before payment? (SFFAS 7, par</w:t>
            </w:r>
            <w:r w:rsidR="00B06D92" w:rsidRPr="005B5418">
              <w:rPr>
                <w:rFonts w:eastAsia="Arial Unicode MS"/>
              </w:rPr>
              <w:t>a</w:t>
            </w:r>
            <w:r w:rsidRPr="005B5418">
              <w:rPr>
                <w:rFonts w:eastAsia="Arial Unicode MS"/>
              </w:rPr>
              <w:t>. 57)</w:t>
            </w:r>
          </w:p>
        </w:tc>
        <w:tc>
          <w:tcPr>
            <w:tcW w:w="965" w:type="dxa"/>
          </w:tcPr>
          <w:p w14:paraId="18B2DB40" w14:textId="77777777" w:rsidR="006E28C4" w:rsidRPr="005B5418" w:rsidRDefault="006E28C4" w:rsidP="003B61E9">
            <w:pPr>
              <w:pStyle w:val="Table-Cell-CenterBoldBefore6ptAfter6pt"/>
              <w:rPr>
                <w:rFonts w:cs="Arial"/>
              </w:rPr>
            </w:pPr>
          </w:p>
        </w:tc>
        <w:tc>
          <w:tcPr>
            <w:tcW w:w="3211" w:type="dxa"/>
          </w:tcPr>
          <w:p w14:paraId="2091F560" w14:textId="77777777" w:rsidR="006E28C4" w:rsidRPr="005B5418" w:rsidRDefault="006E28C4" w:rsidP="003B61E9">
            <w:pPr>
              <w:spacing w:line="240" w:lineRule="auto"/>
              <w:rPr>
                <w:rFonts w:cs="Arial"/>
              </w:rPr>
            </w:pPr>
          </w:p>
        </w:tc>
      </w:tr>
      <w:tr w:rsidR="006E28C4" w:rsidRPr="005B5418" w14:paraId="32198EAE" w14:textId="77777777" w:rsidTr="00052522">
        <w:trPr>
          <w:cantSplit/>
          <w:trHeight w:val="1007"/>
        </w:trPr>
        <w:tc>
          <w:tcPr>
            <w:tcW w:w="5405" w:type="dxa"/>
            <w:vAlign w:val="center"/>
          </w:tcPr>
          <w:p w14:paraId="1D5B7392" w14:textId="449F39AB" w:rsidR="006E28C4" w:rsidRPr="005B5418" w:rsidRDefault="006E28C4" w:rsidP="008848DA">
            <w:pPr>
              <w:pStyle w:val="FAM-Table-outline"/>
              <w:widowControl/>
              <w:adjustRightInd/>
              <w:spacing w:line="240" w:lineRule="auto"/>
              <w:textAlignment w:val="auto"/>
              <w:rPr>
                <w:rFonts w:eastAsia="Arial Unicode MS" w:cs="Arial"/>
                <w:szCs w:val="22"/>
              </w:rPr>
            </w:pPr>
            <w:r w:rsidRPr="005B5418">
              <w:rPr>
                <w:rFonts w:eastAsia="Arial Unicode MS"/>
              </w:rPr>
              <w:t>For claims filed for refunds where specific administrative actions are required before payments can be made, are the amounts excluded from being recognized as a liability if the required administrative actions are not yet complete as of the close of the reporting period, even if reasonably estimable? (SFFAS 7, par</w:t>
            </w:r>
            <w:r w:rsidR="00B06D92" w:rsidRPr="005B5418">
              <w:rPr>
                <w:rFonts w:eastAsia="Arial Unicode MS"/>
              </w:rPr>
              <w:t>a</w:t>
            </w:r>
            <w:r w:rsidRPr="005B5418">
              <w:rPr>
                <w:rFonts w:eastAsia="Arial Unicode MS"/>
              </w:rPr>
              <w:t>.</w:t>
            </w:r>
            <w:r w:rsidRPr="005B5418">
              <w:rPr>
                <w:rFonts w:eastAsia="Arial Unicode MS" w:cs="Arial"/>
                <w:szCs w:val="22"/>
              </w:rPr>
              <w:t xml:space="preserve"> 58A)</w:t>
            </w:r>
          </w:p>
        </w:tc>
        <w:tc>
          <w:tcPr>
            <w:tcW w:w="965" w:type="dxa"/>
          </w:tcPr>
          <w:p w14:paraId="586D670D" w14:textId="77777777" w:rsidR="006E28C4" w:rsidRPr="005B5418" w:rsidRDefault="006E28C4" w:rsidP="003B61E9">
            <w:pPr>
              <w:pStyle w:val="Table-Cell-CenterBoldBefore6ptAfter6pt"/>
              <w:rPr>
                <w:rFonts w:cs="Arial"/>
              </w:rPr>
            </w:pPr>
          </w:p>
        </w:tc>
        <w:tc>
          <w:tcPr>
            <w:tcW w:w="3211" w:type="dxa"/>
          </w:tcPr>
          <w:p w14:paraId="781754B5" w14:textId="77777777" w:rsidR="006E28C4" w:rsidRPr="005B5418" w:rsidRDefault="006E28C4" w:rsidP="003B61E9">
            <w:pPr>
              <w:spacing w:line="240" w:lineRule="auto"/>
              <w:rPr>
                <w:rFonts w:cs="Arial"/>
              </w:rPr>
            </w:pPr>
          </w:p>
        </w:tc>
      </w:tr>
      <w:tr w:rsidR="006E28C4" w:rsidRPr="005B5418" w14:paraId="7238201F" w14:textId="77777777" w:rsidTr="00052522">
        <w:trPr>
          <w:cantSplit/>
          <w:trHeight w:val="1007"/>
        </w:trPr>
        <w:tc>
          <w:tcPr>
            <w:tcW w:w="5405" w:type="dxa"/>
            <w:vAlign w:val="center"/>
          </w:tcPr>
          <w:p w14:paraId="1983647B" w14:textId="512CB288" w:rsidR="006E28C4" w:rsidRPr="005B5418" w:rsidRDefault="006E28C4" w:rsidP="008848DA">
            <w:pPr>
              <w:pStyle w:val="FAM-Table-outline"/>
              <w:widowControl/>
              <w:adjustRightInd/>
              <w:spacing w:line="240" w:lineRule="auto"/>
              <w:textAlignment w:val="auto"/>
              <w:rPr>
                <w:rFonts w:eastAsia="Arial Unicode MS" w:cs="Arial"/>
                <w:szCs w:val="22"/>
              </w:rPr>
            </w:pPr>
            <w:r w:rsidRPr="005B5418">
              <w:rPr>
                <w:rFonts w:eastAsia="Arial Unicode MS"/>
              </w:rPr>
              <w:t>Are unasserted claims for refunds by taxpayers or importers, such as unfiled claims for refunds or drawbacks for which no claim has been filed, excluded from liabilities, even if reasonably estimable? (SFFAS 7, par</w:t>
            </w:r>
            <w:r w:rsidR="00B06D92" w:rsidRPr="005B5418">
              <w:rPr>
                <w:rFonts w:eastAsia="Arial Unicode MS"/>
              </w:rPr>
              <w:t>a</w:t>
            </w:r>
            <w:r w:rsidRPr="005B5418">
              <w:rPr>
                <w:rFonts w:eastAsia="Arial Unicode MS"/>
              </w:rPr>
              <w:t>. 58B)</w:t>
            </w:r>
          </w:p>
        </w:tc>
        <w:tc>
          <w:tcPr>
            <w:tcW w:w="965" w:type="dxa"/>
          </w:tcPr>
          <w:p w14:paraId="60B29028" w14:textId="77777777" w:rsidR="006E28C4" w:rsidRPr="005B5418" w:rsidRDefault="006E28C4" w:rsidP="003B61E9">
            <w:pPr>
              <w:pStyle w:val="Table-Cell-CenterBoldBefore6ptAfter6pt"/>
              <w:rPr>
                <w:rFonts w:cs="Arial"/>
              </w:rPr>
            </w:pPr>
          </w:p>
        </w:tc>
        <w:tc>
          <w:tcPr>
            <w:tcW w:w="3211" w:type="dxa"/>
          </w:tcPr>
          <w:p w14:paraId="3D5147B1" w14:textId="77777777" w:rsidR="006E28C4" w:rsidRPr="005B5418" w:rsidRDefault="006E28C4" w:rsidP="003B61E9">
            <w:pPr>
              <w:spacing w:line="240" w:lineRule="auto"/>
              <w:rPr>
                <w:rFonts w:cs="Arial"/>
              </w:rPr>
            </w:pPr>
          </w:p>
        </w:tc>
      </w:tr>
      <w:tr w:rsidR="006E28C4" w:rsidRPr="005B5418" w14:paraId="6FF8A19B" w14:textId="77777777" w:rsidTr="00052522">
        <w:trPr>
          <w:cantSplit/>
          <w:trHeight w:val="1655"/>
        </w:trPr>
        <w:tc>
          <w:tcPr>
            <w:tcW w:w="5405" w:type="dxa"/>
          </w:tcPr>
          <w:p w14:paraId="61502AFB" w14:textId="77777777" w:rsidR="006E28C4" w:rsidRPr="005B5418" w:rsidRDefault="006E28C4" w:rsidP="008848DA">
            <w:pPr>
              <w:pStyle w:val="FAM-Table-outline"/>
              <w:widowControl/>
              <w:adjustRightInd/>
              <w:spacing w:line="240" w:lineRule="auto"/>
              <w:textAlignment w:val="auto"/>
              <w:rPr>
                <w:rFonts w:eastAsia="Arial Unicode MS" w:cs="Arial"/>
                <w:szCs w:val="22"/>
              </w:rPr>
            </w:pPr>
            <w:r w:rsidRPr="005B5418">
              <w:rPr>
                <w:rFonts w:eastAsia="Arial Unicode MS"/>
              </w:rPr>
              <w:t>Are amounts voluntarily made as deposits, such as those made to stop the accrual of interest or those made pending settlements and judgments, separately recognized as deposit liabilities? (SFFAS 7, par</w:t>
            </w:r>
            <w:r w:rsidR="00B06D92" w:rsidRPr="005B5418">
              <w:rPr>
                <w:rFonts w:eastAsia="Arial Unicode MS"/>
              </w:rPr>
              <w:t>a</w:t>
            </w:r>
            <w:r w:rsidRPr="005B5418">
              <w:rPr>
                <w:rFonts w:eastAsia="Arial Unicode MS"/>
              </w:rPr>
              <w:t>. 59)</w:t>
            </w:r>
          </w:p>
          <w:p w14:paraId="09B23E1F" w14:textId="77777777" w:rsidR="003F45AF" w:rsidRPr="005B5418" w:rsidRDefault="003F45AF" w:rsidP="003F45AF">
            <w:pPr>
              <w:pStyle w:val="FAM-Table-outline"/>
              <w:widowControl/>
              <w:numPr>
                <w:ilvl w:val="0"/>
                <w:numId w:val="0"/>
              </w:numPr>
              <w:adjustRightInd/>
              <w:spacing w:line="240" w:lineRule="auto"/>
              <w:ind w:left="666" w:hanging="576"/>
              <w:textAlignment w:val="auto"/>
              <w:rPr>
                <w:rFonts w:eastAsia="Arial Unicode MS"/>
              </w:rPr>
            </w:pPr>
          </w:p>
          <w:p w14:paraId="5A66EE65" w14:textId="77777777" w:rsidR="003F45AF" w:rsidRPr="005B5418" w:rsidRDefault="003F45AF" w:rsidP="003F45AF">
            <w:pPr>
              <w:pStyle w:val="FAM-Table-outline"/>
              <w:widowControl/>
              <w:numPr>
                <w:ilvl w:val="0"/>
                <w:numId w:val="0"/>
              </w:numPr>
              <w:adjustRightInd/>
              <w:spacing w:line="240" w:lineRule="auto"/>
              <w:ind w:left="666" w:hanging="576"/>
              <w:textAlignment w:val="auto"/>
              <w:rPr>
                <w:rFonts w:eastAsia="Arial Unicode MS"/>
              </w:rPr>
            </w:pPr>
          </w:p>
          <w:p w14:paraId="6E3548C2" w14:textId="4A3E7DA5" w:rsidR="003F45AF" w:rsidRPr="005B5418" w:rsidRDefault="003F45AF" w:rsidP="003F45AF">
            <w:pPr>
              <w:pStyle w:val="FAM-Table-outline"/>
              <w:widowControl/>
              <w:numPr>
                <w:ilvl w:val="0"/>
                <w:numId w:val="0"/>
              </w:numPr>
              <w:adjustRightInd/>
              <w:spacing w:line="240" w:lineRule="auto"/>
              <w:ind w:left="666" w:hanging="576"/>
              <w:textAlignment w:val="auto"/>
              <w:rPr>
                <w:rFonts w:eastAsia="Arial Unicode MS" w:cs="Arial"/>
                <w:szCs w:val="22"/>
              </w:rPr>
            </w:pPr>
          </w:p>
        </w:tc>
        <w:tc>
          <w:tcPr>
            <w:tcW w:w="965" w:type="dxa"/>
          </w:tcPr>
          <w:p w14:paraId="0D35324A" w14:textId="77777777" w:rsidR="006E28C4" w:rsidRPr="005B5418" w:rsidRDefault="006E28C4" w:rsidP="003B61E9">
            <w:pPr>
              <w:pStyle w:val="Table-Cell-CenterBoldBefore6ptAfter6pt"/>
              <w:rPr>
                <w:rFonts w:cs="Arial"/>
              </w:rPr>
            </w:pPr>
          </w:p>
        </w:tc>
        <w:tc>
          <w:tcPr>
            <w:tcW w:w="3211" w:type="dxa"/>
          </w:tcPr>
          <w:p w14:paraId="4CD70571" w14:textId="77777777" w:rsidR="006E28C4" w:rsidRPr="005B5418" w:rsidRDefault="006E28C4" w:rsidP="003B61E9">
            <w:pPr>
              <w:spacing w:line="240" w:lineRule="auto"/>
              <w:rPr>
                <w:rFonts w:cs="Arial"/>
              </w:rPr>
            </w:pPr>
          </w:p>
        </w:tc>
      </w:tr>
      <w:tr w:rsidR="002820D6" w:rsidRPr="005B5418" w14:paraId="6D134FB3" w14:textId="77777777" w:rsidTr="00052522">
        <w:trPr>
          <w:cantSplit/>
          <w:trHeight w:val="368"/>
        </w:trPr>
        <w:tc>
          <w:tcPr>
            <w:tcW w:w="9581" w:type="dxa"/>
            <w:gridSpan w:val="3"/>
          </w:tcPr>
          <w:p w14:paraId="305CA42E" w14:textId="77777777" w:rsidR="002820D6" w:rsidRPr="005B5418" w:rsidRDefault="002820D6" w:rsidP="008848DA">
            <w:pPr>
              <w:spacing w:before="60" w:after="60" w:line="240" w:lineRule="auto"/>
              <w:rPr>
                <w:rFonts w:ascii="Arial" w:hAnsi="Arial" w:cs="Arial"/>
                <w:b/>
              </w:rPr>
            </w:pPr>
            <w:r w:rsidRPr="005B5418">
              <w:rPr>
                <w:rFonts w:ascii="Arial" w:hAnsi="Arial" w:cs="Arial"/>
                <w:b/>
              </w:rPr>
              <w:lastRenderedPageBreak/>
              <w:t>Disclosure</w:t>
            </w:r>
          </w:p>
        </w:tc>
      </w:tr>
      <w:tr w:rsidR="009118E5" w:rsidRPr="005B5418" w14:paraId="7FF52224" w14:textId="77777777" w:rsidTr="00052522">
        <w:trPr>
          <w:cantSplit/>
          <w:trHeight w:val="2160"/>
        </w:trPr>
        <w:tc>
          <w:tcPr>
            <w:tcW w:w="5405" w:type="dxa"/>
          </w:tcPr>
          <w:p w14:paraId="18E581D0" w14:textId="0672A1D2" w:rsidR="009118E5" w:rsidRPr="005B5418" w:rsidRDefault="009118E5" w:rsidP="00CC7F86">
            <w:pPr>
              <w:pStyle w:val="FAM-Table-outline"/>
              <w:spacing w:line="240" w:lineRule="auto"/>
            </w:pPr>
            <w:r w:rsidRPr="005B5418">
              <w:t>Does the entity disclose and/or classify the portion of other liabilities</w:t>
            </w:r>
          </w:p>
          <w:p w14:paraId="37B1BEBD" w14:textId="62C9D9AC" w:rsidR="009118E5" w:rsidRPr="005B5418" w:rsidRDefault="009118E5" w:rsidP="005425ED">
            <w:pPr>
              <w:pStyle w:val="FAM-Table-outline2"/>
              <w:spacing w:line="240" w:lineRule="auto"/>
              <w:ind w:left="1140" w:hanging="443"/>
            </w:pPr>
            <w:r w:rsidRPr="005B5418">
              <w:t>that are payable to federal entities (intragovernmental liabilities) and to non-federal entities</w:t>
            </w:r>
            <w:r w:rsidR="003B0AB6" w:rsidRPr="005B5418">
              <w:t xml:space="preserve"> (</w:t>
            </w:r>
            <w:r w:rsidR="00FC0D58" w:rsidRPr="005B5418">
              <w:t xml:space="preserve">other than </w:t>
            </w:r>
            <w:r w:rsidR="003B0AB6" w:rsidRPr="005B5418">
              <w:t>intragovernmental)</w:t>
            </w:r>
            <w:r w:rsidRPr="005B5418">
              <w:t xml:space="preserve"> and</w:t>
            </w:r>
          </w:p>
          <w:p w14:paraId="38EF18A6" w14:textId="1E582D17" w:rsidR="009118E5" w:rsidRPr="005B5418" w:rsidRDefault="009118E5" w:rsidP="005425ED">
            <w:pPr>
              <w:pStyle w:val="FAM-Table-outline2"/>
              <w:spacing w:line="240" w:lineRule="auto"/>
              <w:ind w:left="1140" w:hanging="443"/>
            </w:pPr>
            <w:r w:rsidRPr="005B5418">
              <w:t>that are current and noncurrent?</w:t>
            </w:r>
            <w:r w:rsidRPr="005B5418">
              <w:br/>
              <w:t>(SFFAS 1, par</w:t>
            </w:r>
            <w:r w:rsidR="00E3655E" w:rsidRPr="005B5418">
              <w:t>as</w:t>
            </w:r>
            <w:r w:rsidRPr="005B5418">
              <w:t>. 83</w:t>
            </w:r>
            <w:r w:rsidR="00E3655E" w:rsidRPr="005B5418">
              <w:t xml:space="preserve"> and</w:t>
            </w:r>
            <w:r w:rsidRPr="005B5418">
              <w:t xml:space="preserve"> 85; A-136, section II.3.8.</w:t>
            </w:r>
            <w:r w:rsidR="00ED5199" w:rsidRPr="005B5418">
              <w:t>18</w:t>
            </w:r>
            <w:r w:rsidRPr="005B5418">
              <w:t>)</w:t>
            </w:r>
          </w:p>
        </w:tc>
        <w:tc>
          <w:tcPr>
            <w:tcW w:w="965" w:type="dxa"/>
          </w:tcPr>
          <w:p w14:paraId="479176CA" w14:textId="77777777" w:rsidR="009118E5" w:rsidRPr="005B5418" w:rsidRDefault="009118E5" w:rsidP="003B61E9">
            <w:pPr>
              <w:pStyle w:val="Table-Cell-CenterBoldBefore6ptAfter6pt"/>
              <w:rPr>
                <w:rFonts w:cs="Arial"/>
                <w:lang w:val="pt-BR"/>
              </w:rPr>
            </w:pPr>
          </w:p>
        </w:tc>
        <w:tc>
          <w:tcPr>
            <w:tcW w:w="3211" w:type="dxa"/>
          </w:tcPr>
          <w:p w14:paraId="3286FF19" w14:textId="77777777" w:rsidR="009118E5" w:rsidRPr="005B5418" w:rsidRDefault="009118E5" w:rsidP="003B61E9">
            <w:pPr>
              <w:spacing w:line="240" w:lineRule="auto"/>
              <w:rPr>
                <w:rFonts w:cs="Arial"/>
                <w:lang w:val="pt-BR"/>
              </w:rPr>
            </w:pPr>
          </w:p>
        </w:tc>
      </w:tr>
      <w:tr w:rsidR="001D179A" w:rsidRPr="005B5418" w14:paraId="2043E00A" w14:textId="77777777" w:rsidTr="00052522">
        <w:trPr>
          <w:cantSplit/>
          <w:trHeight w:val="1079"/>
        </w:trPr>
        <w:tc>
          <w:tcPr>
            <w:tcW w:w="5405" w:type="dxa"/>
          </w:tcPr>
          <w:p w14:paraId="67ECB778" w14:textId="7336F6D3" w:rsidR="001D179A" w:rsidRPr="005B5418" w:rsidRDefault="001D179A" w:rsidP="001D179A">
            <w:pPr>
              <w:pStyle w:val="FAM-Table-outline"/>
            </w:pPr>
            <w:r w:rsidRPr="005B5418">
              <w:t xml:space="preserve">Does the entity disclose the components of other liabilities as detailed in A-136, </w:t>
            </w:r>
            <w:r w:rsidR="00D25CF0" w:rsidRPr="005B5418">
              <w:t xml:space="preserve">the Other Liabilities </w:t>
            </w:r>
            <w:r w:rsidR="00ED0A84" w:rsidRPr="005B5418">
              <w:t>note</w:t>
            </w:r>
            <w:r w:rsidRPr="005B5418">
              <w:t>, and disclose any immaterial amounts for the numbered line titles in the Balance Sheet Template? (A-136, section II.3.8.18)</w:t>
            </w:r>
          </w:p>
        </w:tc>
        <w:tc>
          <w:tcPr>
            <w:tcW w:w="965" w:type="dxa"/>
          </w:tcPr>
          <w:p w14:paraId="7F4769D4" w14:textId="77777777" w:rsidR="001D179A" w:rsidRPr="005B5418" w:rsidRDefault="001D179A" w:rsidP="003B61E9">
            <w:pPr>
              <w:pStyle w:val="Table-Cell-CenterBoldBefore6ptAfter6pt"/>
              <w:rPr>
                <w:rFonts w:cs="Arial"/>
              </w:rPr>
            </w:pPr>
          </w:p>
        </w:tc>
        <w:tc>
          <w:tcPr>
            <w:tcW w:w="3211" w:type="dxa"/>
          </w:tcPr>
          <w:p w14:paraId="71B3F827" w14:textId="77777777" w:rsidR="001D179A" w:rsidRPr="005B5418" w:rsidRDefault="001D179A" w:rsidP="003B61E9">
            <w:pPr>
              <w:spacing w:line="240" w:lineRule="auto"/>
              <w:rPr>
                <w:rFonts w:cs="Arial"/>
              </w:rPr>
            </w:pPr>
          </w:p>
        </w:tc>
      </w:tr>
      <w:tr w:rsidR="009118E5" w:rsidRPr="005B5418" w14:paraId="4A947B29" w14:textId="77777777" w:rsidTr="00052522">
        <w:trPr>
          <w:cantSplit/>
          <w:trHeight w:val="1079"/>
        </w:trPr>
        <w:tc>
          <w:tcPr>
            <w:tcW w:w="5405" w:type="dxa"/>
          </w:tcPr>
          <w:p w14:paraId="7A2BCAE4" w14:textId="034514A4" w:rsidR="009118E5" w:rsidRPr="005B5418" w:rsidRDefault="009118E5">
            <w:pPr>
              <w:pStyle w:val="FAM-Table-outline"/>
              <w:spacing w:line="240" w:lineRule="auto"/>
            </w:pPr>
            <w:r w:rsidRPr="005B5418">
              <w:t xml:space="preserve">Is other information necessary for understanding </w:t>
            </w:r>
            <w:r w:rsidR="00EA4EE9" w:rsidRPr="005B5418">
              <w:t xml:space="preserve">the nature of </w:t>
            </w:r>
            <w:r w:rsidRPr="005B5418">
              <w:t>other liabilities disclosed?</w:t>
            </w:r>
            <w:r w:rsidR="00674784" w:rsidRPr="005B5418">
              <w:t xml:space="preserve"> </w:t>
            </w:r>
            <w:r w:rsidRPr="005B5418">
              <w:t>(A-136, section II.3.8.</w:t>
            </w:r>
            <w:r w:rsidR="00ED5199" w:rsidRPr="005B5418">
              <w:t>18</w:t>
            </w:r>
            <w:r w:rsidRPr="005B5418">
              <w:t>)</w:t>
            </w:r>
          </w:p>
        </w:tc>
        <w:tc>
          <w:tcPr>
            <w:tcW w:w="965" w:type="dxa"/>
          </w:tcPr>
          <w:p w14:paraId="7D138AEE" w14:textId="77777777" w:rsidR="009118E5" w:rsidRPr="005B5418" w:rsidRDefault="009118E5" w:rsidP="003B61E9">
            <w:pPr>
              <w:pStyle w:val="Table-Cell-CenterBoldBefore6ptAfter6pt"/>
              <w:rPr>
                <w:rFonts w:cs="Arial"/>
              </w:rPr>
            </w:pPr>
          </w:p>
        </w:tc>
        <w:tc>
          <w:tcPr>
            <w:tcW w:w="3211" w:type="dxa"/>
          </w:tcPr>
          <w:p w14:paraId="71C5C145" w14:textId="77777777" w:rsidR="009118E5" w:rsidRPr="005B5418" w:rsidRDefault="009118E5" w:rsidP="003B61E9">
            <w:pPr>
              <w:spacing w:line="240" w:lineRule="auto"/>
              <w:rPr>
                <w:rFonts w:cs="Arial"/>
              </w:rPr>
            </w:pPr>
          </w:p>
        </w:tc>
      </w:tr>
      <w:tr w:rsidR="009118E5" w:rsidRPr="005B5418" w14:paraId="4688B42E" w14:textId="77777777" w:rsidTr="00052522">
        <w:trPr>
          <w:cantSplit/>
          <w:trHeight w:val="1079"/>
        </w:trPr>
        <w:tc>
          <w:tcPr>
            <w:tcW w:w="5405" w:type="dxa"/>
          </w:tcPr>
          <w:p w14:paraId="3D45C0EA" w14:textId="2F997406" w:rsidR="009118E5" w:rsidRPr="005B5418" w:rsidRDefault="009118E5" w:rsidP="00ED5199">
            <w:pPr>
              <w:pStyle w:val="FAM-Table-outline"/>
              <w:spacing w:line="240" w:lineRule="auto"/>
            </w:pPr>
            <w:r w:rsidRPr="005B5418">
              <w:t xml:space="preserve">Were legal liabilities reported in </w:t>
            </w:r>
            <w:r w:rsidR="00E57E43" w:rsidRPr="005B5418">
              <w:t xml:space="preserve">the Other Liabilities note </w:t>
            </w:r>
            <w:r w:rsidRPr="005B5418">
              <w:t>consistent with accrued probable contingencies reported in the Commitments and Contingencies note and the total probable legal matters reported on the agency management schedule? (A-136, section II.3.8.</w:t>
            </w:r>
            <w:r w:rsidR="00ED5199" w:rsidRPr="005B5418">
              <w:t>18</w:t>
            </w:r>
            <w:r w:rsidRPr="005B5418">
              <w:t>)</w:t>
            </w:r>
          </w:p>
        </w:tc>
        <w:tc>
          <w:tcPr>
            <w:tcW w:w="965" w:type="dxa"/>
          </w:tcPr>
          <w:p w14:paraId="3806B5DD" w14:textId="77777777" w:rsidR="009118E5" w:rsidRPr="005B5418" w:rsidRDefault="009118E5" w:rsidP="003B61E9">
            <w:pPr>
              <w:pStyle w:val="Table-Cell-CenterBoldBefore6ptAfter6pt"/>
              <w:rPr>
                <w:rFonts w:cs="Arial"/>
              </w:rPr>
            </w:pPr>
          </w:p>
        </w:tc>
        <w:tc>
          <w:tcPr>
            <w:tcW w:w="3211" w:type="dxa"/>
          </w:tcPr>
          <w:p w14:paraId="747BA57D" w14:textId="77777777" w:rsidR="009118E5" w:rsidRPr="005B5418" w:rsidRDefault="009118E5" w:rsidP="003B61E9">
            <w:pPr>
              <w:spacing w:line="240" w:lineRule="auto"/>
              <w:rPr>
                <w:rFonts w:cs="Arial"/>
              </w:rPr>
            </w:pPr>
          </w:p>
        </w:tc>
      </w:tr>
      <w:tr w:rsidR="00303F70" w:rsidRPr="005B5418" w14:paraId="0925133E" w14:textId="77777777" w:rsidTr="00052522">
        <w:trPr>
          <w:cantSplit/>
          <w:trHeight w:val="1079"/>
        </w:trPr>
        <w:tc>
          <w:tcPr>
            <w:tcW w:w="5405" w:type="dxa"/>
          </w:tcPr>
          <w:p w14:paraId="433159D5" w14:textId="5C878DC7" w:rsidR="00303F70" w:rsidRPr="005B5418" w:rsidRDefault="00303F70" w:rsidP="00303F70">
            <w:pPr>
              <w:pStyle w:val="FAM-Table-outline"/>
              <w:spacing w:line="240" w:lineRule="auto"/>
            </w:pPr>
            <w:r w:rsidRPr="005B5418">
              <w:rPr>
                <w:rFonts w:cs="Arial"/>
              </w:rPr>
              <w:t xml:space="preserve">Is information necessary for understanding advances from others and deferred revenue disclosed in the notes to the financial statements? </w:t>
            </w:r>
          </w:p>
        </w:tc>
        <w:tc>
          <w:tcPr>
            <w:tcW w:w="965" w:type="dxa"/>
          </w:tcPr>
          <w:p w14:paraId="57502648" w14:textId="77777777" w:rsidR="00303F70" w:rsidRPr="005B5418" w:rsidRDefault="00303F70" w:rsidP="003B61E9">
            <w:pPr>
              <w:pStyle w:val="Table-Cell-CenterBoldBefore6ptAfter6pt"/>
              <w:rPr>
                <w:rFonts w:cs="Arial"/>
              </w:rPr>
            </w:pPr>
          </w:p>
        </w:tc>
        <w:tc>
          <w:tcPr>
            <w:tcW w:w="3211" w:type="dxa"/>
          </w:tcPr>
          <w:p w14:paraId="38D97332" w14:textId="77777777" w:rsidR="00303F70" w:rsidRPr="005B5418" w:rsidRDefault="00303F70" w:rsidP="003B61E9">
            <w:pPr>
              <w:spacing w:line="240" w:lineRule="auto"/>
              <w:rPr>
                <w:rFonts w:cs="Arial"/>
              </w:rPr>
            </w:pPr>
          </w:p>
        </w:tc>
      </w:tr>
      <w:tr w:rsidR="004F1E02" w:rsidRPr="005B5418" w14:paraId="4C837851" w14:textId="77777777" w:rsidTr="00052522">
        <w:trPr>
          <w:cantSplit/>
          <w:trHeight w:val="1079"/>
        </w:trPr>
        <w:tc>
          <w:tcPr>
            <w:tcW w:w="5405" w:type="dxa"/>
          </w:tcPr>
          <w:p w14:paraId="351DC482" w14:textId="27086589" w:rsidR="004F1E02" w:rsidRPr="005B5418" w:rsidRDefault="004F1E02" w:rsidP="00303F70">
            <w:pPr>
              <w:pStyle w:val="FAM-Table-outline"/>
              <w:spacing w:line="240" w:lineRule="auto"/>
              <w:rPr>
                <w:rFonts w:cs="Arial"/>
              </w:rPr>
            </w:pPr>
            <w:r w:rsidRPr="005B5418">
              <w:rPr>
                <w:rFonts w:cs="Arial"/>
              </w:rPr>
              <w:t xml:space="preserve">Is the amount of other current liabilities (i.e., liabilities required to be paid within a year) that are not covered by budgetary resources disclosed in either the Liabilities Note </w:t>
            </w:r>
            <w:r w:rsidR="00E04AA0" w:rsidRPr="005B5418">
              <w:rPr>
                <w:rFonts w:cs="Arial"/>
              </w:rPr>
              <w:t xml:space="preserve">(see II.3.8.13 above) </w:t>
            </w:r>
            <w:r w:rsidRPr="005B5418">
              <w:rPr>
                <w:rFonts w:cs="Arial"/>
              </w:rPr>
              <w:t>or Other Liabilities Note? (</w:t>
            </w:r>
            <w:r w:rsidR="00B767F0" w:rsidRPr="00B767F0">
              <w:rPr>
                <w:rFonts w:cs="Arial"/>
              </w:rPr>
              <w:t>SFFAS 1, para. 86;</w:t>
            </w:r>
            <w:r w:rsidR="00B767F0">
              <w:rPr>
                <w:rFonts w:cs="Arial"/>
              </w:rPr>
              <w:t xml:space="preserve"> </w:t>
            </w:r>
            <w:r w:rsidRPr="005B5418">
              <w:rPr>
                <w:rFonts w:cs="Arial"/>
              </w:rPr>
              <w:t>A-136, section II.3.8.18)</w:t>
            </w:r>
          </w:p>
        </w:tc>
        <w:tc>
          <w:tcPr>
            <w:tcW w:w="965" w:type="dxa"/>
          </w:tcPr>
          <w:p w14:paraId="52086C38" w14:textId="77777777" w:rsidR="004F1E02" w:rsidRPr="005B5418" w:rsidRDefault="004F1E02" w:rsidP="003B61E9">
            <w:pPr>
              <w:pStyle w:val="Table-Cell-CenterBoldBefore6ptAfter6pt"/>
              <w:rPr>
                <w:rFonts w:cs="Arial"/>
              </w:rPr>
            </w:pPr>
          </w:p>
        </w:tc>
        <w:tc>
          <w:tcPr>
            <w:tcW w:w="3211" w:type="dxa"/>
          </w:tcPr>
          <w:p w14:paraId="282C74A4" w14:textId="77777777" w:rsidR="004F1E02" w:rsidRPr="005B5418" w:rsidRDefault="004F1E02" w:rsidP="003B61E9">
            <w:pPr>
              <w:spacing w:line="240" w:lineRule="auto"/>
              <w:rPr>
                <w:rFonts w:cs="Arial"/>
              </w:rPr>
            </w:pPr>
          </w:p>
        </w:tc>
      </w:tr>
    </w:tbl>
    <w:p w14:paraId="057527A6" w14:textId="77777777" w:rsidR="000E64FA" w:rsidRPr="005B5418" w:rsidRDefault="000E64FA" w:rsidP="003B61E9">
      <w:pPr>
        <w:spacing w:line="240" w:lineRule="auto"/>
        <w:rPr>
          <w:rFonts w:cs="Arial"/>
        </w:rPr>
      </w:pPr>
    </w:p>
    <w:p w14:paraId="7A7EC419" w14:textId="77777777" w:rsidR="000E64FA" w:rsidRPr="005B5418" w:rsidRDefault="000E64FA" w:rsidP="003B61E9">
      <w:pPr>
        <w:spacing w:line="240" w:lineRule="auto"/>
        <w:rPr>
          <w:rFonts w:cs="Arial"/>
        </w:rPr>
      </w:pPr>
      <w:r w:rsidRPr="005B5418">
        <w:rPr>
          <w:rFonts w:cs="Arial"/>
        </w:rPr>
        <w:br w:type="pag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95"/>
        <w:gridCol w:w="990"/>
        <w:gridCol w:w="3330"/>
      </w:tblGrid>
      <w:tr w:rsidR="000E64FA" w:rsidRPr="005B5418" w14:paraId="62758D03" w14:textId="77777777" w:rsidTr="00935832">
        <w:trPr>
          <w:tblHeader/>
        </w:trPr>
        <w:tc>
          <w:tcPr>
            <w:tcW w:w="5395" w:type="dxa"/>
          </w:tcPr>
          <w:p w14:paraId="6C35E725" w14:textId="1EA7FE6E" w:rsidR="000E64FA" w:rsidRPr="005B5418" w:rsidRDefault="000548BD" w:rsidP="00ED5199">
            <w:pPr>
              <w:pStyle w:val="Heading4"/>
              <w:spacing w:line="240" w:lineRule="auto"/>
              <w:jc w:val="left"/>
              <w:rPr>
                <w:b/>
                <w:u w:val="none"/>
              </w:rPr>
            </w:pPr>
            <w:bookmarkStart w:id="191" w:name="_II.3.8.18_Leases"/>
            <w:bookmarkStart w:id="192" w:name="_Ref8637960"/>
            <w:bookmarkEnd w:id="191"/>
            <w:r w:rsidRPr="005B5418">
              <w:rPr>
                <w:b/>
                <w:bCs/>
                <w:kern w:val="0"/>
                <w:u w:val="none"/>
              </w:rPr>
              <w:lastRenderedPageBreak/>
              <w:t>II</w:t>
            </w:r>
            <w:r w:rsidR="000E64FA" w:rsidRPr="005B5418">
              <w:rPr>
                <w:b/>
                <w:u w:val="none"/>
              </w:rPr>
              <w:t>.3.8.</w:t>
            </w:r>
            <w:r w:rsidR="00ED5199" w:rsidRPr="005B5418">
              <w:rPr>
                <w:b/>
                <w:u w:val="none"/>
              </w:rPr>
              <w:t xml:space="preserve">19 </w:t>
            </w:r>
            <w:r w:rsidR="000E64FA" w:rsidRPr="005B5418">
              <w:rPr>
                <w:b/>
                <w:u w:val="none"/>
              </w:rPr>
              <w:t>Leases</w:t>
            </w:r>
            <w:bookmarkEnd w:id="192"/>
          </w:p>
        </w:tc>
        <w:tc>
          <w:tcPr>
            <w:tcW w:w="990" w:type="dxa"/>
          </w:tcPr>
          <w:p w14:paraId="6AF15E37" w14:textId="77777777" w:rsidR="000E64FA" w:rsidRPr="005B5418" w:rsidRDefault="000E64FA" w:rsidP="00E40C2B">
            <w:pPr>
              <w:pStyle w:val="TableCellCenter"/>
              <w:jc w:val="left"/>
            </w:pPr>
            <w:r w:rsidRPr="005B5418">
              <w:t>Yes, No, or N/A</w:t>
            </w:r>
          </w:p>
        </w:tc>
        <w:tc>
          <w:tcPr>
            <w:tcW w:w="3330" w:type="dxa"/>
          </w:tcPr>
          <w:p w14:paraId="48B853D9" w14:textId="08173C48" w:rsidR="000E64FA" w:rsidRPr="005B5418" w:rsidRDefault="000E64FA" w:rsidP="00CA009B">
            <w:pPr>
              <w:pStyle w:val="TableCellCenter"/>
              <w:jc w:val="left"/>
            </w:pPr>
            <w:r w:rsidRPr="005B5418">
              <w:t xml:space="preserve">Explanation </w:t>
            </w:r>
            <w:r w:rsidR="00CA009B" w:rsidRPr="005B5418">
              <w:t xml:space="preserve">and </w:t>
            </w:r>
            <w:r w:rsidRPr="005B5418">
              <w:t>Reference</w:t>
            </w:r>
          </w:p>
        </w:tc>
      </w:tr>
      <w:tr w:rsidR="000355E7" w:rsidRPr="005B5418" w14:paraId="49229BD6" w14:textId="77777777" w:rsidTr="00F75FA6">
        <w:trPr>
          <w:trHeight w:val="1277"/>
        </w:trPr>
        <w:tc>
          <w:tcPr>
            <w:tcW w:w="9715" w:type="dxa"/>
            <w:gridSpan w:val="3"/>
          </w:tcPr>
          <w:p w14:paraId="6A6D3A99" w14:textId="1EEE0BCA" w:rsidR="000355E7" w:rsidRPr="005B5418" w:rsidRDefault="000355E7" w:rsidP="000355E7">
            <w:pPr>
              <w:pStyle w:val="Table-Note"/>
              <w:spacing w:before="60" w:after="60" w:line="240" w:lineRule="auto"/>
              <w:ind w:left="0"/>
              <w:jc w:val="left"/>
              <w:rPr>
                <w:rFonts w:cs="Arial"/>
                <w:i w:val="0"/>
                <w:sz w:val="22"/>
                <w:szCs w:val="22"/>
              </w:rPr>
            </w:pPr>
            <w:r w:rsidRPr="005B5418">
              <w:rPr>
                <w:rFonts w:cs="Arial"/>
                <w:i w:val="0"/>
                <w:sz w:val="22"/>
                <w:szCs w:val="22"/>
              </w:rPr>
              <w:t xml:space="preserve">A </w:t>
            </w:r>
            <w:r w:rsidRPr="005B5418">
              <w:rPr>
                <w:rFonts w:cs="Arial"/>
                <w:b/>
                <w:i w:val="0"/>
                <w:sz w:val="22"/>
                <w:szCs w:val="22"/>
              </w:rPr>
              <w:t>lease</w:t>
            </w:r>
            <w:r w:rsidRPr="005B5418">
              <w:rPr>
                <w:rFonts w:cs="Arial"/>
                <w:i w:val="0"/>
                <w:sz w:val="22"/>
                <w:szCs w:val="22"/>
              </w:rPr>
              <w:t xml:space="preserve"> is defined as a </w:t>
            </w:r>
            <w:r w:rsidRPr="005B5418">
              <w:rPr>
                <w:rFonts w:cs="Arial"/>
                <w:i w:val="0"/>
                <w:color w:val="auto"/>
                <w:sz w:val="22"/>
                <w:szCs w:val="22"/>
              </w:rPr>
              <w:t>contract or agreement whereby one entity (</w:t>
            </w:r>
            <w:r w:rsidRPr="005B5418">
              <w:rPr>
                <w:rFonts w:cs="Arial"/>
                <w:b/>
                <w:i w:val="0"/>
                <w:color w:val="auto"/>
                <w:sz w:val="22"/>
                <w:szCs w:val="22"/>
              </w:rPr>
              <w:t>lessor</w:t>
            </w:r>
            <w:r w:rsidRPr="005B5418">
              <w:rPr>
                <w:rFonts w:cs="Arial"/>
                <w:i w:val="0"/>
                <w:color w:val="auto"/>
                <w:sz w:val="22"/>
                <w:szCs w:val="22"/>
              </w:rPr>
              <w:t>) conveys the right to control the use of PP&amp;E (the underlying asset) to another entity (</w:t>
            </w:r>
            <w:r w:rsidRPr="005B5418">
              <w:rPr>
                <w:rFonts w:cs="Arial"/>
                <w:b/>
                <w:i w:val="0"/>
                <w:color w:val="auto"/>
                <w:sz w:val="22"/>
                <w:szCs w:val="22"/>
              </w:rPr>
              <w:t>lessee</w:t>
            </w:r>
            <w:r w:rsidRPr="005B5418">
              <w:rPr>
                <w:rFonts w:cs="Arial"/>
                <w:i w:val="0"/>
                <w:color w:val="auto"/>
                <w:sz w:val="22"/>
                <w:szCs w:val="22"/>
              </w:rPr>
              <w:t xml:space="preserve">) for a period of time as specified in the contract or agreement in exchange for consideration. </w:t>
            </w:r>
            <w:r w:rsidRPr="005B5418">
              <w:rPr>
                <w:rFonts w:cs="Arial"/>
                <w:i w:val="0"/>
                <w:sz w:val="22"/>
                <w:szCs w:val="22"/>
              </w:rPr>
              <w:t>(SFFAS 54, para. 2)</w:t>
            </w:r>
          </w:p>
          <w:p w14:paraId="7B6DF78A" w14:textId="05124FA9" w:rsidR="000355E7" w:rsidRPr="005B5418" w:rsidRDefault="000355E7" w:rsidP="000355E7">
            <w:pPr>
              <w:pStyle w:val="Table-Note"/>
              <w:spacing w:before="60" w:after="60" w:line="240" w:lineRule="auto"/>
              <w:ind w:left="-35"/>
              <w:jc w:val="left"/>
              <w:rPr>
                <w:rFonts w:cs="Arial"/>
                <w:i w:val="0"/>
                <w:sz w:val="22"/>
                <w:szCs w:val="22"/>
              </w:rPr>
            </w:pPr>
            <w:r w:rsidRPr="005B5418">
              <w:rPr>
                <w:rFonts w:cs="Arial"/>
                <w:i w:val="0"/>
                <w:sz w:val="22"/>
                <w:szCs w:val="22"/>
              </w:rPr>
              <w:t xml:space="preserve">The lease definition excludes </w:t>
            </w:r>
            <w:r w:rsidRPr="005B5418">
              <w:rPr>
                <w:rFonts w:cs="Arial"/>
                <w:b/>
                <w:bCs/>
                <w:i w:val="0"/>
                <w:sz w:val="22"/>
                <w:szCs w:val="22"/>
              </w:rPr>
              <w:t xml:space="preserve">contracts or agreements </w:t>
            </w:r>
            <w:r w:rsidR="00FB5083" w:rsidRPr="005B5418">
              <w:rPr>
                <w:rFonts w:cs="Arial"/>
                <w:b/>
                <w:bCs/>
                <w:i w:val="0"/>
                <w:sz w:val="22"/>
                <w:szCs w:val="22"/>
              </w:rPr>
              <w:t>that transfer ownership</w:t>
            </w:r>
            <w:r w:rsidR="00FB5083" w:rsidRPr="005B5418">
              <w:rPr>
                <w:rFonts w:cs="Arial"/>
                <w:i w:val="0"/>
                <w:sz w:val="22"/>
                <w:szCs w:val="22"/>
              </w:rPr>
              <w:t xml:space="preserve">. (SFFAS 54, para. 25) In addition, the lease definition excludes contracts or agreements </w:t>
            </w:r>
            <w:r w:rsidRPr="005B5418">
              <w:rPr>
                <w:rFonts w:cs="Arial"/>
                <w:i w:val="0"/>
                <w:sz w:val="22"/>
                <w:szCs w:val="22"/>
              </w:rPr>
              <w:t xml:space="preserve">for services, except those contracts or agreements that contain </w:t>
            </w:r>
            <w:r w:rsidRPr="005B5418">
              <w:rPr>
                <w:rFonts w:cs="Arial"/>
                <w:i w:val="0"/>
                <w:color w:val="auto"/>
                <w:sz w:val="22"/>
                <w:szCs w:val="22"/>
              </w:rPr>
              <w:t xml:space="preserve">both a lease component and a service component </w:t>
            </w:r>
            <w:r w:rsidRPr="005B5418">
              <w:rPr>
                <w:rFonts w:cs="Arial"/>
                <w:i w:val="0"/>
                <w:sz w:val="22"/>
                <w:szCs w:val="22"/>
              </w:rPr>
              <w:t>(</w:t>
            </w:r>
            <w:r w:rsidR="005F5238" w:rsidRPr="005B5418">
              <w:rPr>
                <w:rFonts w:cs="Arial"/>
                <w:i w:val="0"/>
                <w:sz w:val="22"/>
                <w:szCs w:val="22"/>
              </w:rPr>
              <w:t xml:space="preserve">see </w:t>
            </w:r>
            <w:r w:rsidR="00F44DF5" w:rsidRPr="005B5418">
              <w:rPr>
                <w:rFonts w:cs="Arial"/>
                <w:i w:val="0"/>
                <w:sz w:val="22"/>
                <w:szCs w:val="22"/>
              </w:rPr>
              <w:t xml:space="preserve">SFFAS 54, </w:t>
            </w:r>
            <w:r w:rsidRPr="005B5418">
              <w:rPr>
                <w:rFonts w:cs="Arial"/>
                <w:i w:val="0"/>
                <w:sz w:val="22"/>
                <w:szCs w:val="22"/>
              </w:rPr>
              <w:t>par</w:t>
            </w:r>
            <w:r w:rsidR="00F44DF5" w:rsidRPr="005B5418">
              <w:rPr>
                <w:rFonts w:cs="Arial"/>
                <w:i w:val="0"/>
                <w:sz w:val="22"/>
                <w:szCs w:val="22"/>
              </w:rPr>
              <w:t>a</w:t>
            </w:r>
            <w:r w:rsidRPr="005B5418">
              <w:rPr>
                <w:rFonts w:cs="Arial"/>
                <w:i w:val="0"/>
                <w:sz w:val="22"/>
                <w:szCs w:val="22"/>
              </w:rPr>
              <w:t>. 73). A service contract is a contract that directly engages the time and effort of a contractor whose primary purpose is to perform an identifiable task rather than to provide a tangible asset. (SFFAS 54, para. 4)</w:t>
            </w:r>
          </w:p>
          <w:p w14:paraId="44BE61EB" w14:textId="56A6D554" w:rsidR="000355E7" w:rsidRPr="005B5418" w:rsidRDefault="000355E7" w:rsidP="00DE5ABF">
            <w:pPr>
              <w:pStyle w:val="Table-Note"/>
              <w:spacing w:before="60" w:after="60" w:line="240" w:lineRule="auto"/>
              <w:ind w:left="-35"/>
              <w:jc w:val="left"/>
              <w:rPr>
                <w:rFonts w:cs="Arial"/>
                <w:i w:val="0"/>
                <w:sz w:val="22"/>
                <w:szCs w:val="22"/>
              </w:rPr>
            </w:pPr>
            <w:r w:rsidRPr="005B5418">
              <w:rPr>
                <w:rFonts w:cs="Arial"/>
                <w:i w:val="0"/>
                <w:sz w:val="22"/>
                <w:szCs w:val="22"/>
              </w:rPr>
              <w:t xml:space="preserve">A </w:t>
            </w:r>
            <w:r w:rsidRPr="005B5418">
              <w:rPr>
                <w:rFonts w:cs="Arial"/>
                <w:b/>
                <w:i w:val="0"/>
                <w:sz w:val="22"/>
                <w:szCs w:val="22"/>
              </w:rPr>
              <w:t>short-term lease</w:t>
            </w:r>
            <w:r w:rsidRPr="005B5418">
              <w:rPr>
                <w:rFonts w:cs="Arial"/>
                <w:i w:val="0"/>
                <w:sz w:val="22"/>
                <w:szCs w:val="22"/>
              </w:rPr>
              <w:t xml:space="preserve"> is a non-intragovernmental lease with a lease term of 24 months or less. (SFFAS 54, para. 7)</w:t>
            </w:r>
          </w:p>
          <w:p w14:paraId="56BF46B7" w14:textId="5E1D908D" w:rsidR="000355E7" w:rsidRPr="005B5418" w:rsidRDefault="000355E7" w:rsidP="000355E7">
            <w:pPr>
              <w:autoSpaceDE w:val="0"/>
              <w:autoSpaceDN w:val="0"/>
              <w:adjustRightInd w:val="0"/>
              <w:spacing w:after="0" w:line="240" w:lineRule="auto"/>
            </w:pPr>
            <w:r w:rsidRPr="005B5418">
              <w:rPr>
                <w:rFonts w:ascii="Arial" w:hAnsi="Arial" w:cs="Arial"/>
              </w:rPr>
              <w:t xml:space="preserve">An </w:t>
            </w:r>
            <w:r w:rsidRPr="005B5418">
              <w:rPr>
                <w:rFonts w:ascii="Arial" w:hAnsi="Arial" w:cs="Arial"/>
                <w:b/>
              </w:rPr>
              <w:t>intragovernmental lease</w:t>
            </w:r>
            <w:r w:rsidRPr="005B5418">
              <w:rPr>
                <w:rFonts w:ascii="Arial" w:hAnsi="Arial" w:cs="Arial"/>
              </w:rPr>
              <w:t xml:space="preserve"> is a contract or agreement occurring within a consolidation entity or between two or more consolidation entities as defined in SFFAS 47</w:t>
            </w:r>
            <w:r w:rsidR="00892BEB" w:rsidRPr="005B5418">
              <w:rPr>
                <w:rFonts w:ascii="Arial" w:hAnsi="Arial" w:cs="Arial"/>
              </w:rPr>
              <w:t>,</w:t>
            </w:r>
            <w:r w:rsidRPr="005B5418">
              <w:rPr>
                <w:rFonts w:ascii="Arial" w:hAnsi="Arial" w:cs="Arial"/>
              </w:rPr>
              <w:t xml:space="preserve"> par</w:t>
            </w:r>
            <w:r w:rsidR="00892BEB" w:rsidRPr="005B5418">
              <w:rPr>
                <w:rFonts w:ascii="Arial" w:hAnsi="Arial" w:cs="Arial"/>
              </w:rPr>
              <w:t>a</w:t>
            </w:r>
            <w:r w:rsidR="00C76DD7" w:rsidRPr="005B5418">
              <w:rPr>
                <w:rFonts w:ascii="Arial" w:hAnsi="Arial" w:cs="Arial"/>
              </w:rPr>
              <w:t>graph</w:t>
            </w:r>
            <w:r w:rsidR="00892BEB" w:rsidRPr="005B5418">
              <w:rPr>
                <w:rFonts w:ascii="Arial" w:hAnsi="Arial" w:cs="Arial"/>
              </w:rPr>
              <w:t>s</w:t>
            </w:r>
            <w:r w:rsidRPr="005B5418">
              <w:rPr>
                <w:rFonts w:ascii="Arial" w:hAnsi="Arial" w:cs="Arial"/>
              </w:rPr>
              <w:t>. 38</w:t>
            </w:r>
            <w:r w:rsidR="00E01108">
              <w:rPr>
                <w:rFonts w:ascii="Arial" w:hAnsi="Arial" w:cs="Arial"/>
              </w:rPr>
              <w:t xml:space="preserve"> through </w:t>
            </w:r>
            <w:r w:rsidRPr="005B5418">
              <w:rPr>
                <w:rFonts w:ascii="Arial" w:hAnsi="Arial" w:cs="Arial"/>
              </w:rPr>
              <w:t xml:space="preserve">42, </w:t>
            </w:r>
            <w:r w:rsidRPr="005B5418">
              <w:rPr>
                <w:rFonts w:ascii="Arial,Italic" w:hAnsi="Arial,Italic" w:cs="Arial,Italic"/>
                <w:i/>
                <w:iCs/>
              </w:rPr>
              <w:t>Reporting Entity</w:t>
            </w:r>
            <w:r w:rsidRPr="005B5418">
              <w:rPr>
                <w:rFonts w:ascii="Arial" w:hAnsi="Arial" w:cs="Arial"/>
              </w:rPr>
              <w:t>. (SFFAS 54, para. 8)</w:t>
            </w:r>
          </w:p>
          <w:p w14:paraId="0308CC3A" w14:textId="2D47165B" w:rsidR="000355E7" w:rsidRPr="005B5418" w:rsidRDefault="000355E7" w:rsidP="000355E7">
            <w:pPr>
              <w:pStyle w:val="Table-Note"/>
              <w:spacing w:before="60" w:after="60" w:line="240" w:lineRule="auto"/>
              <w:ind w:left="0"/>
              <w:jc w:val="left"/>
              <w:rPr>
                <w:rFonts w:cs="Arial"/>
                <w:i w:val="0"/>
                <w:sz w:val="22"/>
                <w:szCs w:val="22"/>
              </w:rPr>
            </w:pPr>
            <w:r w:rsidRPr="005B5418">
              <w:rPr>
                <w:rFonts w:cs="Arial"/>
                <w:i w:val="0"/>
                <w:sz w:val="22"/>
                <w:szCs w:val="22"/>
              </w:rPr>
              <w:t xml:space="preserve">For the purposes of this checklist, </w:t>
            </w:r>
            <w:r w:rsidR="00BE531B" w:rsidRPr="005B5418">
              <w:rPr>
                <w:rFonts w:cs="Arial"/>
                <w:b/>
                <w:i w:val="0"/>
                <w:sz w:val="22"/>
                <w:szCs w:val="22"/>
              </w:rPr>
              <w:t>n</w:t>
            </w:r>
            <w:r w:rsidRPr="005B5418">
              <w:rPr>
                <w:rFonts w:cs="Arial"/>
                <w:b/>
                <w:i w:val="0"/>
                <w:sz w:val="22"/>
                <w:szCs w:val="22"/>
              </w:rPr>
              <w:t>on-federal leases</w:t>
            </w:r>
            <w:r w:rsidRPr="005B5418">
              <w:rPr>
                <w:rFonts w:cs="Arial"/>
                <w:i w:val="0"/>
                <w:sz w:val="22"/>
                <w:szCs w:val="22"/>
              </w:rPr>
              <w:t xml:space="preserve"> are leases other than </w:t>
            </w:r>
            <w:r w:rsidR="00C76DD7" w:rsidRPr="005B5418">
              <w:rPr>
                <w:rFonts w:cs="Arial"/>
                <w:i w:val="0"/>
                <w:sz w:val="22"/>
                <w:szCs w:val="22"/>
              </w:rPr>
              <w:t xml:space="preserve">(1) </w:t>
            </w:r>
            <w:r w:rsidRPr="005B5418">
              <w:rPr>
                <w:rFonts w:cs="Arial"/>
                <w:i w:val="0"/>
                <w:sz w:val="22"/>
                <w:szCs w:val="22"/>
              </w:rPr>
              <w:t xml:space="preserve">short-term leases, </w:t>
            </w:r>
            <w:r w:rsidR="00BE531B" w:rsidRPr="005B5418">
              <w:rPr>
                <w:rFonts w:cs="Arial"/>
                <w:i w:val="0"/>
                <w:sz w:val="22"/>
                <w:szCs w:val="22"/>
              </w:rPr>
              <w:t xml:space="preserve">(2) </w:t>
            </w:r>
            <w:r w:rsidRPr="005B5418">
              <w:rPr>
                <w:rFonts w:cs="Arial"/>
                <w:i w:val="0"/>
                <w:sz w:val="22"/>
                <w:szCs w:val="22"/>
              </w:rPr>
              <w:t>contracts</w:t>
            </w:r>
            <w:r w:rsidR="00C76DD7" w:rsidRPr="005B5418">
              <w:rPr>
                <w:rFonts w:cs="Arial"/>
                <w:i w:val="0"/>
                <w:sz w:val="22"/>
                <w:szCs w:val="22"/>
              </w:rPr>
              <w:t>,</w:t>
            </w:r>
            <w:r w:rsidRPr="005B5418">
              <w:rPr>
                <w:rFonts w:cs="Arial"/>
                <w:i w:val="0"/>
                <w:sz w:val="22"/>
                <w:szCs w:val="22"/>
              </w:rPr>
              <w:t xml:space="preserve"> or agreements that transfer ownership, and </w:t>
            </w:r>
            <w:r w:rsidR="00C76DD7" w:rsidRPr="005B5418">
              <w:rPr>
                <w:rFonts w:cs="Arial"/>
                <w:i w:val="0"/>
                <w:sz w:val="22"/>
                <w:szCs w:val="22"/>
              </w:rPr>
              <w:t>(</w:t>
            </w:r>
            <w:r w:rsidR="00BE531B" w:rsidRPr="005B5418">
              <w:rPr>
                <w:rFonts w:cs="Arial"/>
                <w:i w:val="0"/>
                <w:sz w:val="22"/>
                <w:szCs w:val="22"/>
              </w:rPr>
              <w:t>3</w:t>
            </w:r>
            <w:r w:rsidR="00C76DD7" w:rsidRPr="005B5418">
              <w:rPr>
                <w:rFonts w:cs="Arial"/>
                <w:i w:val="0"/>
                <w:sz w:val="22"/>
                <w:szCs w:val="22"/>
              </w:rPr>
              <w:t xml:space="preserve">) </w:t>
            </w:r>
            <w:r w:rsidRPr="005B5418">
              <w:rPr>
                <w:rFonts w:cs="Arial"/>
                <w:i w:val="0"/>
                <w:sz w:val="22"/>
                <w:szCs w:val="22"/>
              </w:rPr>
              <w:t xml:space="preserve">intragovernmental leases. </w:t>
            </w:r>
          </w:p>
          <w:p w14:paraId="1BA4DFED" w14:textId="78FC48E2" w:rsidR="000355E7" w:rsidRPr="005B5418" w:rsidRDefault="000355E7" w:rsidP="000355E7">
            <w:pPr>
              <w:autoSpaceDE w:val="0"/>
              <w:autoSpaceDN w:val="0"/>
              <w:spacing w:line="240" w:lineRule="auto"/>
              <w:ind w:left="-23"/>
              <w:rPr>
                <w:rFonts w:ascii="Arial" w:eastAsia="Arial Unicode MS" w:hAnsi="Arial" w:cs="Arial"/>
              </w:rPr>
            </w:pPr>
            <w:r w:rsidRPr="005B5418">
              <w:rPr>
                <w:rFonts w:ascii="Arial" w:eastAsia="Arial Unicode MS" w:hAnsi="Arial" w:cs="Arial"/>
              </w:rPr>
              <w:t xml:space="preserve">The Leases topic is subdivided into the following </w:t>
            </w:r>
            <w:r w:rsidR="001D15EC" w:rsidRPr="005B5418">
              <w:rPr>
                <w:rFonts w:ascii="Arial" w:eastAsia="Arial Unicode MS" w:hAnsi="Arial" w:cs="Arial"/>
              </w:rPr>
              <w:t>six</w:t>
            </w:r>
            <w:r w:rsidRPr="005B5418">
              <w:rPr>
                <w:rFonts w:ascii="Arial" w:eastAsia="Arial Unicode MS" w:hAnsi="Arial" w:cs="Arial"/>
              </w:rPr>
              <w:t xml:space="preserve"> subtopics:</w:t>
            </w:r>
          </w:p>
          <w:p w14:paraId="520F6C2A" w14:textId="77777777" w:rsidR="001D15EC" w:rsidRPr="005B5418" w:rsidRDefault="001D15EC" w:rsidP="004506B5">
            <w:pPr>
              <w:pStyle w:val="ListParagraph"/>
              <w:numPr>
                <w:ilvl w:val="0"/>
                <w:numId w:val="127"/>
              </w:numPr>
              <w:autoSpaceDE w:val="0"/>
              <w:autoSpaceDN w:val="0"/>
              <w:spacing w:line="240" w:lineRule="auto"/>
              <w:jc w:val="left"/>
              <w:rPr>
                <w:rFonts w:eastAsia="Arial Unicode MS" w:cs="Arial"/>
                <w:sz w:val="22"/>
                <w:szCs w:val="22"/>
              </w:rPr>
            </w:pPr>
            <w:r w:rsidRPr="005B5418">
              <w:rPr>
                <w:rFonts w:eastAsia="Arial Unicode MS" w:cs="Arial"/>
                <w:sz w:val="22"/>
                <w:szCs w:val="22"/>
              </w:rPr>
              <w:t>Intragovernmental Leases</w:t>
            </w:r>
          </w:p>
          <w:p w14:paraId="34B567D7" w14:textId="54315A99" w:rsidR="001D15EC" w:rsidRPr="005B5418" w:rsidRDefault="001D15EC" w:rsidP="004506B5">
            <w:pPr>
              <w:pStyle w:val="ListParagraph"/>
              <w:numPr>
                <w:ilvl w:val="0"/>
                <w:numId w:val="127"/>
              </w:numPr>
              <w:autoSpaceDE w:val="0"/>
              <w:autoSpaceDN w:val="0"/>
              <w:spacing w:line="240" w:lineRule="auto"/>
              <w:jc w:val="left"/>
              <w:rPr>
                <w:rFonts w:eastAsia="Arial Unicode MS" w:cs="Arial"/>
                <w:sz w:val="22"/>
                <w:szCs w:val="22"/>
              </w:rPr>
            </w:pPr>
            <w:r w:rsidRPr="005B5418">
              <w:rPr>
                <w:rFonts w:eastAsia="Arial Unicode MS" w:cs="Arial"/>
                <w:sz w:val="22"/>
                <w:szCs w:val="22"/>
              </w:rPr>
              <w:t xml:space="preserve">Lease </w:t>
            </w:r>
            <w:r w:rsidR="0037618B" w:rsidRPr="005B5418">
              <w:rPr>
                <w:rFonts w:eastAsia="Arial Unicode MS" w:cs="Arial"/>
                <w:sz w:val="22"/>
                <w:szCs w:val="22"/>
              </w:rPr>
              <w:t>T</w:t>
            </w:r>
            <w:r w:rsidRPr="005B5418">
              <w:rPr>
                <w:rFonts w:eastAsia="Arial Unicode MS" w:cs="Arial"/>
                <w:sz w:val="22"/>
                <w:szCs w:val="22"/>
              </w:rPr>
              <w:t xml:space="preserve">erms (applies to both </w:t>
            </w:r>
            <w:r w:rsidR="0037618B" w:rsidRPr="005B5418">
              <w:rPr>
                <w:rFonts w:eastAsia="Arial Unicode MS" w:cs="Arial"/>
                <w:sz w:val="22"/>
                <w:szCs w:val="22"/>
              </w:rPr>
              <w:t>s</w:t>
            </w:r>
            <w:r w:rsidRPr="005B5418">
              <w:rPr>
                <w:rFonts w:eastAsia="Arial Unicode MS" w:cs="Arial"/>
                <w:sz w:val="22"/>
                <w:szCs w:val="22"/>
              </w:rPr>
              <w:t xml:space="preserve">hort-term and </w:t>
            </w:r>
            <w:r w:rsidR="0037618B" w:rsidRPr="005B5418">
              <w:rPr>
                <w:rFonts w:eastAsia="Arial Unicode MS" w:cs="Arial"/>
                <w:sz w:val="22"/>
                <w:szCs w:val="22"/>
              </w:rPr>
              <w:t>n</w:t>
            </w:r>
            <w:r w:rsidRPr="005B5418">
              <w:rPr>
                <w:rFonts w:eastAsia="Arial Unicode MS" w:cs="Arial"/>
                <w:sz w:val="22"/>
                <w:szCs w:val="22"/>
              </w:rPr>
              <w:t>on-</w:t>
            </w:r>
            <w:r w:rsidR="00435EEB" w:rsidRPr="005B5418">
              <w:rPr>
                <w:rFonts w:eastAsia="Arial Unicode MS" w:cs="Arial"/>
                <w:sz w:val="22"/>
                <w:szCs w:val="22"/>
              </w:rPr>
              <w:t>f</w:t>
            </w:r>
            <w:r w:rsidRPr="005B5418">
              <w:rPr>
                <w:rFonts w:eastAsia="Arial Unicode MS" w:cs="Arial"/>
                <w:sz w:val="22"/>
                <w:szCs w:val="22"/>
              </w:rPr>
              <w:t xml:space="preserve">ederal </w:t>
            </w:r>
            <w:r w:rsidR="0037618B" w:rsidRPr="005B5418">
              <w:rPr>
                <w:rFonts w:eastAsia="Arial Unicode MS" w:cs="Arial"/>
                <w:sz w:val="22"/>
                <w:szCs w:val="22"/>
              </w:rPr>
              <w:t>l</w:t>
            </w:r>
            <w:r w:rsidRPr="005B5418">
              <w:rPr>
                <w:rFonts w:eastAsia="Arial Unicode MS" w:cs="Arial"/>
                <w:sz w:val="22"/>
                <w:szCs w:val="22"/>
              </w:rPr>
              <w:t>eases)</w:t>
            </w:r>
          </w:p>
          <w:p w14:paraId="2E5D821E" w14:textId="77777777" w:rsidR="001D15EC" w:rsidRPr="005B5418" w:rsidRDefault="001D15EC" w:rsidP="004506B5">
            <w:pPr>
              <w:pStyle w:val="ListParagraph"/>
              <w:numPr>
                <w:ilvl w:val="0"/>
                <w:numId w:val="127"/>
              </w:numPr>
              <w:autoSpaceDE w:val="0"/>
              <w:autoSpaceDN w:val="0"/>
              <w:spacing w:line="240" w:lineRule="auto"/>
              <w:jc w:val="left"/>
              <w:rPr>
                <w:rFonts w:eastAsia="Arial Unicode MS" w:cs="Arial"/>
                <w:sz w:val="22"/>
                <w:szCs w:val="22"/>
              </w:rPr>
            </w:pPr>
            <w:r w:rsidRPr="005B5418">
              <w:rPr>
                <w:rFonts w:eastAsia="Arial Unicode MS" w:cs="Arial"/>
                <w:sz w:val="22"/>
                <w:szCs w:val="22"/>
              </w:rPr>
              <w:t>Short-term Leases</w:t>
            </w:r>
          </w:p>
          <w:p w14:paraId="545578A9" w14:textId="046D929A" w:rsidR="001D15EC" w:rsidRPr="005B5418" w:rsidRDefault="00D922DB" w:rsidP="004506B5">
            <w:pPr>
              <w:pStyle w:val="ListParagraph"/>
              <w:numPr>
                <w:ilvl w:val="0"/>
                <w:numId w:val="127"/>
              </w:numPr>
              <w:autoSpaceDE w:val="0"/>
              <w:autoSpaceDN w:val="0"/>
              <w:spacing w:line="240" w:lineRule="auto"/>
              <w:jc w:val="left"/>
              <w:rPr>
                <w:rFonts w:cs="Arial"/>
                <w:color w:val="auto"/>
                <w:sz w:val="22"/>
                <w:szCs w:val="22"/>
              </w:rPr>
            </w:pPr>
            <w:r w:rsidRPr="005B5418">
              <w:rPr>
                <w:rFonts w:eastAsia="Arial Unicode MS" w:cs="Arial"/>
                <w:sz w:val="22"/>
                <w:szCs w:val="22"/>
              </w:rPr>
              <w:t>Non-</w:t>
            </w:r>
            <w:r w:rsidR="00C76DD7" w:rsidRPr="005B5418">
              <w:rPr>
                <w:rFonts w:eastAsia="Arial Unicode MS" w:cs="Arial"/>
                <w:sz w:val="22"/>
                <w:szCs w:val="22"/>
              </w:rPr>
              <w:t>f</w:t>
            </w:r>
            <w:r w:rsidRPr="005B5418">
              <w:rPr>
                <w:rFonts w:eastAsia="Arial Unicode MS" w:cs="Arial"/>
                <w:sz w:val="22"/>
                <w:szCs w:val="22"/>
              </w:rPr>
              <w:t>ederal Leases</w:t>
            </w:r>
          </w:p>
          <w:p w14:paraId="6E02DB56" w14:textId="72324C61" w:rsidR="001D15EC" w:rsidRPr="005B5418" w:rsidRDefault="001D15EC" w:rsidP="004506B5">
            <w:pPr>
              <w:pStyle w:val="ListParagraph"/>
              <w:numPr>
                <w:ilvl w:val="1"/>
                <w:numId w:val="127"/>
              </w:numPr>
              <w:autoSpaceDE w:val="0"/>
              <w:autoSpaceDN w:val="0"/>
              <w:spacing w:line="240" w:lineRule="auto"/>
              <w:jc w:val="left"/>
              <w:rPr>
                <w:rFonts w:cs="Arial"/>
                <w:b/>
                <w:color w:val="auto"/>
                <w:sz w:val="22"/>
                <w:szCs w:val="22"/>
              </w:rPr>
            </w:pPr>
            <w:r w:rsidRPr="005B5418">
              <w:rPr>
                <w:rFonts w:cs="Arial"/>
                <w:bCs/>
                <w:color w:val="auto"/>
                <w:sz w:val="22"/>
                <w:szCs w:val="22"/>
              </w:rPr>
              <w:t>General</w:t>
            </w:r>
            <w:r w:rsidR="00093C42" w:rsidRPr="005B5418">
              <w:rPr>
                <w:rFonts w:cs="Arial"/>
                <w:bCs/>
                <w:color w:val="auto"/>
                <w:sz w:val="22"/>
                <w:szCs w:val="22"/>
              </w:rPr>
              <w:t xml:space="preserve"> </w:t>
            </w:r>
          </w:p>
          <w:p w14:paraId="3F29358C" w14:textId="77777777" w:rsidR="00CE1109" w:rsidRPr="005B5418" w:rsidRDefault="00CE1109" w:rsidP="004506B5">
            <w:pPr>
              <w:pStyle w:val="ListParagraph"/>
              <w:numPr>
                <w:ilvl w:val="2"/>
                <w:numId w:val="127"/>
              </w:numPr>
              <w:autoSpaceDE w:val="0"/>
              <w:autoSpaceDN w:val="0"/>
              <w:spacing w:line="240" w:lineRule="auto"/>
              <w:jc w:val="left"/>
              <w:rPr>
                <w:rFonts w:eastAsia="Arial Unicode MS" w:cs="Arial"/>
                <w:sz w:val="22"/>
                <w:szCs w:val="22"/>
              </w:rPr>
            </w:pPr>
            <w:r w:rsidRPr="005B5418">
              <w:rPr>
                <w:rFonts w:eastAsia="Arial Unicode MS" w:cs="Arial"/>
                <w:sz w:val="22"/>
                <w:szCs w:val="22"/>
              </w:rPr>
              <w:t>Lease Terminations and Modifications</w:t>
            </w:r>
          </w:p>
          <w:p w14:paraId="7EA55A50" w14:textId="6E72220E" w:rsidR="001D15EC" w:rsidRPr="005B5418" w:rsidRDefault="001D15EC" w:rsidP="004506B5">
            <w:pPr>
              <w:pStyle w:val="ListParagraph"/>
              <w:numPr>
                <w:ilvl w:val="2"/>
                <w:numId w:val="127"/>
              </w:numPr>
              <w:autoSpaceDE w:val="0"/>
              <w:autoSpaceDN w:val="0"/>
              <w:spacing w:line="240" w:lineRule="auto"/>
              <w:jc w:val="left"/>
              <w:rPr>
                <w:rFonts w:cs="Arial"/>
                <w:b/>
                <w:color w:val="auto"/>
                <w:sz w:val="22"/>
                <w:szCs w:val="22"/>
              </w:rPr>
            </w:pPr>
            <w:r w:rsidRPr="005B5418">
              <w:rPr>
                <w:rFonts w:eastAsia="Arial Unicode MS" w:cs="Arial"/>
                <w:sz w:val="22"/>
                <w:szCs w:val="22"/>
              </w:rPr>
              <w:t xml:space="preserve">Contract or Agreement </w:t>
            </w:r>
            <w:r w:rsidR="004A0581" w:rsidRPr="005B5418">
              <w:rPr>
                <w:rFonts w:eastAsia="Arial Unicode MS" w:cs="Arial"/>
                <w:sz w:val="22"/>
                <w:szCs w:val="22"/>
              </w:rPr>
              <w:t xml:space="preserve">with Multiple Components / </w:t>
            </w:r>
            <w:r w:rsidRPr="005B5418">
              <w:rPr>
                <w:rFonts w:eastAsia="Arial Unicode MS" w:cs="Arial"/>
                <w:sz w:val="22"/>
                <w:szCs w:val="22"/>
              </w:rPr>
              <w:t>Combinations</w:t>
            </w:r>
          </w:p>
          <w:p w14:paraId="53B94188" w14:textId="77777777" w:rsidR="001D15EC" w:rsidRPr="005B5418" w:rsidRDefault="001D15EC" w:rsidP="004506B5">
            <w:pPr>
              <w:pStyle w:val="ListParagraph"/>
              <w:numPr>
                <w:ilvl w:val="2"/>
                <w:numId w:val="127"/>
              </w:numPr>
              <w:autoSpaceDE w:val="0"/>
              <w:autoSpaceDN w:val="0"/>
              <w:spacing w:line="240" w:lineRule="auto"/>
              <w:jc w:val="left"/>
              <w:rPr>
                <w:rFonts w:cs="Arial"/>
                <w:b/>
                <w:color w:val="auto"/>
                <w:sz w:val="22"/>
                <w:szCs w:val="22"/>
              </w:rPr>
            </w:pPr>
            <w:r w:rsidRPr="005B5418">
              <w:rPr>
                <w:rFonts w:cs="Arial"/>
                <w:color w:val="auto"/>
                <w:sz w:val="22"/>
                <w:szCs w:val="22"/>
              </w:rPr>
              <w:t>Subleases</w:t>
            </w:r>
          </w:p>
          <w:p w14:paraId="0513F04D" w14:textId="77777777" w:rsidR="001D15EC" w:rsidRPr="005B5418" w:rsidRDefault="001D15EC" w:rsidP="004506B5">
            <w:pPr>
              <w:pStyle w:val="ListParagraph"/>
              <w:numPr>
                <w:ilvl w:val="2"/>
                <w:numId w:val="127"/>
              </w:numPr>
              <w:autoSpaceDE w:val="0"/>
              <w:autoSpaceDN w:val="0"/>
              <w:spacing w:line="240" w:lineRule="auto"/>
              <w:jc w:val="left"/>
              <w:rPr>
                <w:rFonts w:cs="Arial"/>
                <w:b/>
                <w:color w:val="auto"/>
                <w:sz w:val="22"/>
                <w:szCs w:val="22"/>
              </w:rPr>
            </w:pPr>
            <w:r w:rsidRPr="005B5418">
              <w:rPr>
                <w:rFonts w:cs="Arial"/>
                <w:color w:val="auto"/>
                <w:sz w:val="22"/>
                <w:szCs w:val="22"/>
              </w:rPr>
              <w:t>Sale-Leaseback</w:t>
            </w:r>
          </w:p>
          <w:p w14:paraId="68F6710B" w14:textId="77777777" w:rsidR="001D15EC" w:rsidRPr="005B5418" w:rsidRDefault="001D15EC" w:rsidP="004506B5">
            <w:pPr>
              <w:pStyle w:val="ListParagraph"/>
              <w:numPr>
                <w:ilvl w:val="2"/>
                <w:numId w:val="127"/>
              </w:numPr>
              <w:autoSpaceDE w:val="0"/>
              <w:autoSpaceDN w:val="0"/>
              <w:spacing w:line="240" w:lineRule="auto"/>
              <w:jc w:val="left"/>
              <w:rPr>
                <w:rFonts w:cs="Arial"/>
                <w:b/>
                <w:color w:val="auto"/>
                <w:sz w:val="22"/>
                <w:szCs w:val="22"/>
              </w:rPr>
            </w:pPr>
            <w:r w:rsidRPr="005B5418">
              <w:rPr>
                <w:rFonts w:cs="Arial"/>
                <w:color w:val="auto"/>
                <w:sz w:val="22"/>
                <w:szCs w:val="22"/>
              </w:rPr>
              <w:t>Lease-Leaseback</w:t>
            </w:r>
          </w:p>
          <w:p w14:paraId="515BA03E" w14:textId="77777777" w:rsidR="001D15EC" w:rsidRPr="005B5418" w:rsidRDefault="001D15EC" w:rsidP="004506B5">
            <w:pPr>
              <w:pStyle w:val="ListParagraph"/>
              <w:numPr>
                <w:ilvl w:val="1"/>
                <w:numId w:val="127"/>
              </w:numPr>
              <w:autoSpaceDE w:val="0"/>
              <w:autoSpaceDN w:val="0"/>
              <w:spacing w:line="240" w:lineRule="auto"/>
              <w:jc w:val="left"/>
              <w:rPr>
                <w:rFonts w:cs="Arial"/>
                <w:b/>
                <w:color w:val="auto"/>
                <w:sz w:val="22"/>
                <w:szCs w:val="22"/>
              </w:rPr>
            </w:pPr>
            <w:r w:rsidRPr="005B5418">
              <w:rPr>
                <w:rFonts w:cs="Arial"/>
                <w:bCs/>
                <w:color w:val="auto"/>
                <w:sz w:val="22"/>
                <w:szCs w:val="22"/>
              </w:rPr>
              <w:t>Lessee Treatment</w:t>
            </w:r>
          </w:p>
          <w:p w14:paraId="431F3DEB" w14:textId="77777777" w:rsidR="001D15EC" w:rsidRPr="005B5418" w:rsidRDefault="001D15EC" w:rsidP="004506B5">
            <w:pPr>
              <w:pStyle w:val="ListParagraph"/>
              <w:numPr>
                <w:ilvl w:val="1"/>
                <w:numId w:val="127"/>
              </w:numPr>
              <w:autoSpaceDE w:val="0"/>
              <w:autoSpaceDN w:val="0"/>
              <w:spacing w:line="240" w:lineRule="auto"/>
              <w:jc w:val="left"/>
              <w:rPr>
                <w:rFonts w:cs="Arial"/>
                <w:b/>
                <w:color w:val="auto"/>
                <w:sz w:val="22"/>
                <w:szCs w:val="22"/>
              </w:rPr>
            </w:pPr>
            <w:r w:rsidRPr="005B5418">
              <w:rPr>
                <w:rFonts w:cs="Arial"/>
                <w:bCs/>
                <w:color w:val="auto"/>
                <w:sz w:val="22"/>
                <w:szCs w:val="22"/>
              </w:rPr>
              <w:t>Lessor Treatment</w:t>
            </w:r>
          </w:p>
          <w:p w14:paraId="2C3647FB" w14:textId="77777777" w:rsidR="001D15EC" w:rsidRPr="005B5418" w:rsidRDefault="001D15EC" w:rsidP="004506B5">
            <w:pPr>
              <w:pStyle w:val="ListParagraph"/>
              <w:numPr>
                <w:ilvl w:val="0"/>
                <w:numId w:val="127"/>
              </w:numPr>
              <w:autoSpaceDE w:val="0"/>
              <w:autoSpaceDN w:val="0"/>
              <w:spacing w:line="240" w:lineRule="auto"/>
              <w:jc w:val="left"/>
              <w:rPr>
                <w:rFonts w:cs="Arial"/>
                <w:b/>
                <w:color w:val="auto"/>
                <w:sz w:val="22"/>
                <w:szCs w:val="22"/>
              </w:rPr>
            </w:pPr>
            <w:r w:rsidRPr="005B5418">
              <w:rPr>
                <w:rFonts w:cs="Arial"/>
                <w:color w:val="auto"/>
                <w:sz w:val="22"/>
                <w:szCs w:val="22"/>
              </w:rPr>
              <w:t>Reimbursable Work Agreements</w:t>
            </w:r>
          </w:p>
          <w:p w14:paraId="21EF3F75" w14:textId="3A0F9274" w:rsidR="0062494D" w:rsidRPr="005B5418" w:rsidRDefault="0062494D" w:rsidP="000355E7">
            <w:pPr>
              <w:pStyle w:val="Table-Note"/>
              <w:spacing w:before="60" w:after="60" w:line="240" w:lineRule="auto"/>
              <w:ind w:left="0"/>
              <w:jc w:val="left"/>
              <w:rPr>
                <w:rFonts w:cs="Arial"/>
                <w:i w:val="0"/>
                <w:iCs/>
                <w:sz w:val="22"/>
                <w:szCs w:val="22"/>
              </w:rPr>
            </w:pPr>
            <w:r w:rsidRPr="005B5418">
              <w:rPr>
                <w:rFonts w:cs="Arial"/>
                <w:i w:val="0"/>
                <w:iCs/>
                <w:sz w:val="22"/>
                <w:szCs w:val="22"/>
              </w:rPr>
              <w:t>If an entity entering into an agreement is acting in an agent capacity</w:t>
            </w:r>
            <w:r w:rsidR="00D629E1" w:rsidRPr="005B5418">
              <w:rPr>
                <w:rFonts w:cs="Arial"/>
                <w:i w:val="0"/>
                <w:iCs/>
                <w:sz w:val="22"/>
                <w:szCs w:val="22"/>
              </w:rPr>
              <w:t xml:space="preserve"> (i.e.</w:t>
            </w:r>
            <w:r w:rsidR="00C76DD7" w:rsidRPr="005B5418">
              <w:rPr>
                <w:rFonts w:cs="Arial"/>
                <w:i w:val="0"/>
                <w:iCs/>
                <w:sz w:val="22"/>
                <w:szCs w:val="22"/>
              </w:rPr>
              <w:t>,</w:t>
            </w:r>
            <w:r w:rsidR="00D629E1" w:rsidRPr="005B5418">
              <w:rPr>
                <w:rFonts w:cs="Arial"/>
                <w:i w:val="0"/>
                <w:iCs/>
                <w:sz w:val="22"/>
                <w:szCs w:val="22"/>
              </w:rPr>
              <w:t xml:space="preserve"> similar to that of a broker)</w:t>
            </w:r>
            <w:r w:rsidR="00C76DD7" w:rsidRPr="005B5418">
              <w:rPr>
                <w:rFonts w:cs="Arial"/>
                <w:i w:val="0"/>
                <w:iCs/>
                <w:sz w:val="22"/>
                <w:szCs w:val="22"/>
              </w:rPr>
              <w:t>,</w:t>
            </w:r>
            <w:r w:rsidRPr="005B5418">
              <w:rPr>
                <w:rStyle w:val="FootnoteReference"/>
                <w:rFonts w:cs="Arial"/>
                <w:i w:val="0"/>
                <w:iCs/>
                <w:sz w:val="22"/>
                <w:szCs w:val="22"/>
              </w:rPr>
              <w:t xml:space="preserve"> </w:t>
            </w:r>
            <w:r w:rsidRPr="005B5418">
              <w:rPr>
                <w:rFonts w:cs="Arial"/>
                <w:i w:val="0"/>
                <w:iCs/>
                <w:sz w:val="22"/>
                <w:szCs w:val="22"/>
              </w:rPr>
              <w:t xml:space="preserve">the entity would not account for the lease. </w:t>
            </w:r>
            <w:r w:rsidR="000D01DD" w:rsidRPr="005B5418">
              <w:rPr>
                <w:rFonts w:cs="Arial"/>
                <w:i w:val="0"/>
                <w:iCs/>
                <w:sz w:val="22"/>
                <w:szCs w:val="22"/>
              </w:rPr>
              <w:t>If an entity is acting in a principal capacity</w:t>
            </w:r>
            <w:r w:rsidR="007665E1" w:rsidRPr="005B5418">
              <w:rPr>
                <w:rFonts w:cs="Arial"/>
                <w:i w:val="0"/>
                <w:iCs/>
                <w:sz w:val="22"/>
                <w:szCs w:val="22"/>
              </w:rPr>
              <w:t xml:space="preserve"> and subleases the property</w:t>
            </w:r>
            <w:r w:rsidR="000D01DD" w:rsidRPr="005B5418">
              <w:rPr>
                <w:rFonts w:cs="Arial"/>
                <w:i w:val="0"/>
                <w:iCs/>
                <w:sz w:val="22"/>
                <w:szCs w:val="22"/>
              </w:rPr>
              <w:t xml:space="preserve">, please refer to the </w:t>
            </w:r>
            <w:r w:rsidR="000D01DD" w:rsidRPr="005B5418">
              <w:rPr>
                <w:rFonts w:cs="Arial"/>
                <w:sz w:val="22"/>
                <w:szCs w:val="22"/>
              </w:rPr>
              <w:t xml:space="preserve">Subleases </w:t>
            </w:r>
            <w:r w:rsidR="000D01DD" w:rsidRPr="005B5418">
              <w:rPr>
                <w:rFonts w:cs="Arial"/>
                <w:i w:val="0"/>
                <w:iCs/>
                <w:sz w:val="22"/>
                <w:szCs w:val="22"/>
              </w:rPr>
              <w:t xml:space="preserve">subsection below. </w:t>
            </w:r>
            <w:r w:rsidR="00550913" w:rsidRPr="005B5418">
              <w:rPr>
                <w:rFonts w:cs="Arial"/>
                <w:i w:val="0"/>
                <w:iCs/>
                <w:sz w:val="22"/>
                <w:szCs w:val="22"/>
              </w:rPr>
              <w:t>(</w:t>
            </w:r>
            <w:r w:rsidR="00C140EF" w:rsidRPr="005B5418">
              <w:rPr>
                <w:rFonts w:cs="Arial"/>
                <w:i w:val="0"/>
                <w:iCs/>
                <w:sz w:val="22"/>
                <w:szCs w:val="22"/>
              </w:rPr>
              <w:t>TR 20</w:t>
            </w:r>
            <w:r w:rsidR="00550913" w:rsidRPr="005B5418">
              <w:rPr>
                <w:rFonts w:cs="Arial"/>
                <w:i w:val="0"/>
                <w:iCs/>
                <w:sz w:val="22"/>
                <w:szCs w:val="22"/>
              </w:rPr>
              <w:t>, para. 91)</w:t>
            </w:r>
          </w:p>
          <w:p w14:paraId="47CE7BFA" w14:textId="708487A7" w:rsidR="000355E7" w:rsidRDefault="000355E7" w:rsidP="000355E7">
            <w:pPr>
              <w:pStyle w:val="Table-Note"/>
              <w:spacing w:before="60" w:after="60" w:line="240" w:lineRule="auto"/>
              <w:ind w:left="0"/>
              <w:jc w:val="left"/>
              <w:rPr>
                <w:rFonts w:cs="Arial"/>
                <w:i w:val="0"/>
                <w:iCs/>
                <w:sz w:val="22"/>
                <w:szCs w:val="22"/>
              </w:rPr>
            </w:pPr>
          </w:p>
          <w:p w14:paraId="3418D826" w14:textId="14D3E9B1" w:rsidR="002F2974" w:rsidRPr="005B5418" w:rsidRDefault="002F2974" w:rsidP="000355E7">
            <w:pPr>
              <w:pStyle w:val="Table-Note"/>
              <w:spacing w:before="60" w:after="60" w:line="240" w:lineRule="auto"/>
              <w:ind w:left="0"/>
              <w:jc w:val="left"/>
              <w:rPr>
                <w:rFonts w:cs="Arial"/>
                <w:i w:val="0"/>
                <w:sz w:val="22"/>
                <w:szCs w:val="22"/>
              </w:rPr>
            </w:pPr>
            <w:r>
              <w:rPr>
                <w:rFonts w:cs="Arial"/>
                <w:i w:val="0"/>
                <w:iCs/>
                <w:sz w:val="22"/>
                <w:szCs w:val="22"/>
              </w:rPr>
              <w:t xml:space="preserve">Entities are reminded to use </w:t>
            </w:r>
            <w:r w:rsidR="00F11E2B">
              <w:rPr>
                <w:rFonts w:cs="Arial"/>
                <w:i w:val="0"/>
                <w:iCs/>
                <w:sz w:val="22"/>
                <w:szCs w:val="22"/>
              </w:rPr>
              <w:t>the terminology</w:t>
            </w:r>
            <w:r>
              <w:rPr>
                <w:rFonts w:cs="Arial"/>
                <w:i w:val="0"/>
                <w:iCs/>
                <w:sz w:val="22"/>
                <w:szCs w:val="22"/>
              </w:rPr>
              <w:t xml:space="preserve"> </w:t>
            </w:r>
            <w:r w:rsidR="00F11E2B">
              <w:rPr>
                <w:rFonts w:cs="Arial"/>
                <w:i w:val="0"/>
                <w:iCs/>
                <w:sz w:val="22"/>
                <w:szCs w:val="22"/>
              </w:rPr>
              <w:t>in</w:t>
            </w:r>
            <w:r w:rsidR="00264D36">
              <w:rPr>
                <w:rFonts w:cs="Arial"/>
                <w:i w:val="0"/>
                <w:iCs/>
                <w:sz w:val="22"/>
                <w:szCs w:val="22"/>
              </w:rPr>
              <w:t xml:space="preserve"> the current</w:t>
            </w:r>
            <w:r w:rsidR="00BF12C0">
              <w:rPr>
                <w:rFonts w:cs="Arial"/>
                <w:i w:val="0"/>
                <w:iCs/>
                <w:sz w:val="22"/>
                <w:szCs w:val="22"/>
              </w:rPr>
              <w:t xml:space="preserve"> A-136</w:t>
            </w:r>
            <w:r w:rsidR="00264D36">
              <w:rPr>
                <w:rFonts w:cs="Arial"/>
                <w:i w:val="0"/>
                <w:iCs/>
                <w:sz w:val="22"/>
                <w:szCs w:val="22"/>
              </w:rPr>
              <w:t xml:space="preserve">. For example, A-136 uses “lease liability” </w:t>
            </w:r>
            <w:r w:rsidR="00E75E7B">
              <w:rPr>
                <w:rFonts w:cs="Arial"/>
                <w:i w:val="0"/>
                <w:iCs/>
                <w:sz w:val="22"/>
                <w:szCs w:val="22"/>
              </w:rPr>
              <w:t xml:space="preserve">and </w:t>
            </w:r>
            <w:r w:rsidR="00F11E2B">
              <w:rPr>
                <w:rFonts w:cs="Arial"/>
                <w:i w:val="0"/>
                <w:iCs/>
                <w:sz w:val="22"/>
                <w:szCs w:val="22"/>
              </w:rPr>
              <w:t>no longer uses</w:t>
            </w:r>
            <w:r w:rsidR="00E75E7B">
              <w:rPr>
                <w:rFonts w:cs="Arial"/>
                <w:i w:val="0"/>
                <w:iCs/>
                <w:sz w:val="22"/>
                <w:szCs w:val="22"/>
              </w:rPr>
              <w:t xml:space="preserve"> </w:t>
            </w:r>
            <w:r w:rsidR="00264D36">
              <w:rPr>
                <w:rFonts w:cs="Arial"/>
                <w:i w:val="0"/>
                <w:iCs/>
                <w:sz w:val="22"/>
                <w:szCs w:val="22"/>
              </w:rPr>
              <w:t xml:space="preserve">“capital lease liability.” </w:t>
            </w:r>
          </w:p>
          <w:p w14:paraId="0BC7A1BC" w14:textId="289C73BE" w:rsidR="000355E7" w:rsidRPr="005B5418" w:rsidRDefault="000355E7" w:rsidP="000355E7">
            <w:pPr>
              <w:pStyle w:val="Table-Note"/>
              <w:spacing w:before="60" w:after="60" w:line="240" w:lineRule="auto"/>
              <w:ind w:left="0"/>
              <w:jc w:val="left"/>
              <w:rPr>
                <w:rFonts w:eastAsia="Arial Unicode MS" w:cs="Arial"/>
                <w:sz w:val="22"/>
                <w:szCs w:val="22"/>
              </w:rPr>
            </w:pPr>
            <w:r w:rsidRPr="005B5418">
              <w:rPr>
                <w:rFonts w:eastAsia="Arial Unicode MS" w:cs="Arial"/>
                <w:i w:val="0"/>
                <w:sz w:val="22"/>
                <w:szCs w:val="22"/>
              </w:rPr>
              <w:t xml:space="preserve">References to SFFAS 54 </w:t>
            </w:r>
            <w:r w:rsidR="009D04F3" w:rsidRPr="005B5418">
              <w:rPr>
                <w:rFonts w:eastAsia="Arial Unicode MS" w:cs="Arial"/>
                <w:i w:val="0"/>
                <w:sz w:val="22"/>
                <w:szCs w:val="22"/>
              </w:rPr>
              <w:t xml:space="preserve">and </w:t>
            </w:r>
            <w:r w:rsidR="00C140EF" w:rsidRPr="005B5418">
              <w:rPr>
                <w:rFonts w:eastAsia="Arial Unicode MS" w:cs="Arial"/>
                <w:i w:val="0"/>
                <w:sz w:val="22"/>
                <w:szCs w:val="22"/>
              </w:rPr>
              <w:t>TR 20</w:t>
            </w:r>
            <w:r w:rsidR="009D04F3" w:rsidRPr="005B5418">
              <w:rPr>
                <w:rFonts w:eastAsia="Arial Unicode MS" w:cs="Arial"/>
                <w:i w:val="0"/>
                <w:sz w:val="22"/>
                <w:szCs w:val="22"/>
              </w:rPr>
              <w:t xml:space="preserve"> </w:t>
            </w:r>
            <w:r w:rsidRPr="005B5418">
              <w:rPr>
                <w:rFonts w:eastAsia="Arial Unicode MS" w:cs="Arial"/>
                <w:i w:val="0"/>
                <w:sz w:val="22"/>
                <w:szCs w:val="22"/>
              </w:rPr>
              <w:t>in this checklist include corresponding amendments, as applicable.</w:t>
            </w:r>
          </w:p>
          <w:p w14:paraId="04945236" w14:textId="77777777" w:rsidR="000355E7" w:rsidRPr="005B5418" w:rsidRDefault="000355E7" w:rsidP="000355E7">
            <w:pPr>
              <w:pStyle w:val="Table-Note"/>
              <w:spacing w:before="60" w:after="60" w:line="240" w:lineRule="auto"/>
              <w:ind w:left="0"/>
              <w:jc w:val="left"/>
              <w:rPr>
                <w:rFonts w:eastAsia="Arial Unicode MS" w:cs="Arial"/>
                <w:i w:val="0"/>
                <w:sz w:val="22"/>
                <w:szCs w:val="22"/>
              </w:rPr>
            </w:pPr>
          </w:p>
        </w:tc>
      </w:tr>
      <w:tr w:rsidR="00EE1B17" w:rsidRPr="005B5418" w14:paraId="6AD98D19" w14:textId="77777777" w:rsidTr="00935832">
        <w:trPr>
          <w:trHeight w:val="1142"/>
        </w:trPr>
        <w:tc>
          <w:tcPr>
            <w:tcW w:w="5395" w:type="dxa"/>
          </w:tcPr>
          <w:p w14:paraId="4FC13FC0" w14:textId="7A9DCA73" w:rsidR="000355E7" w:rsidRPr="005B5418" w:rsidRDefault="000355E7" w:rsidP="00935832">
            <w:pPr>
              <w:pStyle w:val="FAM-Table-outline"/>
              <w:widowControl/>
              <w:numPr>
                <w:ilvl w:val="0"/>
                <w:numId w:val="126"/>
              </w:numPr>
              <w:adjustRightInd/>
              <w:spacing w:line="240" w:lineRule="auto"/>
              <w:textAlignment w:val="auto"/>
            </w:pPr>
            <w:r w:rsidRPr="005B5418">
              <w:lastRenderedPageBreak/>
              <w:t xml:space="preserve">Are </w:t>
            </w:r>
            <w:r w:rsidR="0037618B" w:rsidRPr="005B5418">
              <w:t>l</w:t>
            </w:r>
            <w:r w:rsidRPr="005B5418">
              <w:t>eases applicable to the entity’s financial statements? (Answer Y if applicable, N/A if not applicable, or N/S if not significant. If N/A or N/S, skip to the next topic.)</w:t>
            </w:r>
          </w:p>
        </w:tc>
        <w:tc>
          <w:tcPr>
            <w:tcW w:w="990" w:type="dxa"/>
          </w:tcPr>
          <w:p w14:paraId="43B78EE1" w14:textId="77777777" w:rsidR="000355E7" w:rsidRPr="005B5418" w:rsidRDefault="000355E7" w:rsidP="000355E7">
            <w:pPr>
              <w:pStyle w:val="Table-Cell-CenterBoldBefore6ptAfter6pt"/>
              <w:spacing w:before="60" w:after="60"/>
              <w:rPr>
                <w:rFonts w:cs="Arial"/>
                <w:lang w:val="pt-BR"/>
              </w:rPr>
            </w:pPr>
          </w:p>
        </w:tc>
        <w:tc>
          <w:tcPr>
            <w:tcW w:w="3330" w:type="dxa"/>
          </w:tcPr>
          <w:p w14:paraId="73F11751" w14:textId="77777777" w:rsidR="000355E7" w:rsidRPr="005B5418" w:rsidRDefault="000355E7" w:rsidP="000355E7">
            <w:pPr>
              <w:pStyle w:val="BodyTextIndent"/>
              <w:spacing w:before="60" w:after="60"/>
              <w:rPr>
                <w:rFonts w:cs="Arial"/>
                <w:lang w:val="pt-BR"/>
              </w:rPr>
            </w:pPr>
          </w:p>
        </w:tc>
      </w:tr>
      <w:tr w:rsidR="00EE1B17" w:rsidRPr="005B5418" w14:paraId="2FBF3168" w14:textId="77777777" w:rsidTr="00935832">
        <w:trPr>
          <w:trHeight w:val="1142"/>
        </w:trPr>
        <w:tc>
          <w:tcPr>
            <w:tcW w:w="5395" w:type="dxa"/>
          </w:tcPr>
          <w:p w14:paraId="5F4FC99D" w14:textId="5B464379" w:rsidR="00DD1980" w:rsidRPr="005B5418" w:rsidRDefault="00DD1980">
            <w:pPr>
              <w:pStyle w:val="FAM-Table-outline"/>
              <w:widowControl/>
              <w:numPr>
                <w:ilvl w:val="0"/>
                <w:numId w:val="126"/>
              </w:numPr>
              <w:adjustRightInd/>
              <w:spacing w:line="240" w:lineRule="auto"/>
              <w:textAlignment w:val="auto"/>
            </w:pPr>
            <w:r w:rsidRPr="005B5418">
              <w:t xml:space="preserve">If Leases are applicable, does the leases note include references to </w:t>
            </w:r>
            <w:r w:rsidR="00D25CF0" w:rsidRPr="005B5418">
              <w:t>the PP&amp;E n</w:t>
            </w:r>
            <w:r w:rsidRPr="005B5418">
              <w:t xml:space="preserve">ote, </w:t>
            </w:r>
            <w:r w:rsidR="00D25CF0" w:rsidRPr="005B5418">
              <w:t>the Other Assets n</w:t>
            </w:r>
            <w:r w:rsidRPr="005B5418">
              <w:t>ote, and</w:t>
            </w:r>
            <w:r w:rsidR="00D25CF0" w:rsidRPr="005B5418">
              <w:t xml:space="preserve"> the Other Liabilities</w:t>
            </w:r>
            <w:r w:rsidRPr="005B5418">
              <w:t xml:space="preserve"> </w:t>
            </w:r>
            <w:r w:rsidR="00D25CF0" w:rsidRPr="005B5418">
              <w:t>n</w:t>
            </w:r>
            <w:r w:rsidRPr="005B5418">
              <w:t>ote, as applicable? (A-136, section II.3.8.19)</w:t>
            </w:r>
          </w:p>
        </w:tc>
        <w:tc>
          <w:tcPr>
            <w:tcW w:w="990" w:type="dxa"/>
          </w:tcPr>
          <w:p w14:paraId="12F66341" w14:textId="77777777" w:rsidR="00DD1980" w:rsidRPr="005B5418" w:rsidRDefault="00DD1980" w:rsidP="000355E7">
            <w:pPr>
              <w:pStyle w:val="Table-Cell-CenterBoldBefore6ptAfter6pt"/>
              <w:spacing w:before="60" w:after="60"/>
              <w:rPr>
                <w:rFonts w:cs="Arial"/>
                <w:lang w:val="pt-BR"/>
              </w:rPr>
            </w:pPr>
          </w:p>
        </w:tc>
        <w:tc>
          <w:tcPr>
            <w:tcW w:w="3330" w:type="dxa"/>
          </w:tcPr>
          <w:p w14:paraId="114A7894" w14:textId="77777777" w:rsidR="00DD1980" w:rsidRPr="005B5418" w:rsidRDefault="00DD1980" w:rsidP="000355E7">
            <w:pPr>
              <w:pStyle w:val="BodyTextIndent"/>
              <w:spacing w:before="60" w:after="60"/>
              <w:rPr>
                <w:rFonts w:cs="Arial"/>
                <w:lang w:val="pt-BR"/>
              </w:rPr>
            </w:pPr>
          </w:p>
        </w:tc>
      </w:tr>
      <w:tr w:rsidR="0062494D" w:rsidRPr="005B5418" w14:paraId="61B5F8C2" w14:textId="77777777" w:rsidTr="00190C4D">
        <w:trPr>
          <w:trHeight w:val="1142"/>
        </w:trPr>
        <w:tc>
          <w:tcPr>
            <w:tcW w:w="5395" w:type="dxa"/>
          </w:tcPr>
          <w:p w14:paraId="1E1B05CB" w14:textId="3AFBF500" w:rsidR="0062494D" w:rsidRPr="005B5418" w:rsidRDefault="0062494D">
            <w:pPr>
              <w:pStyle w:val="FAM-Table-outline"/>
              <w:widowControl/>
              <w:numPr>
                <w:ilvl w:val="0"/>
                <w:numId w:val="126"/>
              </w:numPr>
              <w:adjustRightInd/>
              <w:spacing w:line="240" w:lineRule="auto"/>
              <w:textAlignment w:val="auto"/>
            </w:pPr>
            <w:r w:rsidRPr="005B5418">
              <w:t>If the entity enters a lease on behalf of the U.S. government acting in an agent capacity, does the entity abstain from accounting for the lease? (</w:t>
            </w:r>
            <w:r w:rsidR="00C140EF" w:rsidRPr="005B5418">
              <w:t>TR 20</w:t>
            </w:r>
            <w:r w:rsidRPr="005B5418">
              <w:t>, para. 91)</w:t>
            </w:r>
          </w:p>
        </w:tc>
        <w:tc>
          <w:tcPr>
            <w:tcW w:w="990" w:type="dxa"/>
          </w:tcPr>
          <w:p w14:paraId="0DB9FF36" w14:textId="77777777" w:rsidR="0062494D" w:rsidRPr="005B5418" w:rsidRDefault="0062494D" w:rsidP="000355E7">
            <w:pPr>
              <w:pStyle w:val="Table-Cell-CenterBoldBefore6ptAfter6pt"/>
              <w:spacing w:before="60" w:after="60"/>
              <w:rPr>
                <w:rFonts w:cs="Arial"/>
                <w:lang w:val="pt-BR"/>
              </w:rPr>
            </w:pPr>
          </w:p>
        </w:tc>
        <w:tc>
          <w:tcPr>
            <w:tcW w:w="3330" w:type="dxa"/>
          </w:tcPr>
          <w:p w14:paraId="33807284" w14:textId="77777777" w:rsidR="0062494D" w:rsidRPr="005B5418" w:rsidRDefault="0062494D" w:rsidP="000355E7">
            <w:pPr>
              <w:pStyle w:val="BodyTextIndent"/>
              <w:spacing w:before="60" w:after="60"/>
              <w:rPr>
                <w:rFonts w:cs="Arial"/>
                <w:lang w:val="pt-BR"/>
              </w:rPr>
            </w:pPr>
          </w:p>
        </w:tc>
      </w:tr>
      <w:tr w:rsidR="000355E7" w:rsidRPr="005B5418" w14:paraId="441D855D" w14:textId="77777777" w:rsidTr="00935832">
        <w:trPr>
          <w:trHeight w:val="386"/>
        </w:trPr>
        <w:tc>
          <w:tcPr>
            <w:tcW w:w="9715" w:type="dxa"/>
            <w:gridSpan w:val="3"/>
          </w:tcPr>
          <w:p w14:paraId="5A2121E0" w14:textId="126C99F0" w:rsidR="000355E7" w:rsidRPr="005B5418" w:rsidRDefault="000355E7" w:rsidP="000355E7">
            <w:pPr>
              <w:pStyle w:val="BodyTextIndent"/>
              <w:spacing w:before="60" w:after="60"/>
              <w:rPr>
                <w:rFonts w:cs="Arial"/>
                <w:lang w:val="pt-BR"/>
              </w:rPr>
            </w:pPr>
            <w:r w:rsidRPr="005B5418">
              <w:rPr>
                <w:rFonts w:cs="Arial"/>
                <w:b/>
              </w:rPr>
              <w:t xml:space="preserve">Contracts or Agreements </w:t>
            </w:r>
            <w:r w:rsidR="0037618B" w:rsidRPr="005B5418">
              <w:rPr>
                <w:rFonts w:cs="Arial"/>
                <w:b/>
              </w:rPr>
              <w:t>T</w:t>
            </w:r>
            <w:r w:rsidRPr="005B5418">
              <w:rPr>
                <w:rFonts w:cs="Arial"/>
                <w:b/>
              </w:rPr>
              <w:t>hat Transfer Ownership</w:t>
            </w:r>
          </w:p>
        </w:tc>
      </w:tr>
      <w:tr w:rsidR="00EE1B17" w:rsidRPr="005B5418" w14:paraId="3BAED6D9" w14:textId="77777777" w:rsidTr="00935832">
        <w:trPr>
          <w:trHeight w:val="2204"/>
        </w:trPr>
        <w:tc>
          <w:tcPr>
            <w:tcW w:w="5395" w:type="dxa"/>
          </w:tcPr>
          <w:p w14:paraId="628FF563" w14:textId="29B86704" w:rsidR="000355E7" w:rsidRPr="005B5418" w:rsidRDefault="000355E7" w:rsidP="005425ED">
            <w:pPr>
              <w:pStyle w:val="FAM-Table-outline"/>
              <w:widowControl/>
              <w:numPr>
                <w:ilvl w:val="0"/>
                <w:numId w:val="126"/>
              </w:numPr>
              <w:adjustRightInd/>
              <w:spacing w:line="240" w:lineRule="auto"/>
              <w:textAlignment w:val="auto"/>
            </w:pPr>
            <w:r w:rsidRPr="005B5418">
              <w:t>Are contracts or agreements that (a) transfer ownership of the underlying asset to the lessee by the end of the contract or agreement and (b) do not contain options to terminate</w:t>
            </w:r>
            <w:r w:rsidRPr="005B5418">
              <w:rPr>
                <w:rStyle w:val="FootnoteReference"/>
              </w:rPr>
              <w:footnoteReference w:id="199"/>
            </w:r>
            <w:r w:rsidRPr="005B5418">
              <w:t xml:space="preserve"> </w:t>
            </w:r>
            <w:r w:rsidR="00F14689" w:rsidRPr="005B5418">
              <w:t>recognized</w:t>
            </w:r>
            <w:r w:rsidRPr="005B5418">
              <w:t xml:space="preserve"> as a purchase of that asset by the lessee or as a financed sale of the asset by the lessor under SFFAS 6</w:t>
            </w:r>
            <w:r w:rsidR="00892BEB" w:rsidRPr="005B5418">
              <w:t>,</w:t>
            </w:r>
            <w:r w:rsidRPr="005B5418">
              <w:t xml:space="preserve"> par</w:t>
            </w:r>
            <w:r w:rsidR="00892BEB" w:rsidRPr="005B5418">
              <w:t>a</w:t>
            </w:r>
            <w:r w:rsidRPr="005B5418">
              <w:t>. 26</w:t>
            </w:r>
            <w:r w:rsidR="008C2914" w:rsidRPr="005B5418">
              <w:t>A</w:t>
            </w:r>
            <w:r w:rsidRPr="005B5418">
              <w:t xml:space="preserve">, rather than as a lease under SFFAS 54? </w:t>
            </w:r>
            <w:r w:rsidRPr="005425ED">
              <w:t>(SFFAS 54, para. 25</w:t>
            </w:r>
            <w:r w:rsidR="003B7445" w:rsidRPr="005425ED">
              <w:t xml:space="preserve">; also see </w:t>
            </w:r>
            <w:r w:rsidR="00C140EF" w:rsidRPr="005425ED">
              <w:t>TR 20</w:t>
            </w:r>
            <w:r w:rsidR="00B001DF" w:rsidRPr="005425ED">
              <w:t>,</w:t>
            </w:r>
            <w:r w:rsidR="003B7445" w:rsidRPr="005425ED">
              <w:t xml:space="preserve"> para. 37-40</w:t>
            </w:r>
            <w:r w:rsidRPr="005425ED">
              <w:t>)</w:t>
            </w:r>
          </w:p>
        </w:tc>
        <w:tc>
          <w:tcPr>
            <w:tcW w:w="990" w:type="dxa"/>
          </w:tcPr>
          <w:p w14:paraId="47C5C4CF" w14:textId="77777777" w:rsidR="000355E7" w:rsidRPr="005B5418" w:rsidRDefault="000355E7" w:rsidP="000355E7">
            <w:pPr>
              <w:pStyle w:val="Table-Cell-CenterBoldBefore6ptAfter6pt"/>
              <w:spacing w:before="60" w:after="60"/>
              <w:rPr>
                <w:rFonts w:cs="Arial"/>
                <w:lang w:val="pt-BR"/>
              </w:rPr>
            </w:pPr>
          </w:p>
        </w:tc>
        <w:tc>
          <w:tcPr>
            <w:tcW w:w="3330" w:type="dxa"/>
          </w:tcPr>
          <w:p w14:paraId="091C1DFB" w14:textId="77777777" w:rsidR="000355E7" w:rsidRPr="005B5418" w:rsidRDefault="000355E7" w:rsidP="000355E7">
            <w:pPr>
              <w:pStyle w:val="BodyTextIndent"/>
              <w:spacing w:before="60" w:after="60"/>
              <w:rPr>
                <w:rFonts w:cs="Arial"/>
                <w:lang w:val="pt-BR"/>
              </w:rPr>
            </w:pPr>
          </w:p>
        </w:tc>
      </w:tr>
      <w:tr w:rsidR="001E23E5" w:rsidRPr="005B5418" w14:paraId="54D0C3C3" w14:textId="77777777" w:rsidTr="00935832">
        <w:trPr>
          <w:trHeight w:val="197"/>
        </w:trPr>
        <w:tc>
          <w:tcPr>
            <w:tcW w:w="9715" w:type="dxa"/>
            <w:gridSpan w:val="3"/>
          </w:tcPr>
          <w:p w14:paraId="3F87B8FE" w14:textId="2A1EAA27" w:rsidR="001E23E5" w:rsidRPr="005B5418" w:rsidRDefault="001E23E5" w:rsidP="001E23E5">
            <w:pPr>
              <w:pStyle w:val="BodyTextIndent"/>
              <w:spacing w:before="60" w:after="60"/>
              <w:rPr>
                <w:rFonts w:cs="Arial"/>
                <w:sz w:val="28"/>
                <w:szCs w:val="28"/>
                <w:lang w:val="pt-BR"/>
              </w:rPr>
            </w:pPr>
            <w:r w:rsidRPr="005B5418">
              <w:rPr>
                <w:b/>
                <w:sz w:val="28"/>
                <w:szCs w:val="28"/>
              </w:rPr>
              <w:t>Intragovernmental Leases</w:t>
            </w:r>
          </w:p>
        </w:tc>
      </w:tr>
      <w:tr w:rsidR="001E23E5" w:rsidRPr="005B5418" w14:paraId="3BAEE4B7" w14:textId="77777777" w:rsidTr="00935832">
        <w:trPr>
          <w:trHeight w:val="197"/>
        </w:trPr>
        <w:tc>
          <w:tcPr>
            <w:tcW w:w="9715" w:type="dxa"/>
            <w:gridSpan w:val="3"/>
          </w:tcPr>
          <w:p w14:paraId="0ADEB49D" w14:textId="2614A3E6" w:rsidR="001E23E5" w:rsidRPr="005B5418" w:rsidRDefault="001E23E5" w:rsidP="001E23E5">
            <w:pPr>
              <w:autoSpaceDE w:val="0"/>
              <w:autoSpaceDN w:val="0"/>
              <w:adjustRightInd w:val="0"/>
              <w:spacing w:after="0" w:line="240" w:lineRule="auto"/>
              <w:rPr>
                <w:rFonts w:ascii="Arial" w:hAnsi="Arial" w:cs="Arial"/>
              </w:rPr>
            </w:pPr>
            <w:r w:rsidRPr="005B5418">
              <w:rPr>
                <w:rFonts w:ascii="Arial" w:hAnsi="Arial" w:cs="Arial"/>
              </w:rPr>
              <w:t>An intragovernmental lease is a contract or agreement occurring within a consolidation entity or between two or more consolidation entities as defined in SFFAS 47</w:t>
            </w:r>
            <w:r w:rsidR="00B001DF" w:rsidRPr="005B5418">
              <w:rPr>
                <w:rFonts w:ascii="Arial" w:hAnsi="Arial" w:cs="Arial"/>
              </w:rPr>
              <w:t>,</w:t>
            </w:r>
            <w:r w:rsidRPr="005B5418">
              <w:rPr>
                <w:rFonts w:ascii="Arial" w:hAnsi="Arial" w:cs="Arial"/>
              </w:rPr>
              <w:t xml:space="preserve"> whereby one entity (lessor) conveys the right to control the use of PP&amp;E (the underlying asset) to another entity (lessee) for a period of time as specified in the contract or agreement in exchange for consideration</w:t>
            </w:r>
            <w:r w:rsidRPr="005B5418">
              <w:rPr>
                <w:rFonts w:ascii="Arial" w:hAnsi="Arial" w:cs="Arial"/>
                <w:i/>
              </w:rPr>
              <w:t>.</w:t>
            </w:r>
            <w:r w:rsidRPr="005B5418">
              <w:rPr>
                <w:rFonts w:ascii="Arial" w:hAnsi="Arial" w:cs="Arial"/>
              </w:rPr>
              <w:t xml:space="preserve"> (SFFAS 54, para. 26)</w:t>
            </w:r>
          </w:p>
          <w:p w14:paraId="53369C53" w14:textId="770F019D" w:rsidR="001E23E5" w:rsidRPr="005B5418" w:rsidRDefault="001E23E5" w:rsidP="00935832">
            <w:pPr>
              <w:pStyle w:val="BodyTextIndent"/>
              <w:spacing w:before="60" w:after="60"/>
              <w:ind w:left="0"/>
              <w:rPr>
                <w:rFonts w:eastAsia="Arial Unicode MS" w:cs="Arial"/>
                <w:szCs w:val="22"/>
              </w:rPr>
            </w:pPr>
            <w:r w:rsidRPr="005B5418">
              <w:rPr>
                <w:rFonts w:eastAsia="Arial Unicode MS" w:cs="Arial"/>
                <w:szCs w:val="22"/>
              </w:rPr>
              <w:t>For intragovernmental leases, lease incentives</w:t>
            </w:r>
            <w:r w:rsidRPr="005B5418">
              <w:rPr>
                <w:rStyle w:val="FootnoteReference"/>
                <w:rFonts w:eastAsia="Arial Unicode MS" w:cs="Arial"/>
                <w:szCs w:val="22"/>
              </w:rPr>
              <w:footnoteReference w:id="200"/>
            </w:r>
            <w:r w:rsidRPr="005B5418">
              <w:rPr>
                <w:rFonts w:eastAsia="Arial Unicode MS" w:cs="Arial"/>
                <w:szCs w:val="22"/>
              </w:rPr>
              <w:t xml:space="preserve"> and lease concessions</w:t>
            </w:r>
            <w:r w:rsidRPr="005B5418">
              <w:rPr>
                <w:rStyle w:val="FootnoteReference"/>
                <w:rFonts w:eastAsia="Arial Unicode MS" w:cs="Arial"/>
                <w:szCs w:val="22"/>
              </w:rPr>
              <w:footnoteReference w:id="201"/>
            </w:r>
            <w:r w:rsidRPr="005B5418">
              <w:rPr>
                <w:rFonts w:eastAsia="Arial Unicode MS" w:cs="Arial"/>
                <w:szCs w:val="22"/>
              </w:rPr>
              <w:t xml:space="preserve"> are recorded by lessees and lessors, when incurred, as increases/reductions to lease rental expense and income, respectively. (SFFAS 54, para. 31)</w:t>
            </w:r>
          </w:p>
          <w:p w14:paraId="3C44DEA5" w14:textId="002C6FBA" w:rsidR="009F4593" w:rsidRPr="005B5418" w:rsidRDefault="009F4593" w:rsidP="00935832">
            <w:pPr>
              <w:pStyle w:val="BodyTextIndent"/>
              <w:spacing w:before="60" w:after="60"/>
              <w:ind w:left="0"/>
            </w:pPr>
            <w:r w:rsidRPr="005B5418">
              <w:t>A reporting entity leasing space from a non-federal lessor and then subleasing the space to a federal entity should disclose such agreements separately in accordance with paragraphs 87</w:t>
            </w:r>
            <w:r w:rsidR="00B001DF" w:rsidRPr="005B5418">
              <w:t>–</w:t>
            </w:r>
            <w:r w:rsidRPr="005B5418">
              <w:t xml:space="preserve">88 </w:t>
            </w:r>
            <w:r w:rsidRPr="005B5418">
              <w:lastRenderedPageBreak/>
              <w:t xml:space="preserve">of SFFAS 54. </w:t>
            </w:r>
            <w:r w:rsidR="00F7207F" w:rsidRPr="005B5418">
              <w:t>Therefore, the original lease agreement should be disclosed per the lessee requirements in SFFAS 54 para. 54</w:t>
            </w:r>
            <w:r w:rsidRPr="005B5418">
              <w:t>,</w:t>
            </w:r>
            <w:r w:rsidR="00F7207F" w:rsidRPr="005B5418">
              <w:t xml:space="preserve"> and</w:t>
            </w:r>
            <w:r w:rsidRPr="005B5418">
              <w:t xml:space="preserve"> the sublease agreement should be disclosed per the intragovernmental lessor requirements in SFFAS 54, para. 38. (</w:t>
            </w:r>
            <w:r w:rsidR="00C140EF" w:rsidRPr="005B5418">
              <w:t>TR 20</w:t>
            </w:r>
            <w:r w:rsidRPr="005B5418">
              <w:t>, para. 43)</w:t>
            </w:r>
          </w:p>
          <w:p w14:paraId="7222CA11" w14:textId="0ED1E6A5" w:rsidR="0095150F" w:rsidRPr="005B5418" w:rsidRDefault="0095150F" w:rsidP="00935832">
            <w:pPr>
              <w:pStyle w:val="BodyTextIndent"/>
              <w:spacing w:before="60" w:after="60"/>
              <w:ind w:left="0"/>
            </w:pPr>
            <w:r w:rsidRPr="005B5418">
              <w:t>The disclosure requirements of paragraph 93 of SFFAS 54 apply to intragovernmental leases that are part of lease-leaseback transactions. (</w:t>
            </w:r>
            <w:r w:rsidR="00C140EF" w:rsidRPr="005B5418">
              <w:t>TR 20</w:t>
            </w:r>
            <w:r w:rsidRPr="005B5418">
              <w:t>, para. 96)</w:t>
            </w:r>
            <w:r w:rsidR="00CE1425" w:rsidRPr="005B5418">
              <w:t xml:space="preserve"> If intragovernmental lease-leaseback transactions are relevant, refer to the subleasing and lease-leaseback subsection</w:t>
            </w:r>
            <w:r w:rsidR="00F82A1B" w:rsidRPr="005B5418">
              <w:t>s</w:t>
            </w:r>
            <w:r w:rsidR="00CE1425" w:rsidRPr="005B5418">
              <w:t xml:space="preserve"> of non-federal leases below.</w:t>
            </w:r>
          </w:p>
        </w:tc>
      </w:tr>
      <w:tr w:rsidR="001E23E5" w:rsidRPr="005B5418" w14:paraId="4C8D1509" w14:textId="77777777" w:rsidTr="007A7A92">
        <w:trPr>
          <w:trHeight w:val="1430"/>
        </w:trPr>
        <w:tc>
          <w:tcPr>
            <w:tcW w:w="5395" w:type="dxa"/>
          </w:tcPr>
          <w:p w14:paraId="6F6ABCC9" w14:textId="0C975330" w:rsidR="001E23E5" w:rsidRPr="005B5418" w:rsidRDefault="001E23E5" w:rsidP="005425ED">
            <w:pPr>
              <w:pStyle w:val="FAM-Table-outline"/>
              <w:widowControl/>
              <w:numPr>
                <w:ilvl w:val="0"/>
                <w:numId w:val="126"/>
              </w:numPr>
              <w:adjustRightInd/>
              <w:spacing w:line="240" w:lineRule="auto"/>
              <w:textAlignment w:val="auto"/>
            </w:pPr>
            <w:r w:rsidRPr="005B5418">
              <w:lastRenderedPageBreak/>
              <w:t xml:space="preserve">Are </w:t>
            </w:r>
            <w:r w:rsidR="00B001DF" w:rsidRPr="005B5418">
              <w:t>i</w:t>
            </w:r>
            <w:r w:rsidRPr="005B5418">
              <w:t xml:space="preserve">ntragovernmental </w:t>
            </w:r>
            <w:r w:rsidR="00B001DF" w:rsidRPr="005B5418">
              <w:t>l</w:t>
            </w:r>
            <w:r w:rsidRPr="005B5418">
              <w:t>eases applicable to the entity’s financial statements? (Answer Y if applicable, N/A if not applicable, or N/S if not significant. If N/A or N/S, skip to the next subtopic.)</w:t>
            </w:r>
          </w:p>
        </w:tc>
        <w:tc>
          <w:tcPr>
            <w:tcW w:w="990" w:type="dxa"/>
          </w:tcPr>
          <w:p w14:paraId="6CD94BF9" w14:textId="77777777" w:rsidR="001E23E5" w:rsidRPr="005B5418" w:rsidRDefault="001E23E5" w:rsidP="001E23E5">
            <w:pPr>
              <w:pStyle w:val="Table-Cell-CenterBoldBefore6ptAfter6pt"/>
              <w:spacing w:before="60" w:after="60"/>
              <w:rPr>
                <w:rFonts w:cs="Arial"/>
                <w:lang w:val="pt-BR"/>
              </w:rPr>
            </w:pPr>
          </w:p>
        </w:tc>
        <w:tc>
          <w:tcPr>
            <w:tcW w:w="3330" w:type="dxa"/>
          </w:tcPr>
          <w:p w14:paraId="67449175" w14:textId="77777777" w:rsidR="001E23E5" w:rsidRPr="005B5418" w:rsidRDefault="001E23E5" w:rsidP="001E23E5">
            <w:pPr>
              <w:pStyle w:val="BodyTextIndent"/>
              <w:spacing w:before="60" w:after="60"/>
              <w:rPr>
                <w:rFonts w:cs="Arial"/>
                <w:lang w:val="pt-BR"/>
              </w:rPr>
            </w:pPr>
          </w:p>
        </w:tc>
      </w:tr>
      <w:tr w:rsidR="001E23E5" w:rsidRPr="005B5418" w14:paraId="51E76027" w14:textId="77777777" w:rsidTr="00935832">
        <w:trPr>
          <w:trHeight w:val="449"/>
        </w:trPr>
        <w:tc>
          <w:tcPr>
            <w:tcW w:w="9715" w:type="dxa"/>
            <w:gridSpan w:val="3"/>
          </w:tcPr>
          <w:p w14:paraId="131CC612" w14:textId="45B9CEBC" w:rsidR="001E23E5" w:rsidRPr="005B5418" w:rsidRDefault="000E3911" w:rsidP="00935832">
            <w:pPr>
              <w:pStyle w:val="BodyTextIndent"/>
              <w:spacing w:before="60" w:after="60"/>
              <w:jc w:val="center"/>
              <w:rPr>
                <w:rFonts w:cs="Arial"/>
                <w:lang w:val="pt-BR"/>
              </w:rPr>
            </w:pPr>
            <w:r w:rsidRPr="005B5418">
              <w:rPr>
                <w:rFonts w:eastAsia="Arial Unicode MS"/>
                <w:b/>
              </w:rPr>
              <w:t>Intragovernmental Leases</w:t>
            </w:r>
            <w:r w:rsidR="00615D26" w:rsidRPr="005B5418">
              <w:rPr>
                <w:rFonts w:eastAsia="Arial Unicode MS"/>
                <w:b/>
              </w:rPr>
              <w:t xml:space="preserve"> - Lessee Treatment</w:t>
            </w:r>
          </w:p>
        </w:tc>
      </w:tr>
      <w:tr w:rsidR="000E3911" w:rsidRPr="005B5418" w14:paraId="7FB4D59D" w14:textId="77777777" w:rsidTr="00935832">
        <w:trPr>
          <w:trHeight w:val="449"/>
        </w:trPr>
        <w:tc>
          <w:tcPr>
            <w:tcW w:w="9715" w:type="dxa"/>
            <w:gridSpan w:val="3"/>
          </w:tcPr>
          <w:p w14:paraId="5BE873F1" w14:textId="2E7B7C26" w:rsidR="000E3911" w:rsidRPr="005B5418" w:rsidRDefault="000E3911" w:rsidP="00935832">
            <w:pPr>
              <w:pStyle w:val="BodyTextIndent"/>
              <w:spacing w:before="60" w:after="60"/>
              <w:rPr>
                <w:rFonts w:eastAsia="Arial Unicode MS"/>
                <w:b/>
              </w:rPr>
            </w:pPr>
            <w:r w:rsidRPr="005B5418">
              <w:rPr>
                <w:rFonts w:eastAsia="Arial Unicode MS"/>
                <w:b/>
              </w:rPr>
              <w:t>Accounting</w:t>
            </w:r>
          </w:p>
        </w:tc>
      </w:tr>
      <w:tr w:rsidR="001E23E5" w:rsidRPr="005B5418" w14:paraId="5E8083D6" w14:textId="77777777" w:rsidTr="00935832">
        <w:trPr>
          <w:trHeight w:val="1358"/>
        </w:trPr>
        <w:tc>
          <w:tcPr>
            <w:tcW w:w="5395" w:type="dxa"/>
          </w:tcPr>
          <w:p w14:paraId="2C430B02" w14:textId="1D0120B3" w:rsidR="001E23E5" w:rsidRPr="005B5418" w:rsidRDefault="000E3911"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recognize lease payments, including lease-related operating costs (for example, maintenance, utilities, taxes, etc.) paid to the lessor, as expenses based on the payment provisions of the contract or agreement and standards regarding recognition of accounts payable and other related amounts? (SFFAS 54, para. 27)</w:t>
            </w:r>
          </w:p>
        </w:tc>
        <w:tc>
          <w:tcPr>
            <w:tcW w:w="990" w:type="dxa"/>
          </w:tcPr>
          <w:p w14:paraId="230A12FC" w14:textId="77777777" w:rsidR="001E23E5" w:rsidRPr="005B5418" w:rsidRDefault="001E23E5" w:rsidP="001E23E5">
            <w:pPr>
              <w:pStyle w:val="Table-Cell-CenterBoldBefore6ptAfter6pt"/>
              <w:spacing w:before="60" w:after="60"/>
              <w:rPr>
                <w:rFonts w:cs="Arial"/>
                <w:lang w:val="pt-BR"/>
              </w:rPr>
            </w:pPr>
          </w:p>
        </w:tc>
        <w:tc>
          <w:tcPr>
            <w:tcW w:w="3330" w:type="dxa"/>
          </w:tcPr>
          <w:p w14:paraId="54871D6B" w14:textId="77777777" w:rsidR="001E23E5" w:rsidRPr="005B5418" w:rsidRDefault="001E23E5" w:rsidP="001E23E5">
            <w:pPr>
              <w:pStyle w:val="BodyTextIndent"/>
              <w:spacing w:before="60" w:after="60"/>
              <w:rPr>
                <w:rFonts w:cs="Arial"/>
                <w:lang w:val="pt-BR"/>
              </w:rPr>
            </w:pPr>
          </w:p>
        </w:tc>
      </w:tr>
      <w:tr w:rsidR="000E3911" w:rsidRPr="005B5418" w14:paraId="1C2C8679" w14:textId="77777777" w:rsidTr="00935832">
        <w:trPr>
          <w:trHeight w:val="1358"/>
        </w:trPr>
        <w:tc>
          <w:tcPr>
            <w:tcW w:w="5395" w:type="dxa"/>
          </w:tcPr>
          <w:p w14:paraId="6FC05281" w14:textId="060B0937" w:rsidR="000E3911" w:rsidRPr="005B5418" w:rsidRDefault="000E3911"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recognize prepaid rent or a payable for rent due as an asset or liability, respectively? (SFFAS 54, para. 27)</w:t>
            </w:r>
          </w:p>
        </w:tc>
        <w:tc>
          <w:tcPr>
            <w:tcW w:w="990" w:type="dxa"/>
          </w:tcPr>
          <w:p w14:paraId="4029FF5F" w14:textId="77777777" w:rsidR="000E3911" w:rsidRPr="005B5418" w:rsidRDefault="000E3911" w:rsidP="001E23E5">
            <w:pPr>
              <w:pStyle w:val="Table-Cell-CenterBoldBefore6ptAfter6pt"/>
              <w:spacing w:before="60" w:after="60"/>
              <w:rPr>
                <w:rFonts w:cs="Arial"/>
                <w:lang w:val="pt-BR"/>
              </w:rPr>
            </w:pPr>
          </w:p>
        </w:tc>
        <w:tc>
          <w:tcPr>
            <w:tcW w:w="3330" w:type="dxa"/>
          </w:tcPr>
          <w:p w14:paraId="2636B78E" w14:textId="77777777" w:rsidR="000E3911" w:rsidRPr="005B5418" w:rsidRDefault="000E3911" w:rsidP="001E23E5">
            <w:pPr>
              <w:pStyle w:val="BodyTextIndent"/>
              <w:spacing w:before="60" w:after="60"/>
              <w:rPr>
                <w:rFonts w:cs="Arial"/>
                <w:lang w:val="pt-BR"/>
              </w:rPr>
            </w:pPr>
          </w:p>
        </w:tc>
      </w:tr>
      <w:tr w:rsidR="000E3911" w:rsidRPr="005B5418" w14:paraId="322B46D5" w14:textId="77777777" w:rsidTr="00935832">
        <w:trPr>
          <w:trHeight w:val="1358"/>
        </w:trPr>
        <w:tc>
          <w:tcPr>
            <w:tcW w:w="5395" w:type="dxa"/>
          </w:tcPr>
          <w:p w14:paraId="79B95F91" w14:textId="46C071E1" w:rsidR="000E3911" w:rsidRPr="005B5418" w:rsidRDefault="000E3911"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recognize expenses in the appropriate reporting period based on the specifics of the lease provisions? (SFFAS 54, para. 27)</w:t>
            </w:r>
          </w:p>
        </w:tc>
        <w:tc>
          <w:tcPr>
            <w:tcW w:w="990" w:type="dxa"/>
          </w:tcPr>
          <w:p w14:paraId="57943E54" w14:textId="77777777" w:rsidR="000E3911" w:rsidRPr="005B5418" w:rsidRDefault="000E3911" w:rsidP="001E23E5">
            <w:pPr>
              <w:pStyle w:val="Table-Cell-CenterBoldBefore6ptAfter6pt"/>
              <w:spacing w:before="60" w:after="60"/>
              <w:rPr>
                <w:rFonts w:cs="Arial"/>
                <w:lang w:val="pt-BR"/>
              </w:rPr>
            </w:pPr>
          </w:p>
        </w:tc>
        <w:tc>
          <w:tcPr>
            <w:tcW w:w="3330" w:type="dxa"/>
          </w:tcPr>
          <w:p w14:paraId="6D27FD3F" w14:textId="77777777" w:rsidR="000E3911" w:rsidRPr="005B5418" w:rsidRDefault="000E3911" w:rsidP="001E23E5">
            <w:pPr>
              <w:pStyle w:val="BodyTextIndent"/>
              <w:spacing w:before="60" w:after="60"/>
              <w:rPr>
                <w:rFonts w:cs="Arial"/>
                <w:lang w:val="pt-BR"/>
              </w:rPr>
            </w:pPr>
          </w:p>
        </w:tc>
      </w:tr>
      <w:tr w:rsidR="000E3911" w:rsidRPr="005B5418" w14:paraId="2E38915E" w14:textId="77777777" w:rsidTr="00935832">
        <w:trPr>
          <w:trHeight w:val="1358"/>
        </w:trPr>
        <w:tc>
          <w:tcPr>
            <w:tcW w:w="5395" w:type="dxa"/>
          </w:tcPr>
          <w:p w14:paraId="5C78870C" w14:textId="68072273" w:rsidR="000E3911" w:rsidRPr="005B5418" w:rsidRDefault="002A347A"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recognize rental increases, rental decreases, lease incentives, and lease concessions when incurred as increases/reductions to lease rental expenses? (SFFAS 54, para. 31)</w:t>
            </w:r>
          </w:p>
        </w:tc>
        <w:tc>
          <w:tcPr>
            <w:tcW w:w="990" w:type="dxa"/>
          </w:tcPr>
          <w:p w14:paraId="16E1C415" w14:textId="77777777" w:rsidR="000E3911" w:rsidRPr="005B5418" w:rsidRDefault="000E3911" w:rsidP="001E23E5">
            <w:pPr>
              <w:pStyle w:val="Table-Cell-CenterBoldBefore6ptAfter6pt"/>
              <w:spacing w:before="60" w:after="60"/>
              <w:rPr>
                <w:rFonts w:cs="Arial"/>
                <w:lang w:val="pt-BR"/>
              </w:rPr>
            </w:pPr>
          </w:p>
        </w:tc>
        <w:tc>
          <w:tcPr>
            <w:tcW w:w="3330" w:type="dxa"/>
          </w:tcPr>
          <w:p w14:paraId="6E2C229B" w14:textId="77777777" w:rsidR="000E3911" w:rsidRPr="005B5418" w:rsidRDefault="000E3911" w:rsidP="001E23E5">
            <w:pPr>
              <w:pStyle w:val="BodyTextIndent"/>
              <w:spacing w:before="60" w:after="60"/>
              <w:rPr>
                <w:rFonts w:cs="Arial"/>
                <w:lang w:val="pt-BR"/>
              </w:rPr>
            </w:pPr>
          </w:p>
        </w:tc>
      </w:tr>
      <w:tr w:rsidR="000E3911" w:rsidRPr="005B5418" w14:paraId="016B2A8A" w14:textId="77777777" w:rsidTr="00935832">
        <w:trPr>
          <w:trHeight w:val="1358"/>
        </w:trPr>
        <w:tc>
          <w:tcPr>
            <w:tcW w:w="5395" w:type="dxa"/>
          </w:tcPr>
          <w:p w14:paraId="270F3D5B" w14:textId="2C793ECE" w:rsidR="000E3911" w:rsidRPr="005B5418" w:rsidRDefault="002A347A" w:rsidP="005425ED">
            <w:pPr>
              <w:pStyle w:val="FAM-Table-outline"/>
              <w:widowControl/>
              <w:numPr>
                <w:ilvl w:val="0"/>
                <w:numId w:val="126"/>
              </w:numPr>
              <w:adjustRightInd/>
              <w:spacing w:line="240" w:lineRule="auto"/>
              <w:textAlignment w:val="auto"/>
            </w:pPr>
            <w:r w:rsidRPr="005B5418">
              <w:lastRenderedPageBreak/>
              <w:t>Are leasehold improvements</w:t>
            </w:r>
            <w:r w:rsidR="00DC6BF1" w:rsidRPr="005B5418">
              <w:rPr>
                <w:rStyle w:val="FootnoteReference"/>
              </w:rPr>
              <w:footnoteReference w:id="202"/>
            </w:r>
            <w:r w:rsidRPr="005B5418">
              <w:t xml:space="preserve"> placed in service at or after the beginning of the lease term amortized over the useful life (the normal operating life in terms of utility to the lessee) of the leasehold improvement, but no longer than the expected lease term? (SFFAS 54, para. 34)</w:t>
            </w:r>
          </w:p>
        </w:tc>
        <w:tc>
          <w:tcPr>
            <w:tcW w:w="990" w:type="dxa"/>
          </w:tcPr>
          <w:p w14:paraId="0EB18395" w14:textId="77777777" w:rsidR="000E3911" w:rsidRPr="005B5418" w:rsidRDefault="000E3911" w:rsidP="001E23E5">
            <w:pPr>
              <w:pStyle w:val="Table-Cell-CenterBoldBefore6ptAfter6pt"/>
              <w:spacing w:before="60" w:after="60"/>
              <w:rPr>
                <w:rFonts w:cs="Arial"/>
                <w:lang w:val="pt-BR"/>
              </w:rPr>
            </w:pPr>
          </w:p>
        </w:tc>
        <w:tc>
          <w:tcPr>
            <w:tcW w:w="3330" w:type="dxa"/>
          </w:tcPr>
          <w:p w14:paraId="4B11B575" w14:textId="77777777" w:rsidR="000E3911" w:rsidRPr="005B5418" w:rsidRDefault="000E3911" w:rsidP="001E23E5">
            <w:pPr>
              <w:pStyle w:val="BodyTextIndent"/>
              <w:spacing w:before="60" w:after="60"/>
              <w:rPr>
                <w:rFonts w:cs="Arial"/>
                <w:lang w:val="pt-BR"/>
              </w:rPr>
            </w:pPr>
          </w:p>
        </w:tc>
      </w:tr>
      <w:tr w:rsidR="000E3911" w:rsidRPr="005B5418" w14:paraId="2C9A5F90" w14:textId="77777777" w:rsidTr="00935832">
        <w:trPr>
          <w:trHeight w:val="1358"/>
        </w:trPr>
        <w:tc>
          <w:tcPr>
            <w:tcW w:w="5395" w:type="dxa"/>
          </w:tcPr>
          <w:p w14:paraId="390E9127" w14:textId="4A8E6F29" w:rsidR="000E3911" w:rsidRPr="005B5418" w:rsidRDefault="002A347A" w:rsidP="005425ED">
            <w:pPr>
              <w:pStyle w:val="FAM-Table-outline"/>
              <w:widowControl/>
              <w:numPr>
                <w:ilvl w:val="0"/>
                <w:numId w:val="126"/>
              </w:numPr>
              <w:adjustRightInd/>
              <w:spacing w:line="240" w:lineRule="auto"/>
              <w:textAlignment w:val="auto"/>
            </w:pPr>
            <w:r w:rsidRPr="005B5418">
              <w:t xml:space="preserve">Are initial direct lease costs incurred by the </w:t>
            </w:r>
            <w:r w:rsidRPr="005B5418">
              <w:rPr>
                <w:b/>
                <w:bCs/>
              </w:rPr>
              <w:t>lessee</w:t>
            </w:r>
            <w:r w:rsidRPr="005B5418">
              <w:t xml:space="preserve"> expensed when incurred? (SFFAS 54, para. 36)</w:t>
            </w:r>
          </w:p>
        </w:tc>
        <w:tc>
          <w:tcPr>
            <w:tcW w:w="990" w:type="dxa"/>
          </w:tcPr>
          <w:p w14:paraId="7EE352A4" w14:textId="77777777" w:rsidR="000E3911" w:rsidRPr="005B5418" w:rsidRDefault="000E3911" w:rsidP="001E23E5">
            <w:pPr>
              <w:pStyle w:val="Table-Cell-CenterBoldBefore6ptAfter6pt"/>
              <w:spacing w:before="60" w:after="60"/>
              <w:rPr>
                <w:rFonts w:cs="Arial"/>
                <w:lang w:val="pt-BR"/>
              </w:rPr>
            </w:pPr>
          </w:p>
        </w:tc>
        <w:tc>
          <w:tcPr>
            <w:tcW w:w="3330" w:type="dxa"/>
          </w:tcPr>
          <w:p w14:paraId="71E656BC" w14:textId="77777777" w:rsidR="000E3911" w:rsidRPr="005B5418" w:rsidRDefault="000E3911" w:rsidP="001E23E5">
            <w:pPr>
              <w:pStyle w:val="BodyTextIndent"/>
              <w:spacing w:before="60" w:after="60"/>
              <w:rPr>
                <w:rFonts w:cs="Arial"/>
                <w:lang w:val="pt-BR"/>
              </w:rPr>
            </w:pPr>
          </w:p>
        </w:tc>
      </w:tr>
      <w:tr w:rsidR="00A8550A" w:rsidRPr="005B5418" w14:paraId="18EE9B3C" w14:textId="77777777" w:rsidTr="00935832">
        <w:trPr>
          <w:trHeight w:val="386"/>
        </w:trPr>
        <w:tc>
          <w:tcPr>
            <w:tcW w:w="9715" w:type="dxa"/>
            <w:gridSpan w:val="3"/>
          </w:tcPr>
          <w:p w14:paraId="56C68524" w14:textId="565A8C1E" w:rsidR="00A8550A" w:rsidRPr="005B5418" w:rsidRDefault="00A8550A" w:rsidP="001E23E5">
            <w:pPr>
              <w:pStyle w:val="BodyTextIndent"/>
              <w:spacing w:before="60" w:after="60"/>
              <w:rPr>
                <w:rFonts w:cs="Arial"/>
                <w:b/>
                <w:bCs/>
                <w:lang w:val="pt-BR"/>
              </w:rPr>
            </w:pPr>
            <w:r w:rsidRPr="005B5418">
              <w:rPr>
                <w:rFonts w:cs="Arial"/>
                <w:b/>
                <w:bCs/>
                <w:lang w:val="pt-BR"/>
              </w:rPr>
              <w:t>Disclosure</w:t>
            </w:r>
          </w:p>
        </w:tc>
      </w:tr>
      <w:tr w:rsidR="000E3911" w:rsidRPr="005B5418" w14:paraId="62AA8012" w14:textId="77777777" w:rsidTr="00935832">
        <w:trPr>
          <w:trHeight w:val="1358"/>
        </w:trPr>
        <w:tc>
          <w:tcPr>
            <w:tcW w:w="5395" w:type="dxa"/>
          </w:tcPr>
          <w:p w14:paraId="5A158E90" w14:textId="245F077F" w:rsidR="00A8550A" w:rsidRPr="005B5418" w:rsidRDefault="00A8550A"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disclose the following regarding intragovernmental lease activities (which may be grouped for purposes of disclosure)</w:t>
            </w:r>
            <w:r w:rsidR="008E198E" w:rsidRPr="005B5418">
              <w:t>?</w:t>
            </w:r>
          </w:p>
          <w:p w14:paraId="080B15D7" w14:textId="2754F9AC" w:rsidR="00A8550A" w:rsidRPr="005B5418" w:rsidRDefault="00A8550A" w:rsidP="005425ED">
            <w:pPr>
              <w:pStyle w:val="FAM-Table-outline2"/>
              <w:numPr>
                <w:ilvl w:val="1"/>
                <w:numId w:val="65"/>
              </w:numPr>
              <w:spacing w:line="240" w:lineRule="auto"/>
              <w:ind w:left="1140" w:hanging="443"/>
            </w:pPr>
            <w:r w:rsidRPr="005B5418">
              <w:t>A general description of significant intragovernmental leasing arrangements, including general lease terms with any applicable specific intragovernmental requirements</w:t>
            </w:r>
          </w:p>
          <w:p w14:paraId="2C517F52" w14:textId="01FAF376" w:rsidR="00A8550A" w:rsidRPr="005B5418" w:rsidRDefault="00A8550A" w:rsidP="005425ED">
            <w:pPr>
              <w:pStyle w:val="FAM-Table-outline2"/>
              <w:numPr>
                <w:ilvl w:val="1"/>
                <w:numId w:val="65"/>
              </w:numPr>
              <w:spacing w:line="240" w:lineRule="auto"/>
              <w:ind w:left="1140" w:hanging="443"/>
            </w:pPr>
            <w:r w:rsidRPr="005B5418">
              <w:t>Annual lease expense in total and by major underlying asset category</w:t>
            </w:r>
            <w:r w:rsidRPr="005B5418">
              <w:rPr>
                <w:rStyle w:val="FootnoteReference"/>
              </w:rPr>
              <w:footnoteReference w:id="203"/>
            </w:r>
          </w:p>
          <w:p w14:paraId="5ABE6345" w14:textId="6CAF494F" w:rsidR="000E3911" w:rsidRPr="005B5418" w:rsidRDefault="00A8550A" w:rsidP="005425ED">
            <w:pPr>
              <w:pStyle w:val="FAM-Table-outline"/>
              <w:widowControl/>
              <w:numPr>
                <w:ilvl w:val="0"/>
                <w:numId w:val="0"/>
              </w:numPr>
              <w:adjustRightInd/>
              <w:spacing w:line="240" w:lineRule="auto"/>
              <w:ind w:left="666"/>
              <w:textAlignment w:val="auto"/>
            </w:pPr>
            <w:r w:rsidRPr="005B5418">
              <w:t xml:space="preserve">(SFFAS 54, para. 37; also see </w:t>
            </w:r>
            <w:r w:rsidR="00C140EF" w:rsidRPr="005B5418">
              <w:t>TR 20</w:t>
            </w:r>
            <w:r w:rsidRPr="005B5418">
              <w:t>, para</w:t>
            </w:r>
            <w:r w:rsidR="008E198E" w:rsidRPr="005B5418">
              <w:t>s</w:t>
            </w:r>
            <w:r w:rsidRPr="005B5418">
              <w:t xml:space="preserve">. 17 </w:t>
            </w:r>
            <w:r w:rsidR="008E198E" w:rsidRPr="005B5418">
              <w:t>and</w:t>
            </w:r>
            <w:r w:rsidRPr="005B5418">
              <w:t xml:space="preserve"> 41)</w:t>
            </w:r>
          </w:p>
        </w:tc>
        <w:tc>
          <w:tcPr>
            <w:tcW w:w="990" w:type="dxa"/>
          </w:tcPr>
          <w:p w14:paraId="54F33C6F" w14:textId="77777777" w:rsidR="000E3911" w:rsidRPr="005B5418" w:rsidRDefault="000E3911" w:rsidP="001E23E5">
            <w:pPr>
              <w:pStyle w:val="Table-Cell-CenterBoldBefore6ptAfter6pt"/>
              <w:spacing w:before="60" w:after="60"/>
              <w:rPr>
                <w:rFonts w:cs="Arial"/>
                <w:lang w:val="pt-BR"/>
              </w:rPr>
            </w:pPr>
          </w:p>
        </w:tc>
        <w:tc>
          <w:tcPr>
            <w:tcW w:w="3330" w:type="dxa"/>
          </w:tcPr>
          <w:p w14:paraId="12625D85" w14:textId="77777777" w:rsidR="000E3911" w:rsidRPr="005B5418" w:rsidRDefault="000E3911" w:rsidP="001E23E5">
            <w:pPr>
              <w:pStyle w:val="BodyTextIndent"/>
              <w:spacing w:before="60" w:after="60"/>
              <w:rPr>
                <w:rFonts w:cs="Arial"/>
                <w:lang w:val="pt-BR"/>
              </w:rPr>
            </w:pPr>
          </w:p>
        </w:tc>
      </w:tr>
      <w:tr w:rsidR="00A8550A" w:rsidRPr="005B5418" w14:paraId="6C83585F" w14:textId="77777777" w:rsidTr="00935832">
        <w:trPr>
          <w:trHeight w:val="413"/>
        </w:trPr>
        <w:tc>
          <w:tcPr>
            <w:tcW w:w="9715" w:type="dxa"/>
            <w:gridSpan w:val="3"/>
          </w:tcPr>
          <w:p w14:paraId="26C19BD1" w14:textId="47041255" w:rsidR="00A8550A" w:rsidRPr="005B5418" w:rsidRDefault="00A8550A" w:rsidP="00935832">
            <w:pPr>
              <w:pStyle w:val="BodyTextIndent"/>
              <w:spacing w:before="60" w:after="60"/>
              <w:jc w:val="center"/>
              <w:rPr>
                <w:rFonts w:cs="Arial"/>
                <w:lang w:val="pt-BR"/>
              </w:rPr>
            </w:pPr>
            <w:r w:rsidRPr="005B5418">
              <w:rPr>
                <w:rFonts w:eastAsia="Arial Unicode MS"/>
                <w:b/>
                <w:sz w:val="24"/>
              </w:rPr>
              <w:t>Intragovernmental Leases</w:t>
            </w:r>
            <w:r w:rsidR="00615D26" w:rsidRPr="005B5418">
              <w:rPr>
                <w:rFonts w:eastAsia="Arial Unicode MS"/>
                <w:b/>
                <w:sz w:val="24"/>
              </w:rPr>
              <w:t xml:space="preserve"> - Lessor Treatment</w:t>
            </w:r>
          </w:p>
        </w:tc>
      </w:tr>
      <w:tr w:rsidR="00A8550A" w:rsidRPr="005B5418" w14:paraId="7A874772" w14:textId="77777777" w:rsidTr="00935832">
        <w:trPr>
          <w:trHeight w:val="413"/>
        </w:trPr>
        <w:tc>
          <w:tcPr>
            <w:tcW w:w="9715" w:type="dxa"/>
            <w:gridSpan w:val="3"/>
          </w:tcPr>
          <w:p w14:paraId="4F8348A8" w14:textId="5A7C8BC6" w:rsidR="00A8550A" w:rsidRPr="005B5418" w:rsidRDefault="00A8550A" w:rsidP="00935832">
            <w:pPr>
              <w:pStyle w:val="BodyTextIndent"/>
              <w:tabs>
                <w:tab w:val="left" w:pos="851"/>
              </w:tabs>
              <w:spacing w:before="60" w:after="60"/>
              <w:rPr>
                <w:rFonts w:cs="Arial"/>
                <w:lang w:val="pt-BR"/>
              </w:rPr>
            </w:pPr>
            <w:r w:rsidRPr="005B5418">
              <w:rPr>
                <w:rFonts w:eastAsia="Arial Unicode MS"/>
                <w:b/>
                <w:szCs w:val="22"/>
              </w:rPr>
              <w:t>Accounting</w:t>
            </w:r>
          </w:p>
        </w:tc>
      </w:tr>
      <w:tr w:rsidR="00A8550A" w:rsidRPr="005B5418" w14:paraId="3D2A1564" w14:textId="77777777" w:rsidTr="00935832">
        <w:trPr>
          <w:trHeight w:val="1358"/>
        </w:trPr>
        <w:tc>
          <w:tcPr>
            <w:tcW w:w="5395" w:type="dxa"/>
          </w:tcPr>
          <w:p w14:paraId="3B4C7D78" w14:textId="4F120821" w:rsidR="00A8550A" w:rsidRPr="005B5418" w:rsidRDefault="00A8550A"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recognize lease receipts, including lease-related operating costs (for example, maintenance, utilities, taxes, etc.) received from the lessee, as income based on the provisions of the contract or agreement and standards regarding recognition of accounts receivable and other related amounts? (SFFAS 54, para. 28)</w:t>
            </w:r>
          </w:p>
        </w:tc>
        <w:tc>
          <w:tcPr>
            <w:tcW w:w="990" w:type="dxa"/>
          </w:tcPr>
          <w:p w14:paraId="00762842" w14:textId="77777777" w:rsidR="00A8550A" w:rsidRPr="005B5418" w:rsidRDefault="00A8550A" w:rsidP="00A8550A">
            <w:pPr>
              <w:pStyle w:val="Table-Cell-CenterBoldBefore6ptAfter6pt"/>
              <w:spacing w:before="60" w:after="60"/>
              <w:rPr>
                <w:rFonts w:cs="Arial"/>
                <w:lang w:val="pt-BR"/>
              </w:rPr>
            </w:pPr>
          </w:p>
        </w:tc>
        <w:tc>
          <w:tcPr>
            <w:tcW w:w="3330" w:type="dxa"/>
          </w:tcPr>
          <w:p w14:paraId="4FF32047" w14:textId="77777777" w:rsidR="00A8550A" w:rsidRPr="005B5418" w:rsidRDefault="00A8550A" w:rsidP="00A8550A">
            <w:pPr>
              <w:pStyle w:val="BodyTextIndent"/>
              <w:spacing w:before="60" w:after="60"/>
              <w:rPr>
                <w:rFonts w:cs="Arial"/>
                <w:lang w:val="pt-BR"/>
              </w:rPr>
            </w:pPr>
          </w:p>
        </w:tc>
      </w:tr>
      <w:tr w:rsidR="00A8550A" w:rsidRPr="005B5418" w14:paraId="34235FEE" w14:textId="77777777" w:rsidTr="00935832">
        <w:trPr>
          <w:trHeight w:val="1358"/>
        </w:trPr>
        <w:tc>
          <w:tcPr>
            <w:tcW w:w="5395" w:type="dxa"/>
          </w:tcPr>
          <w:p w14:paraId="3469E5D2" w14:textId="4079397E" w:rsidR="00A8550A" w:rsidRPr="005B5418" w:rsidRDefault="00A8550A" w:rsidP="005425ED">
            <w:pPr>
              <w:pStyle w:val="FAM-Table-outline"/>
              <w:widowControl/>
              <w:numPr>
                <w:ilvl w:val="0"/>
                <w:numId w:val="126"/>
              </w:numPr>
              <w:adjustRightInd/>
              <w:spacing w:line="240" w:lineRule="auto"/>
              <w:textAlignment w:val="auto"/>
            </w:pPr>
            <w:r w:rsidRPr="005B5418">
              <w:lastRenderedPageBreak/>
              <w:t xml:space="preserve">Does the </w:t>
            </w:r>
            <w:r w:rsidRPr="005B5418">
              <w:rPr>
                <w:b/>
                <w:bCs/>
              </w:rPr>
              <w:t>lessor</w:t>
            </w:r>
            <w:r w:rsidRPr="005B5418">
              <w:t xml:space="preserve"> recognize rent paid in advance or </w:t>
            </w:r>
            <w:r w:rsidR="00735F53" w:rsidRPr="005B5418">
              <w:t>rent</w:t>
            </w:r>
            <w:r w:rsidR="00F75FA6" w:rsidRPr="005B5418">
              <w:t xml:space="preserve"> </w:t>
            </w:r>
            <w:r w:rsidRPr="005B5418">
              <w:t>receivable as a liability or asset, respectively? (SFFAS 54, para. 28)</w:t>
            </w:r>
          </w:p>
        </w:tc>
        <w:tc>
          <w:tcPr>
            <w:tcW w:w="990" w:type="dxa"/>
          </w:tcPr>
          <w:p w14:paraId="5DA28932" w14:textId="77777777" w:rsidR="00A8550A" w:rsidRPr="005B5418" w:rsidRDefault="00A8550A" w:rsidP="00A8550A">
            <w:pPr>
              <w:pStyle w:val="Table-Cell-CenterBoldBefore6ptAfter6pt"/>
              <w:spacing w:before="60" w:after="60"/>
              <w:rPr>
                <w:rFonts w:cs="Arial"/>
                <w:lang w:val="pt-BR"/>
              </w:rPr>
            </w:pPr>
          </w:p>
        </w:tc>
        <w:tc>
          <w:tcPr>
            <w:tcW w:w="3330" w:type="dxa"/>
          </w:tcPr>
          <w:p w14:paraId="3F76302F" w14:textId="77777777" w:rsidR="00A8550A" w:rsidRPr="005B5418" w:rsidRDefault="00A8550A" w:rsidP="00A8550A">
            <w:pPr>
              <w:pStyle w:val="BodyTextIndent"/>
              <w:spacing w:before="60" w:after="60"/>
              <w:rPr>
                <w:rFonts w:cs="Arial"/>
                <w:lang w:val="pt-BR"/>
              </w:rPr>
            </w:pPr>
          </w:p>
        </w:tc>
      </w:tr>
      <w:tr w:rsidR="00A8550A" w:rsidRPr="005B5418" w14:paraId="39536150" w14:textId="77777777" w:rsidTr="00935832">
        <w:trPr>
          <w:trHeight w:val="1358"/>
        </w:trPr>
        <w:tc>
          <w:tcPr>
            <w:tcW w:w="5395" w:type="dxa"/>
          </w:tcPr>
          <w:p w14:paraId="728C4FE4" w14:textId="6EB14875" w:rsidR="00A8550A" w:rsidRPr="005B5418" w:rsidRDefault="00A8550A"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recognize income in the appropriate reporting period based on the specifics of the lease provisions? (SFFAS 54, para. 28)</w:t>
            </w:r>
          </w:p>
        </w:tc>
        <w:tc>
          <w:tcPr>
            <w:tcW w:w="990" w:type="dxa"/>
          </w:tcPr>
          <w:p w14:paraId="0BE1D540" w14:textId="77777777" w:rsidR="00A8550A" w:rsidRPr="005B5418" w:rsidRDefault="00A8550A" w:rsidP="00A8550A">
            <w:pPr>
              <w:pStyle w:val="Table-Cell-CenterBoldBefore6ptAfter6pt"/>
              <w:spacing w:before="60" w:after="60"/>
              <w:rPr>
                <w:rFonts w:cs="Arial"/>
                <w:lang w:val="pt-BR"/>
              </w:rPr>
            </w:pPr>
          </w:p>
        </w:tc>
        <w:tc>
          <w:tcPr>
            <w:tcW w:w="3330" w:type="dxa"/>
          </w:tcPr>
          <w:p w14:paraId="71BEA1D5" w14:textId="77777777" w:rsidR="00A8550A" w:rsidRPr="005B5418" w:rsidRDefault="00A8550A" w:rsidP="00A8550A">
            <w:pPr>
              <w:pStyle w:val="BodyTextIndent"/>
              <w:spacing w:before="60" w:after="60"/>
              <w:rPr>
                <w:rFonts w:cs="Arial"/>
                <w:lang w:val="pt-BR"/>
              </w:rPr>
            </w:pPr>
          </w:p>
        </w:tc>
      </w:tr>
      <w:tr w:rsidR="00A8550A" w:rsidRPr="005B5418" w14:paraId="44D9D358" w14:textId="77777777" w:rsidTr="00935832">
        <w:trPr>
          <w:trHeight w:val="1358"/>
        </w:trPr>
        <w:tc>
          <w:tcPr>
            <w:tcW w:w="5395" w:type="dxa"/>
          </w:tcPr>
          <w:p w14:paraId="383A98E4" w14:textId="746295E4" w:rsidR="00A8550A" w:rsidRPr="005B5418" w:rsidRDefault="00A8550A"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425ED">
              <w:t xml:space="preserve"> </w:t>
            </w:r>
            <w:r w:rsidRPr="005B5418">
              <w:t>recognize rental increases, rental decreases, lease incentives, and lease concessions when incurred as increases/reductions to lease rental income? (SFFAS 54, para. 31)</w:t>
            </w:r>
          </w:p>
        </w:tc>
        <w:tc>
          <w:tcPr>
            <w:tcW w:w="990" w:type="dxa"/>
          </w:tcPr>
          <w:p w14:paraId="3B08456F" w14:textId="77777777" w:rsidR="00A8550A" w:rsidRPr="005B5418" w:rsidRDefault="00A8550A" w:rsidP="00A8550A">
            <w:pPr>
              <w:pStyle w:val="Table-Cell-CenterBoldBefore6ptAfter6pt"/>
              <w:spacing w:before="60" w:after="60"/>
              <w:rPr>
                <w:rFonts w:cs="Arial"/>
                <w:lang w:val="pt-BR"/>
              </w:rPr>
            </w:pPr>
          </w:p>
        </w:tc>
        <w:tc>
          <w:tcPr>
            <w:tcW w:w="3330" w:type="dxa"/>
          </w:tcPr>
          <w:p w14:paraId="475C8EA9" w14:textId="77777777" w:rsidR="00A8550A" w:rsidRPr="005B5418" w:rsidRDefault="00A8550A" w:rsidP="00A8550A">
            <w:pPr>
              <w:pStyle w:val="BodyTextIndent"/>
              <w:spacing w:before="60" w:after="60"/>
              <w:rPr>
                <w:rFonts w:cs="Arial"/>
                <w:lang w:val="pt-BR"/>
              </w:rPr>
            </w:pPr>
          </w:p>
        </w:tc>
      </w:tr>
      <w:tr w:rsidR="00A8550A" w:rsidRPr="005B5418" w14:paraId="697AEF50" w14:textId="77777777" w:rsidTr="00935832">
        <w:trPr>
          <w:trHeight w:val="1358"/>
        </w:trPr>
        <w:tc>
          <w:tcPr>
            <w:tcW w:w="5395" w:type="dxa"/>
          </w:tcPr>
          <w:p w14:paraId="372A13B1" w14:textId="6FBEB8B9" w:rsidR="00A8550A" w:rsidRPr="005B5418" w:rsidRDefault="00A8550A" w:rsidP="005425ED">
            <w:pPr>
              <w:pStyle w:val="FAM-Table-outline"/>
              <w:widowControl/>
              <w:numPr>
                <w:ilvl w:val="0"/>
                <w:numId w:val="126"/>
              </w:numPr>
              <w:adjustRightInd/>
              <w:spacing w:line="240" w:lineRule="auto"/>
              <w:textAlignment w:val="auto"/>
            </w:pPr>
            <w:r w:rsidRPr="005B5418">
              <w:t>Are</w:t>
            </w:r>
            <w:r w:rsidRPr="005425ED">
              <w:t xml:space="preserve"> </w:t>
            </w:r>
            <w:r w:rsidRPr="005B5418">
              <w:rPr>
                <w:b/>
                <w:bCs/>
              </w:rPr>
              <w:t>lessor</w:t>
            </w:r>
            <w:r w:rsidRPr="005B5418">
              <w:t xml:space="preserve"> improvements, as components of the leased property, capitalized and depreciated over their useful life consistent with the accounting for PP&amp;E outlined in SFFAS 6</w:t>
            </w:r>
            <w:r w:rsidR="00BD227F" w:rsidRPr="005B5418">
              <w:t>,</w:t>
            </w:r>
            <w:r w:rsidRPr="005B5418">
              <w:t xml:space="preserve"> par</w:t>
            </w:r>
            <w:r w:rsidR="00BD227F" w:rsidRPr="005B5418">
              <w:t>a</w:t>
            </w:r>
            <w:r w:rsidRPr="005B5418">
              <w:t>. 37? (SFFAS 54, para. 35)</w:t>
            </w:r>
          </w:p>
        </w:tc>
        <w:tc>
          <w:tcPr>
            <w:tcW w:w="990" w:type="dxa"/>
          </w:tcPr>
          <w:p w14:paraId="64424E8E" w14:textId="77777777" w:rsidR="00A8550A" w:rsidRPr="005B5418" w:rsidRDefault="00A8550A" w:rsidP="00A8550A">
            <w:pPr>
              <w:pStyle w:val="Table-Cell-CenterBoldBefore6ptAfter6pt"/>
              <w:spacing w:before="60" w:after="60"/>
              <w:rPr>
                <w:rFonts w:cs="Arial"/>
                <w:lang w:val="pt-BR"/>
              </w:rPr>
            </w:pPr>
          </w:p>
        </w:tc>
        <w:tc>
          <w:tcPr>
            <w:tcW w:w="3330" w:type="dxa"/>
          </w:tcPr>
          <w:p w14:paraId="5ECC94F2" w14:textId="77777777" w:rsidR="00A8550A" w:rsidRPr="005B5418" w:rsidRDefault="00A8550A" w:rsidP="00A8550A">
            <w:pPr>
              <w:pStyle w:val="BodyTextIndent"/>
              <w:spacing w:before="60" w:after="60"/>
              <w:rPr>
                <w:rFonts w:cs="Arial"/>
                <w:lang w:val="pt-BR"/>
              </w:rPr>
            </w:pPr>
          </w:p>
        </w:tc>
      </w:tr>
      <w:tr w:rsidR="00A8550A" w:rsidRPr="005B5418" w14:paraId="7523759C" w14:textId="77777777" w:rsidTr="00935832">
        <w:trPr>
          <w:trHeight w:val="1358"/>
        </w:trPr>
        <w:tc>
          <w:tcPr>
            <w:tcW w:w="5395" w:type="dxa"/>
          </w:tcPr>
          <w:p w14:paraId="2CC08E8F" w14:textId="4AE059D5" w:rsidR="00A8550A" w:rsidRPr="005B5418" w:rsidRDefault="00A8550A" w:rsidP="005425ED">
            <w:pPr>
              <w:pStyle w:val="FAM-Table-outline"/>
              <w:widowControl/>
              <w:numPr>
                <w:ilvl w:val="0"/>
                <w:numId w:val="126"/>
              </w:numPr>
              <w:adjustRightInd/>
              <w:spacing w:line="240" w:lineRule="auto"/>
              <w:textAlignment w:val="auto"/>
            </w:pPr>
            <w:r w:rsidRPr="005B5418">
              <w:t>Are initial direct lease costs</w:t>
            </w:r>
            <w:r w:rsidR="00BD227F" w:rsidRPr="005B5418">
              <w:t xml:space="preserve"> </w:t>
            </w:r>
            <w:r w:rsidRPr="005B5418">
              <w:t xml:space="preserve">incurred by the </w:t>
            </w:r>
            <w:r w:rsidRPr="005B5418">
              <w:rPr>
                <w:b/>
                <w:bCs/>
              </w:rPr>
              <w:t>lessor</w:t>
            </w:r>
            <w:r w:rsidRPr="005B5418">
              <w:t xml:space="preserve"> expensed when incurred? (SFFAS 54, para. 36)</w:t>
            </w:r>
          </w:p>
        </w:tc>
        <w:tc>
          <w:tcPr>
            <w:tcW w:w="990" w:type="dxa"/>
          </w:tcPr>
          <w:p w14:paraId="7229C5CF" w14:textId="77777777" w:rsidR="00A8550A" w:rsidRPr="005B5418" w:rsidRDefault="00A8550A" w:rsidP="00A8550A">
            <w:pPr>
              <w:pStyle w:val="Table-Cell-CenterBoldBefore6ptAfter6pt"/>
              <w:spacing w:before="60" w:after="60"/>
              <w:rPr>
                <w:rFonts w:cs="Arial"/>
                <w:lang w:val="pt-BR"/>
              </w:rPr>
            </w:pPr>
          </w:p>
        </w:tc>
        <w:tc>
          <w:tcPr>
            <w:tcW w:w="3330" w:type="dxa"/>
          </w:tcPr>
          <w:p w14:paraId="47968970" w14:textId="77777777" w:rsidR="00A8550A" w:rsidRPr="005B5418" w:rsidRDefault="00A8550A" w:rsidP="00A8550A">
            <w:pPr>
              <w:pStyle w:val="BodyTextIndent"/>
              <w:spacing w:before="60" w:after="60"/>
              <w:rPr>
                <w:rFonts w:cs="Arial"/>
                <w:lang w:val="pt-BR"/>
              </w:rPr>
            </w:pPr>
          </w:p>
        </w:tc>
      </w:tr>
      <w:tr w:rsidR="00A8550A" w:rsidRPr="005B5418" w14:paraId="0748D99A" w14:textId="77777777" w:rsidTr="00935832">
        <w:trPr>
          <w:trHeight w:val="350"/>
        </w:trPr>
        <w:tc>
          <w:tcPr>
            <w:tcW w:w="9715" w:type="dxa"/>
            <w:gridSpan w:val="3"/>
          </w:tcPr>
          <w:p w14:paraId="3C042D41" w14:textId="236863FF" w:rsidR="00A8550A" w:rsidRPr="005B5418" w:rsidRDefault="00A8550A" w:rsidP="00A8550A">
            <w:pPr>
              <w:pStyle w:val="BodyTextIndent"/>
              <w:spacing w:before="60" w:after="60"/>
              <w:rPr>
                <w:rFonts w:cs="Arial"/>
                <w:lang w:val="pt-BR"/>
              </w:rPr>
            </w:pPr>
            <w:r w:rsidRPr="005B5418">
              <w:rPr>
                <w:rFonts w:eastAsia="Arial Unicode MS"/>
                <w:b/>
                <w:szCs w:val="22"/>
              </w:rPr>
              <w:t>Disclosure</w:t>
            </w:r>
          </w:p>
        </w:tc>
      </w:tr>
      <w:tr w:rsidR="00A8550A" w:rsidRPr="005B5418" w14:paraId="1C90E33B" w14:textId="77777777" w:rsidTr="00935832">
        <w:trPr>
          <w:trHeight w:val="1358"/>
        </w:trPr>
        <w:tc>
          <w:tcPr>
            <w:tcW w:w="5395" w:type="dxa"/>
          </w:tcPr>
          <w:p w14:paraId="101C3C8D" w14:textId="1B9C420E" w:rsidR="00A8550A" w:rsidRPr="005B5418" w:rsidRDefault="00A8550A"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disclose the following regarding intragovernmental lease activities (which may be grouped for purposes of disclosure)</w:t>
            </w:r>
            <w:r w:rsidR="00035465" w:rsidRPr="005B5418">
              <w:t>?</w:t>
            </w:r>
          </w:p>
          <w:p w14:paraId="264B9589" w14:textId="135A9D48" w:rsidR="00A8550A" w:rsidRPr="005B5418" w:rsidRDefault="00A8550A" w:rsidP="005425ED">
            <w:pPr>
              <w:pStyle w:val="FAM-Table-outline2"/>
              <w:spacing w:line="240" w:lineRule="auto"/>
              <w:ind w:left="1140" w:hanging="443"/>
            </w:pPr>
            <w:r w:rsidRPr="005B5418">
              <w:t>A general description of significant leases</w:t>
            </w:r>
            <w:r w:rsidRPr="005B5418">
              <w:rPr>
                <w:rStyle w:val="FootnoteReference"/>
              </w:rPr>
              <w:footnoteReference w:id="204"/>
            </w:r>
          </w:p>
          <w:p w14:paraId="3CB477F8" w14:textId="16509B78" w:rsidR="00A8550A" w:rsidRPr="005B5418" w:rsidRDefault="00A8550A" w:rsidP="005425ED">
            <w:pPr>
              <w:pStyle w:val="FAM-Table-outline2"/>
              <w:spacing w:line="240" w:lineRule="auto"/>
              <w:ind w:left="1140" w:hanging="443"/>
            </w:pPr>
            <w:r w:rsidRPr="005B5418">
              <w:t xml:space="preserve">Future lease payments that are to be received to the end of the lease term for each of the </w:t>
            </w:r>
            <w:r w:rsidR="00B001DF" w:rsidRPr="005B5418">
              <w:t>5</w:t>
            </w:r>
            <w:r w:rsidRPr="005B5418">
              <w:t xml:space="preserve"> subsequent fiscal years </w:t>
            </w:r>
            <w:r w:rsidR="00035465" w:rsidRPr="005B5418">
              <w:t xml:space="preserve">and </w:t>
            </w:r>
            <w:r w:rsidRPr="005B5418">
              <w:t xml:space="preserve">in </w:t>
            </w:r>
            <w:r w:rsidR="00B001DF" w:rsidRPr="005B5418">
              <w:t>5</w:t>
            </w:r>
            <w:r w:rsidRPr="005B5418">
              <w:t>-year increments thereafter</w:t>
            </w:r>
            <w:r w:rsidR="00833A5B" w:rsidRPr="005B5418">
              <w:rPr>
                <w:rStyle w:val="FootnoteReference"/>
              </w:rPr>
              <w:footnoteReference w:id="205"/>
            </w:r>
          </w:p>
          <w:p w14:paraId="601B2ED0" w14:textId="0B86F34C" w:rsidR="00A8550A" w:rsidRPr="005B5418" w:rsidRDefault="00A8550A" w:rsidP="005425ED">
            <w:pPr>
              <w:pStyle w:val="FAM-Table-outline"/>
              <w:widowControl/>
              <w:numPr>
                <w:ilvl w:val="0"/>
                <w:numId w:val="0"/>
              </w:numPr>
              <w:adjustRightInd/>
              <w:spacing w:line="240" w:lineRule="auto"/>
              <w:ind w:left="666"/>
              <w:textAlignment w:val="auto"/>
            </w:pPr>
            <w:r w:rsidRPr="005B5418">
              <w:t xml:space="preserve">(SFFAS 54, para. 38; also see </w:t>
            </w:r>
            <w:r w:rsidR="00C140EF" w:rsidRPr="005B5418">
              <w:t>TR 20</w:t>
            </w:r>
            <w:r w:rsidRPr="005B5418">
              <w:t>, para. 42)</w:t>
            </w:r>
          </w:p>
        </w:tc>
        <w:tc>
          <w:tcPr>
            <w:tcW w:w="990" w:type="dxa"/>
          </w:tcPr>
          <w:p w14:paraId="0DDFD46E" w14:textId="77777777" w:rsidR="00A8550A" w:rsidRPr="005B5418" w:rsidRDefault="00A8550A" w:rsidP="00A8550A">
            <w:pPr>
              <w:pStyle w:val="Table-Cell-CenterBoldBefore6ptAfter6pt"/>
              <w:spacing w:before="60" w:after="60"/>
              <w:rPr>
                <w:rFonts w:cs="Arial"/>
                <w:lang w:val="pt-BR"/>
              </w:rPr>
            </w:pPr>
          </w:p>
        </w:tc>
        <w:tc>
          <w:tcPr>
            <w:tcW w:w="3330" w:type="dxa"/>
          </w:tcPr>
          <w:p w14:paraId="5EE544E5" w14:textId="77777777" w:rsidR="00A8550A" w:rsidRPr="005B5418" w:rsidRDefault="00A8550A" w:rsidP="00A8550A">
            <w:pPr>
              <w:pStyle w:val="BodyTextIndent"/>
              <w:spacing w:before="60" w:after="60"/>
              <w:rPr>
                <w:rFonts w:cs="Arial"/>
                <w:lang w:val="pt-BR"/>
              </w:rPr>
            </w:pPr>
          </w:p>
        </w:tc>
      </w:tr>
      <w:tr w:rsidR="00A8550A" w:rsidRPr="005B5418" w14:paraId="7D5D2865" w14:textId="77777777" w:rsidTr="00935832">
        <w:trPr>
          <w:trHeight w:val="548"/>
        </w:trPr>
        <w:tc>
          <w:tcPr>
            <w:tcW w:w="9715" w:type="dxa"/>
            <w:gridSpan w:val="3"/>
          </w:tcPr>
          <w:p w14:paraId="018C45C4" w14:textId="0EE1FFC2" w:rsidR="00A8550A" w:rsidRPr="005B5418" w:rsidRDefault="00A8550A" w:rsidP="00A8550A">
            <w:pPr>
              <w:pStyle w:val="BodyTextIndent"/>
              <w:spacing w:before="60" w:after="60"/>
              <w:rPr>
                <w:rFonts w:cs="Arial"/>
                <w:sz w:val="28"/>
                <w:szCs w:val="28"/>
                <w:lang w:val="pt-BR"/>
              </w:rPr>
            </w:pPr>
            <w:r w:rsidRPr="005B5418">
              <w:rPr>
                <w:rFonts w:cs="Arial"/>
                <w:b/>
                <w:sz w:val="28"/>
                <w:szCs w:val="28"/>
              </w:rPr>
              <w:lastRenderedPageBreak/>
              <w:t>Lease Terms</w:t>
            </w:r>
            <w:r w:rsidR="00CE1425" w:rsidRPr="005B5418">
              <w:rPr>
                <w:sz w:val="28"/>
                <w:szCs w:val="28"/>
              </w:rPr>
              <w:t xml:space="preserve"> </w:t>
            </w:r>
            <w:r w:rsidR="00CE1425" w:rsidRPr="005B5418">
              <w:rPr>
                <w:b/>
                <w:bCs/>
                <w:sz w:val="28"/>
                <w:szCs w:val="28"/>
              </w:rPr>
              <w:t>(</w:t>
            </w:r>
            <w:r w:rsidR="00CE1425" w:rsidRPr="005B5418">
              <w:rPr>
                <w:rFonts w:cs="Arial"/>
                <w:b/>
                <w:sz w:val="28"/>
                <w:szCs w:val="28"/>
              </w:rPr>
              <w:t>applies to both Short-term and Non-Federal Leases)</w:t>
            </w:r>
          </w:p>
        </w:tc>
      </w:tr>
      <w:tr w:rsidR="00A8550A" w:rsidRPr="005B5418" w14:paraId="0DB07B91" w14:textId="77777777" w:rsidTr="00935832">
        <w:trPr>
          <w:trHeight w:val="539"/>
        </w:trPr>
        <w:tc>
          <w:tcPr>
            <w:tcW w:w="9715" w:type="dxa"/>
            <w:gridSpan w:val="3"/>
          </w:tcPr>
          <w:p w14:paraId="79E3B3BC" w14:textId="06213CF1" w:rsidR="00A8550A" w:rsidRPr="005B5418" w:rsidRDefault="00A8550A" w:rsidP="00A8550A">
            <w:pPr>
              <w:pStyle w:val="BodyTextIndent"/>
              <w:spacing w:before="60" w:after="60"/>
              <w:rPr>
                <w:rFonts w:cs="Arial"/>
                <w:lang w:val="pt-BR"/>
              </w:rPr>
            </w:pPr>
            <w:r w:rsidRPr="005B5418">
              <w:rPr>
                <w:rFonts w:cs="Arial"/>
                <w:lang w:val="pt-BR"/>
              </w:rPr>
              <w:t>The lease term is defined as the noncancelable period plus certain periods subject to options to extend or terminate the lease. The noncancelable period is the shorter of</w:t>
            </w:r>
          </w:p>
          <w:p w14:paraId="6ECE26CD" w14:textId="5A1111BF" w:rsidR="00A8550A" w:rsidRPr="005B5418" w:rsidRDefault="00A8550A" w:rsidP="00A8550A">
            <w:pPr>
              <w:pStyle w:val="BodyTextIndent"/>
              <w:spacing w:before="60" w:after="60"/>
              <w:rPr>
                <w:rFonts w:cs="Arial"/>
                <w:lang w:val="pt-BR"/>
              </w:rPr>
            </w:pPr>
            <w:r w:rsidRPr="005B5418">
              <w:rPr>
                <w:rFonts w:cs="Arial"/>
                <w:lang w:val="pt-BR"/>
              </w:rPr>
              <w:t>a. the period identified in the lease contract or agreement that precedes any option to</w:t>
            </w:r>
            <w:r w:rsidR="00035465" w:rsidRPr="005B5418">
              <w:rPr>
                <w:rFonts w:cs="Arial"/>
                <w:lang w:val="pt-BR"/>
              </w:rPr>
              <w:t xml:space="preserve"> </w:t>
            </w:r>
            <w:r w:rsidRPr="005B5418">
              <w:rPr>
                <w:rFonts w:cs="Arial"/>
                <w:lang w:val="pt-BR"/>
              </w:rPr>
              <w:t>extend the lease or</w:t>
            </w:r>
          </w:p>
          <w:p w14:paraId="7FB335A9" w14:textId="5BE2AC38" w:rsidR="00A8550A" w:rsidRPr="005B5418" w:rsidRDefault="00A8550A" w:rsidP="00A8550A">
            <w:pPr>
              <w:pStyle w:val="BodyTextIndent"/>
              <w:spacing w:before="60" w:after="60"/>
              <w:rPr>
                <w:rFonts w:cs="Arial"/>
                <w:lang w:val="pt-BR"/>
              </w:rPr>
            </w:pPr>
            <w:r w:rsidRPr="005B5418">
              <w:rPr>
                <w:rFonts w:cs="Arial"/>
                <w:lang w:val="pt-BR"/>
              </w:rPr>
              <w:t>b. the period identified in the lease contract or agreement that precedes the first option to</w:t>
            </w:r>
            <w:r w:rsidR="00035465" w:rsidRPr="005B5418">
              <w:rPr>
                <w:rFonts w:cs="Arial"/>
                <w:lang w:val="pt-BR"/>
              </w:rPr>
              <w:t xml:space="preserve"> </w:t>
            </w:r>
            <w:r w:rsidRPr="005B5418">
              <w:rPr>
                <w:rFonts w:cs="Arial"/>
                <w:lang w:val="pt-BR"/>
              </w:rPr>
              <w:t>terminate the lease. (SFFAS 54, para. 14)</w:t>
            </w:r>
          </w:p>
          <w:p w14:paraId="478D686E" w14:textId="6CC8F9AA" w:rsidR="00A8550A" w:rsidRPr="005B5418" w:rsidRDefault="00A8550A" w:rsidP="00A8550A">
            <w:pPr>
              <w:pStyle w:val="BodyTextIndent"/>
              <w:spacing w:before="60" w:after="60"/>
              <w:rPr>
                <w:rFonts w:cs="Arial"/>
                <w:lang w:val="pt-BR"/>
              </w:rPr>
            </w:pPr>
            <w:r w:rsidRPr="005B5418">
              <w:rPr>
                <w:rFonts w:cs="Arial"/>
                <w:lang w:val="pt-BR"/>
              </w:rPr>
              <w:t>In determining the lease term, entities should take into account contract or agreement combinations in accordance with para</w:t>
            </w:r>
            <w:r w:rsidR="00035465" w:rsidRPr="005B5418">
              <w:rPr>
                <w:rFonts w:cs="Arial"/>
                <w:lang w:val="pt-BR"/>
              </w:rPr>
              <w:t>graphs</w:t>
            </w:r>
            <w:r w:rsidRPr="005B5418">
              <w:rPr>
                <w:rFonts w:cs="Arial"/>
                <w:lang w:val="pt-BR"/>
              </w:rPr>
              <w:t xml:space="preserve"> 78</w:t>
            </w:r>
            <w:r w:rsidR="00035465" w:rsidRPr="005B5418">
              <w:rPr>
                <w:rFonts w:cs="Arial"/>
                <w:lang w:val="pt-BR"/>
              </w:rPr>
              <w:t>–</w:t>
            </w:r>
            <w:r w:rsidRPr="005B5418">
              <w:rPr>
                <w:rFonts w:cs="Arial"/>
                <w:lang w:val="pt-BR"/>
              </w:rPr>
              <w:t>79 of SFFAS 54.</w:t>
            </w:r>
          </w:p>
          <w:p w14:paraId="0C76C2EC" w14:textId="2D68F993" w:rsidR="00D242C3" w:rsidRPr="005B5418" w:rsidRDefault="00D242C3" w:rsidP="00A8550A">
            <w:pPr>
              <w:pStyle w:val="BodyTextIndent"/>
              <w:spacing w:before="60" w:after="60"/>
              <w:rPr>
                <w:rFonts w:cs="Arial"/>
                <w:lang w:val="pt-BR"/>
              </w:rPr>
            </w:pPr>
            <w:r w:rsidRPr="005B5418">
              <w:t>In determining whether it is “probable” that a cancellation clause will be exercised under SFFAS 54</w:t>
            </w:r>
            <w:r w:rsidR="00035465" w:rsidRPr="005B5418">
              <w:t>,</w:t>
            </w:r>
            <w:r w:rsidRPr="005B5418">
              <w:t xml:space="preserve"> paragraphs 15</w:t>
            </w:r>
            <w:r w:rsidR="00850F27" w:rsidRPr="005B5418">
              <w:t xml:space="preserve"> </w:t>
            </w:r>
            <w:r w:rsidRPr="005B5418">
              <w:t>through</w:t>
            </w:r>
            <w:r w:rsidR="00850F27" w:rsidRPr="005B5418">
              <w:t xml:space="preserve"> </w:t>
            </w:r>
            <w:r w:rsidRPr="005B5418">
              <w:t xml:space="preserve">19, management should consider all relevant factors. (A-136, section II.3.2.4) </w:t>
            </w:r>
          </w:p>
          <w:p w14:paraId="7A403EA7" w14:textId="35A3594B" w:rsidR="00A8550A" w:rsidRPr="005B5418" w:rsidRDefault="00A8550A" w:rsidP="00A8550A">
            <w:pPr>
              <w:pStyle w:val="BodyTextIndent"/>
              <w:spacing w:before="60" w:after="60"/>
              <w:rPr>
                <w:rFonts w:cs="Arial"/>
                <w:lang w:val="pt-BR"/>
              </w:rPr>
            </w:pPr>
            <w:r w:rsidRPr="005B5418">
              <w:rPr>
                <w:rFonts w:cs="Arial"/>
                <w:lang w:val="pt-BR"/>
              </w:rPr>
              <w:t xml:space="preserve">Also see </w:t>
            </w:r>
            <w:r w:rsidR="00C140EF" w:rsidRPr="005B5418">
              <w:rPr>
                <w:rFonts w:cs="Arial"/>
                <w:lang w:val="pt-BR"/>
              </w:rPr>
              <w:t>TR 20</w:t>
            </w:r>
            <w:r w:rsidRPr="005B5418">
              <w:rPr>
                <w:rFonts w:cs="Arial"/>
                <w:lang w:val="pt-BR"/>
              </w:rPr>
              <w:t>, par</w:t>
            </w:r>
            <w:r w:rsidR="00035465" w:rsidRPr="005B5418">
              <w:rPr>
                <w:rFonts w:cs="Arial"/>
                <w:lang w:val="pt-BR"/>
              </w:rPr>
              <w:t>a</w:t>
            </w:r>
            <w:r w:rsidR="00A634F7" w:rsidRPr="005B5418">
              <w:rPr>
                <w:rFonts w:cs="Arial"/>
                <w:lang w:val="pt-BR"/>
              </w:rPr>
              <w:t>graphs</w:t>
            </w:r>
            <w:r w:rsidRPr="005B5418">
              <w:rPr>
                <w:rFonts w:cs="Arial"/>
                <w:lang w:val="pt-BR"/>
              </w:rPr>
              <w:t xml:space="preserve"> 20</w:t>
            </w:r>
            <w:r w:rsidR="00035465" w:rsidRPr="005B5418">
              <w:rPr>
                <w:rFonts w:cs="Arial"/>
                <w:lang w:val="pt-BR"/>
              </w:rPr>
              <w:t>–</w:t>
            </w:r>
            <w:r w:rsidRPr="005B5418">
              <w:rPr>
                <w:rFonts w:cs="Arial"/>
                <w:lang w:val="pt-BR"/>
              </w:rPr>
              <w:t>35.</w:t>
            </w:r>
          </w:p>
        </w:tc>
      </w:tr>
      <w:tr w:rsidR="007B6D06" w:rsidRPr="005B5418" w14:paraId="24247D2F" w14:textId="77777777" w:rsidTr="00190C4D">
        <w:trPr>
          <w:trHeight w:val="89"/>
        </w:trPr>
        <w:tc>
          <w:tcPr>
            <w:tcW w:w="5395" w:type="dxa"/>
          </w:tcPr>
          <w:p w14:paraId="5F0DEE1E" w14:textId="11C48192" w:rsidR="007B6D06" w:rsidRPr="005B5418" w:rsidRDefault="007B6D06" w:rsidP="005425ED">
            <w:pPr>
              <w:pStyle w:val="FAM-Table-outline"/>
              <w:widowControl/>
              <w:numPr>
                <w:ilvl w:val="0"/>
                <w:numId w:val="126"/>
              </w:numPr>
              <w:adjustRightInd/>
              <w:spacing w:line="240" w:lineRule="auto"/>
              <w:textAlignment w:val="auto"/>
            </w:pPr>
            <w:r w:rsidRPr="005B5418">
              <w:t xml:space="preserve">Are </w:t>
            </w:r>
            <w:r w:rsidR="00110A01" w:rsidRPr="005B5418">
              <w:t>n</w:t>
            </w:r>
            <w:r w:rsidRPr="005B5418">
              <w:t>on</w:t>
            </w:r>
            <w:r w:rsidR="006E711C" w:rsidRPr="005B5418">
              <w:t>-</w:t>
            </w:r>
            <w:r w:rsidR="00110A01" w:rsidRPr="005B5418">
              <w:t>i</w:t>
            </w:r>
            <w:r w:rsidRPr="005B5418">
              <w:t xml:space="preserve">ntragovernmental </w:t>
            </w:r>
            <w:r w:rsidR="00110A01" w:rsidRPr="005B5418">
              <w:t>l</w:t>
            </w:r>
            <w:r w:rsidRPr="005B5418">
              <w:t>eases</w:t>
            </w:r>
            <w:r w:rsidR="000A1285" w:rsidRPr="005B5418">
              <w:t xml:space="preserve"> (i.e.</w:t>
            </w:r>
            <w:r w:rsidR="00110A01" w:rsidRPr="005B5418">
              <w:t>,</w:t>
            </w:r>
            <w:r w:rsidR="000A1285" w:rsidRPr="005B5418">
              <w:t xml:space="preserve"> short-term or non-federal)</w:t>
            </w:r>
            <w:r w:rsidRPr="005B5418">
              <w:t xml:space="preserve"> applicable to the entity’s financial statements? (Answer Y if applicable, N/A if not applicable, or N/S if not significant. If N/A or N/S, skip to the </w:t>
            </w:r>
            <w:r w:rsidR="007A60B9" w:rsidRPr="005B5418">
              <w:t>Reimbursable Work Agreements</w:t>
            </w:r>
            <w:r w:rsidR="00F93E04" w:rsidRPr="005425ED">
              <w:t xml:space="preserve"> </w:t>
            </w:r>
            <w:r w:rsidRPr="005B5418">
              <w:t>subtopic)</w:t>
            </w:r>
          </w:p>
        </w:tc>
        <w:tc>
          <w:tcPr>
            <w:tcW w:w="990" w:type="dxa"/>
          </w:tcPr>
          <w:p w14:paraId="3474D914" w14:textId="77777777" w:rsidR="007B6D06" w:rsidRPr="005B5418" w:rsidRDefault="007B6D06" w:rsidP="00A8550A">
            <w:pPr>
              <w:pStyle w:val="Table-Cell-CenterBoldBefore6ptAfter6pt"/>
              <w:spacing w:before="60" w:after="60"/>
              <w:rPr>
                <w:rFonts w:cs="Arial"/>
                <w:lang w:val="pt-BR"/>
              </w:rPr>
            </w:pPr>
          </w:p>
        </w:tc>
        <w:tc>
          <w:tcPr>
            <w:tcW w:w="3330" w:type="dxa"/>
          </w:tcPr>
          <w:p w14:paraId="01B8A87D" w14:textId="77777777" w:rsidR="007B6D06" w:rsidRPr="005B5418" w:rsidRDefault="007B6D06" w:rsidP="00A8550A">
            <w:pPr>
              <w:pStyle w:val="BodyTextIndent"/>
              <w:spacing w:before="60" w:after="60"/>
              <w:rPr>
                <w:rFonts w:cs="Arial"/>
                <w:lang w:val="pt-BR"/>
              </w:rPr>
            </w:pPr>
          </w:p>
        </w:tc>
      </w:tr>
      <w:tr w:rsidR="00A8550A" w:rsidRPr="005B5418" w14:paraId="603DA562" w14:textId="77777777" w:rsidTr="00935832">
        <w:trPr>
          <w:trHeight w:val="89"/>
        </w:trPr>
        <w:tc>
          <w:tcPr>
            <w:tcW w:w="5395" w:type="dxa"/>
          </w:tcPr>
          <w:p w14:paraId="4681168F" w14:textId="196EED31" w:rsidR="00A8550A" w:rsidRPr="005B5418" w:rsidRDefault="00A8550A"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lessee’s</w:t>
            </w:r>
            <w:r w:rsidRPr="005B5418">
              <w:t xml:space="preserve"> term include the noncancelable period</w:t>
            </w:r>
            <w:r w:rsidRPr="005B5418">
              <w:rPr>
                <w:rStyle w:val="FootnoteReference"/>
              </w:rPr>
              <w:footnoteReference w:id="206"/>
            </w:r>
            <w:r w:rsidRPr="005B5418">
              <w:t xml:space="preserve"> and the following periods, if applicable</w:t>
            </w:r>
            <w:r w:rsidR="00771F3B" w:rsidRPr="005B5418">
              <w:t>,</w:t>
            </w:r>
            <w:r w:rsidRPr="005B5418">
              <w:t xml:space="preserve"> considering the options in chronological order and ignoring subsequent options if the preceding option will not add to the lease term based on the likelihood criteria?</w:t>
            </w:r>
          </w:p>
          <w:p w14:paraId="4E62B385" w14:textId="3AAB75C9" w:rsidR="00A8550A" w:rsidRPr="005B5418" w:rsidRDefault="00A8550A" w:rsidP="005425ED">
            <w:pPr>
              <w:pStyle w:val="FAM-Table-outline2"/>
              <w:spacing w:line="240" w:lineRule="auto"/>
              <w:ind w:left="1140" w:hanging="443"/>
            </w:pPr>
            <w:r w:rsidRPr="005B5418">
              <w:t>Those periods specified in the lease contract or agreement that relate to a lessee’s</w:t>
            </w:r>
            <w:r w:rsidR="00EC2DC6" w:rsidRPr="005B5418">
              <w:t xml:space="preserve"> </w:t>
            </w:r>
            <w:r w:rsidRPr="005B5418">
              <w:t>option to extend the lease if it is probable, based on all relevant factors, that the lessee</w:t>
            </w:r>
            <w:r w:rsidR="00EC2DC6" w:rsidRPr="005B5418">
              <w:t xml:space="preserve"> </w:t>
            </w:r>
            <w:r w:rsidRPr="005B5418">
              <w:t>will exercise that option</w:t>
            </w:r>
          </w:p>
          <w:p w14:paraId="3B8DC411" w14:textId="5ED27F40" w:rsidR="00A8550A" w:rsidRPr="005B5418" w:rsidRDefault="00A8550A" w:rsidP="005425ED">
            <w:pPr>
              <w:pStyle w:val="FAM-Table-outline2"/>
              <w:spacing w:line="240" w:lineRule="auto"/>
              <w:ind w:left="1140" w:hanging="443"/>
            </w:pPr>
            <w:r w:rsidRPr="005B5418">
              <w:t xml:space="preserve">Those periods specified in the lease contract or agreement that follow a lessee’s option to terminate the lease (up until the point in time when there is another option or, if none, the end of the lease) if it is probable, based on all relevant factors, that the lessee will </w:t>
            </w:r>
            <w:r w:rsidRPr="005425ED">
              <w:t xml:space="preserve">not </w:t>
            </w:r>
            <w:r w:rsidRPr="005B5418">
              <w:lastRenderedPageBreak/>
              <w:t>exercise that option</w:t>
            </w:r>
          </w:p>
          <w:p w14:paraId="603F8376" w14:textId="4C68B548" w:rsidR="00A8550A" w:rsidRPr="005B5418" w:rsidRDefault="00A8550A" w:rsidP="005425ED">
            <w:pPr>
              <w:pStyle w:val="FAM-Table-outline2"/>
              <w:spacing w:line="240" w:lineRule="auto"/>
              <w:ind w:left="1140" w:hanging="443"/>
            </w:pPr>
            <w:r w:rsidRPr="005B5418">
              <w:t>Those periods specified in the lease contract or agreement that relate to a lessor’s</w:t>
            </w:r>
            <w:r w:rsidR="00EC2DC6" w:rsidRPr="005B5418">
              <w:t xml:space="preserve"> </w:t>
            </w:r>
            <w:r w:rsidRPr="005B5418">
              <w:t>option to extend the lease if there is significant evidence, based on all relevant factors, that the lessor will exercise that option</w:t>
            </w:r>
          </w:p>
          <w:p w14:paraId="7FA3295E" w14:textId="67FF6EBC" w:rsidR="00A8550A" w:rsidRPr="005B5418" w:rsidRDefault="00A8550A" w:rsidP="005425ED">
            <w:pPr>
              <w:pStyle w:val="FAM-Table-outline2"/>
              <w:spacing w:line="240" w:lineRule="auto"/>
              <w:ind w:left="1140" w:hanging="443"/>
            </w:pPr>
            <w:r w:rsidRPr="005B5418">
              <w:t xml:space="preserve">Those periods specified in the lease contract or agreement that follow a lessor’s option to terminate the lease (up until the point in time when there is another option or, if none, the end of the lease) if there is significant evidence, based on all relevant factors, that the lessor will </w:t>
            </w:r>
            <w:r w:rsidRPr="005425ED">
              <w:t>not</w:t>
            </w:r>
            <w:r w:rsidRPr="005B5418">
              <w:t xml:space="preserve"> exercise that option</w:t>
            </w:r>
          </w:p>
          <w:p w14:paraId="317703BE" w14:textId="3D917BAC" w:rsidR="00A8550A" w:rsidRPr="005B5418" w:rsidRDefault="00A8550A" w:rsidP="005425ED">
            <w:pPr>
              <w:pStyle w:val="FAM-Table-outline"/>
              <w:widowControl/>
              <w:numPr>
                <w:ilvl w:val="0"/>
                <w:numId w:val="0"/>
              </w:numPr>
              <w:adjustRightInd/>
              <w:spacing w:line="240" w:lineRule="auto"/>
              <w:ind w:left="666"/>
              <w:textAlignment w:val="auto"/>
            </w:pPr>
            <w:r w:rsidRPr="005B5418">
              <w:t>(SFFAS 54, para</w:t>
            </w:r>
            <w:r w:rsidR="00A07DEA" w:rsidRPr="005B5418">
              <w:t>s</w:t>
            </w:r>
            <w:r w:rsidRPr="005B5418">
              <w:t>. 15</w:t>
            </w:r>
            <w:r w:rsidR="00A07DEA" w:rsidRPr="005B5418">
              <w:t>–</w:t>
            </w:r>
            <w:r w:rsidRPr="005B5418">
              <w:t xml:space="preserve">16; also see </w:t>
            </w:r>
            <w:r w:rsidR="00C140EF" w:rsidRPr="005B5418">
              <w:t>TR 20</w:t>
            </w:r>
            <w:r w:rsidRPr="005B5418">
              <w:t>, para</w:t>
            </w:r>
            <w:r w:rsidR="00A07DEA" w:rsidRPr="005B5418">
              <w:t>s</w:t>
            </w:r>
            <w:r w:rsidRPr="005B5418">
              <w:t>. 23</w:t>
            </w:r>
            <w:r w:rsidR="00A07DEA" w:rsidRPr="005B5418">
              <w:t>–</w:t>
            </w:r>
            <w:r w:rsidRPr="005B5418">
              <w:t>28)</w:t>
            </w:r>
          </w:p>
        </w:tc>
        <w:tc>
          <w:tcPr>
            <w:tcW w:w="990" w:type="dxa"/>
          </w:tcPr>
          <w:p w14:paraId="3DD76EF5" w14:textId="77777777" w:rsidR="00A8550A" w:rsidRPr="005B5418" w:rsidRDefault="00A8550A" w:rsidP="00A8550A">
            <w:pPr>
              <w:pStyle w:val="Table-Cell-CenterBoldBefore6ptAfter6pt"/>
              <w:spacing w:before="60" w:after="60"/>
              <w:rPr>
                <w:rFonts w:cs="Arial"/>
                <w:lang w:val="pt-BR"/>
              </w:rPr>
            </w:pPr>
          </w:p>
        </w:tc>
        <w:tc>
          <w:tcPr>
            <w:tcW w:w="3330" w:type="dxa"/>
          </w:tcPr>
          <w:p w14:paraId="0CC88C2B" w14:textId="77777777" w:rsidR="00A8550A" w:rsidRPr="005B5418" w:rsidRDefault="00A8550A" w:rsidP="00A8550A">
            <w:pPr>
              <w:pStyle w:val="BodyTextIndent"/>
              <w:spacing w:before="60" w:after="60"/>
              <w:rPr>
                <w:rFonts w:cs="Arial"/>
                <w:lang w:val="pt-BR"/>
              </w:rPr>
            </w:pPr>
          </w:p>
        </w:tc>
      </w:tr>
      <w:tr w:rsidR="00A8550A" w:rsidRPr="005B5418" w14:paraId="0A33CE3B" w14:textId="77777777" w:rsidTr="00935832">
        <w:trPr>
          <w:trHeight w:val="89"/>
        </w:trPr>
        <w:tc>
          <w:tcPr>
            <w:tcW w:w="5395" w:type="dxa"/>
          </w:tcPr>
          <w:p w14:paraId="538342B4" w14:textId="3554D292" w:rsidR="00A8550A" w:rsidRPr="005B5418" w:rsidRDefault="00A8550A"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lessor’s</w:t>
            </w:r>
            <w:r w:rsidRPr="005B5418">
              <w:t xml:space="preserve"> term include the noncancelable period</w:t>
            </w:r>
            <w:r w:rsidRPr="005B5418">
              <w:rPr>
                <w:rStyle w:val="FootnoteReference"/>
              </w:rPr>
              <w:footnoteReference w:id="207"/>
            </w:r>
            <w:r w:rsidRPr="005B5418">
              <w:t xml:space="preserve"> and the following periods, if applicable</w:t>
            </w:r>
            <w:r w:rsidR="00F03EAB" w:rsidRPr="005B5418">
              <w:t>,</w:t>
            </w:r>
            <w:r w:rsidRPr="005B5418">
              <w:t xml:space="preserve"> considering the options in chronological order and ignoring subsequent options if the preceding option will not add to the lease term based on the likelihood criteria?</w:t>
            </w:r>
          </w:p>
          <w:p w14:paraId="0933F97C" w14:textId="4D480B7F" w:rsidR="00A8550A" w:rsidRPr="005B5418" w:rsidRDefault="00A8550A" w:rsidP="005425ED">
            <w:pPr>
              <w:pStyle w:val="FAM-Table-outline2"/>
              <w:spacing w:line="240" w:lineRule="auto"/>
              <w:ind w:left="1140" w:hanging="443"/>
            </w:pPr>
            <w:r w:rsidRPr="005B5418">
              <w:t>Those periods specified in the lease contract or agreement that relate to a lessor’s</w:t>
            </w:r>
            <w:r w:rsidR="00F03EAB" w:rsidRPr="005B5418">
              <w:t xml:space="preserve"> </w:t>
            </w:r>
            <w:r w:rsidRPr="005B5418">
              <w:t>option to extend the lease if it is probable, based on all relevant factors, that the lessor</w:t>
            </w:r>
            <w:r w:rsidR="00F03EAB" w:rsidRPr="005B5418">
              <w:t xml:space="preserve"> </w:t>
            </w:r>
            <w:r w:rsidRPr="005B5418">
              <w:t>will exercise that option</w:t>
            </w:r>
          </w:p>
          <w:p w14:paraId="29F6BE0C" w14:textId="5FEDE1E0" w:rsidR="00A8550A" w:rsidRPr="005B5418" w:rsidRDefault="00A8550A" w:rsidP="005425ED">
            <w:pPr>
              <w:pStyle w:val="FAM-Table-outline2"/>
              <w:spacing w:line="240" w:lineRule="auto"/>
              <w:ind w:left="1140" w:hanging="443"/>
            </w:pPr>
            <w:r w:rsidRPr="005B5418">
              <w:t xml:space="preserve">Those periods specified in the lease contract or agreement that follow a lessor’s option to terminate the lease (up until the point in time when there is another option or, if none, the end of the lease) if it is probable, based on all relevant factors, that the lessor will </w:t>
            </w:r>
            <w:r w:rsidRPr="005425ED">
              <w:t xml:space="preserve">not </w:t>
            </w:r>
            <w:r w:rsidRPr="005B5418">
              <w:t>exercise that option</w:t>
            </w:r>
          </w:p>
          <w:p w14:paraId="7B622E51" w14:textId="43FF26F1" w:rsidR="00A8550A" w:rsidRPr="005B5418" w:rsidRDefault="00A8550A" w:rsidP="005425ED">
            <w:pPr>
              <w:pStyle w:val="FAM-Table-outline2"/>
              <w:spacing w:line="240" w:lineRule="auto"/>
              <w:ind w:left="1140" w:hanging="443"/>
            </w:pPr>
            <w:r w:rsidRPr="005B5418">
              <w:t>Those periods specified in the lease contract or agreement that relate to a lessee’s</w:t>
            </w:r>
            <w:r w:rsidR="00F03EAB" w:rsidRPr="005B5418">
              <w:t xml:space="preserve"> </w:t>
            </w:r>
            <w:r w:rsidRPr="005B5418">
              <w:t xml:space="preserve">option to extend the lease if there is significant evidence, based on all </w:t>
            </w:r>
            <w:r w:rsidRPr="005B5418">
              <w:lastRenderedPageBreak/>
              <w:t>relevant factors, that the lessee will exercise that option</w:t>
            </w:r>
          </w:p>
          <w:p w14:paraId="0097D0A4" w14:textId="2E85B9DA" w:rsidR="00A8550A" w:rsidRPr="005B5418" w:rsidRDefault="00A8550A" w:rsidP="005425ED">
            <w:pPr>
              <w:pStyle w:val="FAM-Table-outline2"/>
              <w:spacing w:line="240" w:lineRule="auto"/>
              <w:ind w:left="1140" w:hanging="443"/>
            </w:pPr>
            <w:r w:rsidRPr="005B5418">
              <w:t xml:space="preserve">Those periods specified in the lease contract or agreement that follow a lessee’s option to terminate the lease (up until the point in time when there is another option or, if none, the end of the lease) if there is significant evidence, based on all relevant factors, that the lessee will </w:t>
            </w:r>
            <w:r w:rsidRPr="005425ED">
              <w:t>not</w:t>
            </w:r>
            <w:r w:rsidRPr="005B5418">
              <w:t xml:space="preserve"> exercise that option</w:t>
            </w:r>
          </w:p>
          <w:p w14:paraId="5B2BD6C1" w14:textId="7B8A3C5C" w:rsidR="00A8550A" w:rsidRPr="005B5418" w:rsidRDefault="00A8550A" w:rsidP="005425ED">
            <w:pPr>
              <w:pStyle w:val="FAM-Table-outline"/>
              <w:widowControl/>
              <w:numPr>
                <w:ilvl w:val="0"/>
                <w:numId w:val="0"/>
              </w:numPr>
              <w:adjustRightInd/>
              <w:spacing w:line="240" w:lineRule="auto"/>
              <w:ind w:left="666"/>
              <w:textAlignment w:val="auto"/>
            </w:pPr>
            <w:r w:rsidRPr="005B5418">
              <w:t>(SFFAS 54, para</w:t>
            </w:r>
            <w:r w:rsidR="0002025B" w:rsidRPr="005B5418">
              <w:t>s</w:t>
            </w:r>
            <w:r w:rsidRPr="005B5418">
              <w:t>. 17</w:t>
            </w:r>
            <w:r w:rsidR="0002025B" w:rsidRPr="005B5418">
              <w:t>–</w:t>
            </w:r>
            <w:r w:rsidRPr="005B5418">
              <w:t>18)</w:t>
            </w:r>
          </w:p>
        </w:tc>
        <w:tc>
          <w:tcPr>
            <w:tcW w:w="990" w:type="dxa"/>
          </w:tcPr>
          <w:p w14:paraId="3BDA8647" w14:textId="77777777" w:rsidR="00A8550A" w:rsidRPr="005B5418" w:rsidRDefault="00A8550A" w:rsidP="00A8550A">
            <w:pPr>
              <w:pStyle w:val="Table-Cell-CenterBoldBefore6ptAfter6pt"/>
              <w:spacing w:before="60" w:after="60"/>
              <w:rPr>
                <w:rFonts w:cs="Arial"/>
                <w:lang w:val="pt-BR"/>
              </w:rPr>
            </w:pPr>
          </w:p>
        </w:tc>
        <w:tc>
          <w:tcPr>
            <w:tcW w:w="3330" w:type="dxa"/>
          </w:tcPr>
          <w:p w14:paraId="495E20C4" w14:textId="77777777" w:rsidR="00A8550A" w:rsidRPr="005B5418" w:rsidRDefault="00A8550A" w:rsidP="00A8550A">
            <w:pPr>
              <w:pStyle w:val="BodyTextIndent"/>
              <w:spacing w:before="60" w:after="60"/>
              <w:rPr>
                <w:rFonts w:cs="Arial"/>
                <w:lang w:val="pt-BR"/>
              </w:rPr>
            </w:pPr>
          </w:p>
        </w:tc>
      </w:tr>
      <w:tr w:rsidR="00A8550A" w:rsidRPr="005B5418" w14:paraId="3952111F" w14:textId="77777777" w:rsidTr="00935832">
        <w:trPr>
          <w:trHeight w:val="89"/>
        </w:trPr>
        <w:tc>
          <w:tcPr>
            <w:tcW w:w="5395" w:type="dxa"/>
          </w:tcPr>
          <w:p w14:paraId="38F76EEC" w14:textId="013A93D4" w:rsidR="00A8550A" w:rsidRPr="005B5418" w:rsidRDefault="00A8550A" w:rsidP="005425ED">
            <w:pPr>
              <w:pStyle w:val="FAM-Table-outline"/>
              <w:widowControl/>
              <w:numPr>
                <w:ilvl w:val="0"/>
                <w:numId w:val="126"/>
              </w:numPr>
              <w:adjustRightInd/>
              <w:spacing w:line="240" w:lineRule="auto"/>
              <w:textAlignment w:val="auto"/>
            </w:pPr>
            <w:r w:rsidRPr="005B5418">
              <w:t>In determining the lease term</w:t>
            </w:r>
            <w:r w:rsidR="003F5168" w:rsidRPr="005B5418">
              <w:t>,</w:t>
            </w:r>
            <w:r w:rsidRPr="005B5418">
              <w:t xml:space="preserve"> did the </w:t>
            </w:r>
            <w:r w:rsidRPr="005B5418">
              <w:rPr>
                <w:b/>
                <w:bCs/>
              </w:rPr>
              <w:t>lessee/lessor</w:t>
            </w:r>
            <w:r w:rsidRPr="005425ED">
              <w:t xml:space="preserve"> </w:t>
            </w:r>
            <w:r w:rsidRPr="005B5418">
              <w:t>exclude the following cancelable periods from the lease term</w:t>
            </w:r>
            <w:r w:rsidR="003F5168" w:rsidRPr="005B5418">
              <w:t>:</w:t>
            </w:r>
            <w:r w:rsidRPr="005B5418">
              <w:rPr>
                <w:rStyle w:val="FootnoteReference"/>
              </w:rPr>
              <w:footnoteReference w:id="208"/>
            </w:r>
          </w:p>
          <w:p w14:paraId="0767385E" w14:textId="5B37B2EA" w:rsidR="00A8550A" w:rsidRPr="005B5418" w:rsidRDefault="003F5168" w:rsidP="005425ED">
            <w:pPr>
              <w:pStyle w:val="FAM-Table-outline2"/>
              <w:spacing w:line="240" w:lineRule="auto"/>
              <w:ind w:left="1140" w:hanging="443"/>
            </w:pPr>
            <w:r w:rsidRPr="005B5418">
              <w:t>p</w:t>
            </w:r>
            <w:r w:rsidR="00A8550A" w:rsidRPr="005B5418">
              <w:t>eriods for which both the lessee and lessor have an option to terminate the lease without permission from the other party or</w:t>
            </w:r>
          </w:p>
          <w:p w14:paraId="1DEA1F74" w14:textId="02D7A93B" w:rsidR="00A8550A" w:rsidRPr="005B5418" w:rsidRDefault="003F5168" w:rsidP="005425ED">
            <w:pPr>
              <w:pStyle w:val="FAM-Table-outline2"/>
              <w:spacing w:line="240" w:lineRule="auto"/>
              <w:ind w:left="1140" w:hanging="443"/>
            </w:pPr>
            <w:r w:rsidRPr="005B5418">
              <w:t>p</w:t>
            </w:r>
            <w:r w:rsidR="00A8550A" w:rsidRPr="005B5418">
              <w:t>eriods for which both the lessee and lessor have to agree to extend</w:t>
            </w:r>
            <w:r w:rsidRPr="005B5418">
              <w:t>?</w:t>
            </w:r>
            <w:r w:rsidR="00A8550A" w:rsidRPr="005B5418">
              <w:t xml:space="preserve"> (SFFAS 54, para. 19.a; also see </w:t>
            </w:r>
            <w:r w:rsidR="00C140EF" w:rsidRPr="005B5418">
              <w:t>TR 20</w:t>
            </w:r>
            <w:r w:rsidR="00A8550A" w:rsidRPr="005B5418">
              <w:t>, para</w:t>
            </w:r>
            <w:r w:rsidRPr="005B5418">
              <w:t>s</w:t>
            </w:r>
            <w:r w:rsidR="00A8550A" w:rsidRPr="005B5418">
              <w:t xml:space="preserve">. 21, 24, 24A, </w:t>
            </w:r>
            <w:r w:rsidRPr="005B5418">
              <w:t xml:space="preserve">and </w:t>
            </w:r>
            <w:r w:rsidR="00A8550A" w:rsidRPr="005B5418">
              <w:t>85)</w:t>
            </w:r>
          </w:p>
        </w:tc>
        <w:tc>
          <w:tcPr>
            <w:tcW w:w="990" w:type="dxa"/>
          </w:tcPr>
          <w:p w14:paraId="39C56C8C" w14:textId="77777777" w:rsidR="00A8550A" w:rsidRPr="005B5418" w:rsidRDefault="00A8550A" w:rsidP="00A8550A">
            <w:pPr>
              <w:pStyle w:val="Table-Cell-CenterBoldBefore6ptAfter6pt"/>
              <w:spacing w:before="60" w:after="60"/>
              <w:rPr>
                <w:rFonts w:cs="Arial"/>
                <w:lang w:val="pt-BR"/>
              </w:rPr>
            </w:pPr>
          </w:p>
        </w:tc>
        <w:tc>
          <w:tcPr>
            <w:tcW w:w="3330" w:type="dxa"/>
          </w:tcPr>
          <w:p w14:paraId="65E214AB" w14:textId="77777777" w:rsidR="00A8550A" w:rsidRPr="005B5418" w:rsidRDefault="00A8550A" w:rsidP="00A8550A">
            <w:pPr>
              <w:pStyle w:val="BodyTextIndent"/>
              <w:spacing w:before="60" w:after="60"/>
              <w:rPr>
                <w:rFonts w:cs="Arial"/>
                <w:lang w:val="pt-BR"/>
              </w:rPr>
            </w:pPr>
          </w:p>
        </w:tc>
      </w:tr>
      <w:tr w:rsidR="00A8550A" w:rsidRPr="005B5418" w14:paraId="5B940E35" w14:textId="77777777" w:rsidTr="00935832">
        <w:trPr>
          <w:trHeight w:val="89"/>
        </w:trPr>
        <w:tc>
          <w:tcPr>
            <w:tcW w:w="5395" w:type="dxa"/>
          </w:tcPr>
          <w:p w14:paraId="03C8BCA0" w14:textId="1E3E7923" w:rsidR="00A8550A" w:rsidRPr="005B5418" w:rsidRDefault="00A8550A" w:rsidP="005425ED">
            <w:pPr>
              <w:pStyle w:val="FAM-Table-outline"/>
              <w:widowControl/>
              <w:numPr>
                <w:ilvl w:val="0"/>
                <w:numId w:val="126"/>
              </w:numPr>
              <w:adjustRightInd/>
              <w:spacing w:line="240" w:lineRule="auto"/>
              <w:textAlignment w:val="auto"/>
            </w:pPr>
            <w:r w:rsidRPr="005B5418">
              <w:t xml:space="preserve">If a </w:t>
            </w:r>
            <w:r w:rsidRPr="005B5418">
              <w:rPr>
                <w:b/>
                <w:bCs/>
              </w:rPr>
              <w:t>lessee</w:t>
            </w:r>
            <w:r w:rsidRPr="005B5418">
              <w:t xml:space="preserve"> has the option to purchase the underlying asset during the lease term and the contract </w:t>
            </w:r>
            <w:r w:rsidR="00D306A9" w:rsidRPr="005B5418">
              <w:t>does not</w:t>
            </w:r>
            <w:r w:rsidRPr="005B5418">
              <w:t xml:space="preserve"> transfer ownership, does the lease term of the </w:t>
            </w:r>
            <w:r w:rsidRPr="005425ED">
              <w:t>lessee/lessor</w:t>
            </w:r>
            <w:r w:rsidRPr="005B5418">
              <w:t xml:space="preserve"> exclude the period, if any, after the date at which the option is probable of being exercised? (SFFAS 54, para. 19.d)</w:t>
            </w:r>
          </w:p>
        </w:tc>
        <w:tc>
          <w:tcPr>
            <w:tcW w:w="990" w:type="dxa"/>
          </w:tcPr>
          <w:p w14:paraId="46F901D8" w14:textId="77777777" w:rsidR="00A8550A" w:rsidRPr="005B5418" w:rsidRDefault="00A8550A" w:rsidP="00A8550A">
            <w:pPr>
              <w:pStyle w:val="Table-Cell-CenterBoldBefore6ptAfter6pt"/>
              <w:spacing w:before="60" w:after="60"/>
              <w:rPr>
                <w:rFonts w:cs="Arial"/>
                <w:lang w:val="pt-BR"/>
              </w:rPr>
            </w:pPr>
          </w:p>
        </w:tc>
        <w:tc>
          <w:tcPr>
            <w:tcW w:w="3330" w:type="dxa"/>
          </w:tcPr>
          <w:p w14:paraId="59C88C64" w14:textId="77777777" w:rsidR="00A8550A" w:rsidRPr="005B5418" w:rsidRDefault="00A8550A" w:rsidP="00A8550A">
            <w:pPr>
              <w:pStyle w:val="BodyTextIndent"/>
              <w:spacing w:before="60" w:after="60"/>
              <w:rPr>
                <w:rFonts w:cs="Arial"/>
                <w:lang w:val="pt-BR"/>
              </w:rPr>
            </w:pPr>
          </w:p>
        </w:tc>
      </w:tr>
      <w:tr w:rsidR="00A8550A" w:rsidRPr="005B5418" w14:paraId="5939F228" w14:textId="77777777" w:rsidTr="00935832">
        <w:trPr>
          <w:trHeight w:val="89"/>
        </w:trPr>
        <w:tc>
          <w:tcPr>
            <w:tcW w:w="5395" w:type="dxa"/>
          </w:tcPr>
          <w:p w14:paraId="18C2E1EA" w14:textId="5B7E8B1E" w:rsidR="00A8550A" w:rsidRPr="005B5418" w:rsidRDefault="00A8550A" w:rsidP="005425ED">
            <w:pPr>
              <w:pStyle w:val="FAM-Table-outline"/>
              <w:widowControl/>
              <w:numPr>
                <w:ilvl w:val="0"/>
                <w:numId w:val="126"/>
              </w:numPr>
              <w:adjustRightInd/>
              <w:spacing w:line="240" w:lineRule="auto"/>
              <w:textAlignment w:val="auto"/>
            </w:pPr>
            <w:r w:rsidRPr="005B5418">
              <w:t xml:space="preserve">At the commencement of the lease term, did the </w:t>
            </w:r>
            <w:r w:rsidRPr="005B5418">
              <w:rPr>
                <w:b/>
                <w:bCs/>
              </w:rPr>
              <w:t>lessee/lessor</w:t>
            </w:r>
            <w:r w:rsidRPr="005B5418">
              <w:t xml:space="preserve"> assess</w:t>
            </w:r>
            <w:r w:rsidRPr="005B5418">
              <w:rPr>
                <w:rStyle w:val="FootnoteReference"/>
              </w:rPr>
              <w:footnoteReference w:id="209"/>
            </w:r>
            <w:r w:rsidRPr="005B5418">
              <w:t xml:space="preserve"> all factors </w:t>
            </w:r>
            <w:r w:rsidRPr="005B5418">
              <w:lastRenderedPageBreak/>
              <w:t>relevant</w:t>
            </w:r>
            <w:r w:rsidR="00D306A9" w:rsidRPr="005B5418">
              <w:t xml:space="preserve"> </w:t>
            </w:r>
            <w:r w:rsidRPr="005B5418">
              <w:t>to the likelihood that the lessee or lessor will exercise options identified in SFFAS 54</w:t>
            </w:r>
            <w:r w:rsidR="008A4918" w:rsidRPr="005B5418">
              <w:t>,</w:t>
            </w:r>
            <w:r w:rsidRPr="005B5418">
              <w:t xml:space="preserve"> para</w:t>
            </w:r>
            <w:r w:rsidR="008A4918" w:rsidRPr="005B5418">
              <w:t>s.</w:t>
            </w:r>
            <w:r w:rsidRPr="005B5418">
              <w:t xml:space="preserve"> 15</w:t>
            </w:r>
            <w:r w:rsidR="00D306A9" w:rsidRPr="005B5418">
              <w:t>–</w:t>
            </w:r>
            <w:r w:rsidRPr="005B5418">
              <w:t>19</w:t>
            </w:r>
            <w:r w:rsidR="00D306A9" w:rsidRPr="005B5418">
              <w:t xml:space="preserve"> (whether those factors are contract or agreement based, underlying asset based, market based, or federal specific</w:t>
            </w:r>
            <w:r w:rsidR="005632B2" w:rsidRPr="005B5418">
              <w:t>)</w:t>
            </w:r>
            <w:r w:rsidRPr="005B5418">
              <w:t xml:space="preserve">? (SFFAS 54, para. 20; also see </w:t>
            </w:r>
            <w:r w:rsidR="00C140EF" w:rsidRPr="005B5418">
              <w:t>TR 20</w:t>
            </w:r>
            <w:r w:rsidRPr="005B5418">
              <w:t>, para</w:t>
            </w:r>
            <w:r w:rsidR="005632B2" w:rsidRPr="005B5418">
              <w:t>s</w:t>
            </w:r>
            <w:r w:rsidRPr="005B5418">
              <w:t xml:space="preserve">. 23, 25, 26, </w:t>
            </w:r>
            <w:r w:rsidR="005632B2" w:rsidRPr="005B5418">
              <w:t>and</w:t>
            </w:r>
            <w:r w:rsidRPr="005B5418">
              <w:t xml:space="preserve"> 32A)</w:t>
            </w:r>
          </w:p>
        </w:tc>
        <w:tc>
          <w:tcPr>
            <w:tcW w:w="990" w:type="dxa"/>
          </w:tcPr>
          <w:p w14:paraId="0761962B" w14:textId="77777777" w:rsidR="00A8550A" w:rsidRPr="005B5418" w:rsidRDefault="00A8550A" w:rsidP="00A8550A">
            <w:pPr>
              <w:pStyle w:val="Table-Cell-CenterBoldBefore6ptAfter6pt"/>
              <w:spacing w:before="60" w:after="60"/>
              <w:rPr>
                <w:rFonts w:cs="Arial"/>
                <w:lang w:val="pt-BR"/>
              </w:rPr>
            </w:pPr>
          </w:p>
        </w:tc>
        <w:tc>
          <w:tcPr>
            <w:tcW w:w="3330" w:type="dxa"/>
          </w:tcPr>
          <w:p w14:paraId="45CAA006" w14:textId="77777777" w:rsidR="00A8550A" w:rsidRPr="005B5418" w:rsidRDefault="00A8550A" w:rsidP="00A8550A">
            <w:pPr>
              <w:pStyle w:val="BodyTextIndent"/>
              <w:spacing w:before="60" w:after="60"/>
              <w:rPr>
                <w:rFonts w:cs="Arial"/>
                <w:lang w:val="pt-BR"/>
              </w:rPr>
            </w:pPr>
          </w:p>
        </w:tc>
      </w:tr>
      <w:tr w:rsidR="00A8550A" w:rsidRPr="005B5418" w14:paraId="5996DAA9" w14:textId="77777777" w:rsidTr="00935832">
        <w:trPr>
          <w:trHeight w:val="89"/>
        </w:trPr>
        <w:tc>
          <w:tcPr>
            <w:tcW w:w="5395" w:type="dxa"/>
          </w:tcPr>
          <w:p w14:paraId="3FB81AFC" w14:textId="77777777" w:rsidR="00A8550A" w:rsidRPr="005B5418" w:rsidRDefault="00A8550A" w:rsidP="005425ED">
            <w:pPr>
              <w:pStyle w:val="FAM-Table-outline"/>
              <w:widowControl/>
              <w:numPr>
                <w:ilvl w:val="0"/>
                <w:numId w:val="126"/>
              </w:numPr>
              <w:adjustRightInd/>
              <w:spacing w:line="240" w:lineRule="auto"/>
              <w:textAlignment w:val="auto"/>
            </w:pPr>
            <w:r w:rsidRPr="005B5418">
              <w:t xml:space="preserve">If one or more of the following events occur, did the </w:t>
            </w:r>
            <w:r w:rsidRPr="005B5418">
              <w:rPr>
                <w:b/>
                <w:bCs/>
              </w:rPr>
              <w:t>lessee/lessor</w:t>
            </w:r>
            <w:r w:rsidRPr="005B5418">
              <w:t xml:space="preserve"> reassess the lease term? </w:t>
            </w:r>
          </w:p>
          <w:p w14:paraId="14F01AC7" w14:textId="2683F754" w:rsidR="00A8550A" w:rsidRPr="005B5418" w:rsidRDefault="00A8550A" w:rsidP="005425ED">
            <w:pPr>
              <w:pStyle w:val="FAM-Table-outline2"/>
              <w:spacing w:line="240" w:lineRule="auto"/>
              <w:ind w:left="1140" w:hanging="443"/>
            </w:pPr>
            <w:r w:rsidRPr="005B5418">
              <w:t xml:space="preserve">The lessor or lessee elects to exercise an option that was previously presumed would not be exercised </w:t>
            </w:r>
            <w:r w:rsidR="00CC0196" w:rsidRPr="005B5418">
              <w:t>under the likelihood criteria in SFFAS 54</w:t>
            </w:r>
            <w:r w:rsidR="0087047C">
              <w:t>,</w:t>
            </w:r>
            <w:r w:rsidR="00CC0196" w:rsidRPr="005B5418">
              <w:t xml:space="preserve"> paras. 15 and 17</w:t>
            </w:r>
            <w:r w:rsidR="0087047C">
              <w:t>.</w:t>
            </w:r>
          </w:p>
          <w:p w14:paraId="5A4006FA" w14:textId="2FB42284" w:rsidR="00A8550A" w:rsidRPr="005B5418" w:rsidRDefault="00A8550A" w:rsidP="005425ED">
            <w:pPr>
              <w:pStyle w:val="FAM-Table-outline2"/>
              <w:spacing w:line="240" w:lineRule="auto"/>
              <w:ind w:left="1140" w:hanging="443"/>
            </w:pPr>
            <w:r w:rsidRPr="005B5418">
              <w:t xml:space="preserve">The lessor or lessee does not elect to exercise an option that was previously presumed would be exercised </w:t>
            </w:r>
            <w:r w:rsidR="00CC0196" w:rsidRPr="005B5418">
              <w:t>under the likelihood criteria in SFFAS 54</w:t>
            </w:r>
            <w:r w:rsidR="0087047C">
              <w:t>,</w:t>
            </w:r>
            <w:r w:rsidR="00CC0196" w:rsidRPr="005B5418">
              <w:t xml:space="preserve"> paras. 15 and 17</w:t>
            </w:r>
            <w:r w:rsidR="0087047C">
              <w:t>.</w:t>
            </w:r>
          </w:p>
          <w:p w14:paraId="655897FC" w14:textId="2C9CF9FF" w:rsidR="00A8550A" w:rsidRPr="005B5418" w:rsidRDefault="00A8550A" w:rsidP="005425ED">
            <w:pPr>
              <w:pStyle w:val="FAM-Table-outline2"/>
              <w:spacing w:line="240" w:lineRule="auto"/>
              <w:ind w:left="1140" w:hanging="443"/>
            </w:pPr>
            <w:r w:rsidRPr="005B5418">
              <w:t>An event specified in the lease contract or agreement that requires an extension or termination of the lease takes place.</w:t>
            </w:r>
          </w:p>
          <w:p w14:paraId="12CB7F5B" w14:textId="3FD630E3" w:rsidR="00A8550A" w:rsidRPr="005B5418" w:rsidRDefault="00A8550A" w:rsidP="005425ED">
            <w:pPr>
              <w:pStyle w:val="FAM-Table-outline2"/>
              <w:spacing w:line="240" w:lineRule="auto"/>
              <w:ind w:left="1140" w:hanging="443"/>
            </w:pPr>
            <w:r w:rsidRPr="005B5418">
              <w:t>A lease modification that amends the noncancelable period and results in remeasurement in accordance with SFFAS 54</w:t>
            </w:r>
            <w:r w:rsidR="0087047C">
              <w:t>,</w:t>
            </w:r>
            <w:r w:rsidRPr="005B5418">
              <w:t xml:space="preserve"> para</w:t>
            </w:r>
            <w:r w:rsidR="00A81F57" w:rsidRPr="005B5418">
              <w:t>s.</w:t>
            </w:r>
            <w:r w:rsidRPr="005B5418">
              <w:t xml:space="preserve"> 85</w:t>
            </w:r>
            <w:r w:rsidR="0087047C">
              <w:t xml:space="preserve"> and </w:t>
            </w:r>
            <w:r w:rsidRPr="005B5418">
              <w:t xml:space="preserve">86. (SFFAS 54, para. 21; also see </w:t>
            </w:r>
            <w:r w:rsidR="00C140EF" w:rsidRPr="005B5418">
              <w:t>TR 20</w:t>
            </w:r>
            <w:r w:rsidRPr="005B5418">
              <w:t>, para</w:t>
            </w:r>
            <w:r w:rsidR="00A81F57" w:rsidRPr="005B5418">
              <w:t>s</w:t>
            </w:r>
            <w:r w:rsidRPr="005B5418">
              <w:t>. 29</w:t>
            </w:r>
            <w:r w:rsidR="00A81F57" w:rsidRPr="005B5418">
              <w:t>–</w:t>
            </w:r>
            <w:r w:rsidRPr="005B5418">
              <w:t xml:space="preserve">31, 35, 51, </w:t>
            </w:r>
            <w:r w:rsidR="00A81F57" w:rsidRPr="005B5418">
              <w:t>and</w:t>
            </w:r>
            <w:r w:rsidRPr="005B5418">
              <w:t xml:space="preserve"> 85)</w:t>
            </w:r>
          </w:p>
        </w:tc>
        <w:tc>
          <w:tcPr>
            <w:tcW w:w="990" w:type="dxa"/>
          </w:tcPr>
          <w:p w14:paraId="23E1939D" w14:textId="77777777" w:rsidR="00A8550A" w:rsidRPr="005B5418" w:rsidRDefault="00A8550A" w:rsidP="00A8550A">
            <w:pPr>
              <w:pStyle w:val="Table-Cell-CenterBoldBefore6ptAfter6pt"/>
              <w:spacing w:before="60" w:after="60"/>
              <w:rPr>
                <w:rFonts w:cs="Arial"/>
                <w:lang w:val="pt-BR"/>
              </w:rPr>
            </w:pPr>
          </w:p>
        </w:tc>
        <w:tc>
          <w:tcPr>
            <w:tcW w:w="3330" w:type="dxa"/>
          </w:tcPr>
          <w:p w14:paraId="1FE8A170" w14:textId="77777777" w:rsidR="00A8550A" w:rsidRPr="005B5418" w:rsidRDefault="00A8550A" w:rsidP="00A8550A">
            <w:pPr>
              <w:pStyle w:val="BodyTextIndent"/>
              <w:spacing w:before="60" w:after="60"/>
              <w:rPr>
                <w:rFonts w:cs="Arial"/>
                <w:lang w:val="pt-BR"/>
              </w:rPr>
            </w:pPr>
          </w:p>
        </w:tc>
      </w:tr>
      <w:tr w:rsidR="00A8550A" w:rsidRPr="005B5418" w14:paraId="7514480C" w14:textId="77777777" w:rsidTr="00935832">
        <w:trPr>
          <w:trHeight w:val="89"/>
        </w:trPr>
        <w:tc>
          <w:tcPr>
            <w:tcW w:w="5395" w:type="dxa"/>
          </w:tcPr>
          <w:p w14:paraId="442FA9D7" w14:textId="422A26C4" w:rsidR="00A8550A" w:rsidRPr="005B5418" w:rsidDel="00AB11CE" w:rsidRDefault="00A8550A" w:rsidP="005425ED">
            <w:pPr>
              <w:pStyle w:val="FAM-Table-outline"/>
              <w:widowControl/>
              <w:numPr>
                <w:ilvl w:val="0"/>
                <w:numId w:val="126"/>
              </w:numPr>
              <w:adjustRightInd/>
              <w:spacing w:line="240" w:lineRule="auto"/>
              <w:textAlignment w:val="auto"/>
            </w:pPr>
            <w:r w:rsidRPr="005B5418">
              <w:t>Did the entity consider the entire lease term in its lease term reassessment</w:t>
            </w:r>
            <w:r w:rsidR="0005634B" w:rsidRPr="005B5418">
              <w:t>?</w:t>
            </w:r>
            <w:r w:rsidRPr="005B5418">
              <w:rPr>
                <w:rStyle w:val="FootnoteReference"/>
              </w:rPr>
              <w:footnoteReference w:id="210"/>
            </w:r>
            <w:r w:rsidRPr="005B5418">
              <w:t xml:space="preserve"> (</w:t>
            </w:r>
            <w:r w:rsidR="00C140EF" w:rsidRPr="005B5418">
              <w:t>TR 20</w:t>
            </w:r>
            <w:r w:rsidRPr="005B5418">
              <w:t>, para. 31)</w:t>
            </w:r>
          </w:p>
        </w:tc>
        <w:tc>
          <w:tcPr>
            <w:tcW w:w="990" w:type="dxa"/>
          </w:tcPr>
          <w:p w14:paraId="73936AF4" w14:textId="77777777" w:rsidR="00A8550A" w:rsidRPr="005B5418" w:rsidRDefault="00A8550A" w:rsidP="00A8550A">
            <w:pPr>
              <w:pStyle w:val="Table-Cell-CenterBoldBefore6ptAfter6pt"/>
              <w:spacing w:before="60" w:after="60"/>
              <w:rPr>
                <w:rFonts w:cs="Arial"/>
                <w:lang w:val="pt-BR"/>
              </w:rPr>
            </w:pPr>
          </w:p>
        </w:tc>
        <w:tc>
          <w:tcPr>
            <w:tcW w:w="3330" w:type="dxa"/>
          </w:tcPr>
          <w:p w14:paraId="797B0846" w14:textId="77777777" w:rsidR="00A8550A" w:rsidRPr="005B5418" w:rsidRDefault="00A8550A" w:rsidP="00A8550A">
            <w:pPr>
              <w:pStyle w:val="BodyTextIndent"/>
              <w:spacing w:before="60" w:after="60"/>
              <w:rPr>
                <w:rFonts w:cs="Arial"/>
                <w:lang w:val="pt-BR"/>
              </w:rPr>
            </w:pPr>
          </w:p>
        </w:tc>
      </w:tr>
      <w:tr w:rsidR="00A03982" w:rsidRPr="005B5418" w14:paraId="6913C07C" w14:textId="77777777" w:rsidTr="00201412">
        <w:trPr>
          <w:trHeight w:val="89"/>
        </w:trPr>
        <w:tc>
          <w:tcPr>
            <w:tcW w:w="9715" w:type="dxa"/>
            <w:gridSpan w:val="3"/>
          </w:tcPr>
          <w:p w14:paraId="3023D0F3" w14:textId="5BAB1384" w:rsidR="00A03982" w:rsidRPr="005B5418" w:rsidRDefault="00A03982" w:rsidP="00A8550A">
            <w:pPr>
              <w:pStyle w:val="BodyTextIndent"/>
              <w:spacing w:before="60" w:after="60"/>
              <w:rPr>
                <w:rFonts w:cs="Arial"/>
                <w:lang w:val="pt-BR"/>
              </w:rPr>
            </w:pPr>
            <w:r w:rsidRPr="005B5418">
              <w:rPr>
                <w:b/>
                <w:sz w:val="28"/>
                <w:szCs w:val="32"/>
              </w:rPr>
              <w:t>Short-Term Leases</w:t>
            </w:r>
          </w:p>
        </w:tc>
      </w:tr>
      <w:tr w:rsidR="00A03982" w:rsidRPr="005B5418" w14:paraId="052F6D88" w14:textId="77777777" w:rsidTr="00BB1A65">
        <w:trPr>
          <w:trHeight w:val="89"/>
        </w:trPr>
        <w:tc>
          <w:tcPr>
            <w:tcW w:w="9715" w:type="dxa"/>
            <w:gridSpan w:val="3"/>
          </w:tcPr>
          <w:p w14:paraId="08969372" w14:textId="0E5B4623" w:rsidR="00A03982" w:rsidRPr="005B5418" w:rsidRDefault="00A03982" w:rsidP="00A03982">
            <w:pPr>
              <w:pStyle w:val="BodyTextIndent"/>
              <w:spacing w:before="60" w:after="60"/>
              <w:rPr>
                <w:rFonts w:cs="Arial"/>
                <w:lang w:val="pt-BR"/>
              </w:rPr>
            </w:pPr>
            <w:r w:rsidRPr="005B5418">
              <w:rPr>
                <w:rFonts w:cs="Arial"/>
                <w:lang w:val="pt-BR"/>
              </w:rPr>
              <w:lastRenderedPageBreak/>
              <w:t xml:space="preserve">A short-term lease is a non-intragovernmental lease with a lease term of 24 months or less, including any options to extend if those options are probable to be exercised. (SFFAS 54, para. 22; also see </w:t>
            </w:r>
            <w:r w:rsidR="00C140EF" w:rsidRPr="005B5418">
              <w:rPr>
                <w:rFonts w:cs="Arial"/>
                <w:lang w:val="pt-BR"/>
              </w:rPr>
              <w:t>TR 20</w:t>
            </w:r>
            <w:r w:rsidRPr="005B5418">
              <w:rPr>
                <w:rFonts w:cs="Arial"/>
                <w:lang w:val="pt-BR"/>
              </w:rPr>
              <w:t xml:space="preserve"> para. 32-36)</w:t>
            </w:r>
          </w:p>
          <w:p w14:paraId="6BB7CC8F" w14:textId="13A32361" w:rsidR="00A03982" w:rsidRPr="005B5418" w:rsidRDefault="00A03982" w:rsidP="00A03982">
            <w:pPr>
              <w:pStyle w:val="BodyTextIndent"/>
              <w:spacing w:before="60" w:after="60"/>
              <w:rPr>
                <w:rFonts w:cs="Arial"/>
                <w:lang w:val="pt-BR"/>
              </w:rPr>
            </w:pPr>
            <w:r w:rsidRPr="005B5418">
              <w:rPr>
                <w:rFonts w:cs="Arial"/>
                <w:lang w:val="pt-BR"/>
              </w:rPr>
              <w:t>For short-term leases, lease incentives and lease concessions are recorded, when incurred, as reductions to lease rental expense by lessees and lease rental income by lessors. (SFFAS 54, para. 23-24)</w:t>
            </w:r>
          </w:p>
        </w:tc>
      </w:tr>
      <w:tr w:rsidR="00A03982" w:rsidRPr="005B5418" w14:paraId="6B72D70A" w14:textId="77777777" w:rsidTr="00935832">
        <w:trPr>
          <w:trHeight w:val="89"/>
        </w:trPr>
        <w:tc>
          <w:tcPr>
            <w:tcW w:w="5395" w:type="dxa"/>
          </w:tcPr>
          <w:p w14:paraId="1C2BE2E3" w14:textId="7DE2A7E3" w:rsidR="00A03982" w:rsidRPr="005B5418" w:rsidRDefault="00A03982" w:rsidP="005425ED">
            <w:pPr>
              <w:pStyle w:val="FAM-Table-outline"/>
              <w:widowControl/>
              <w:numPr>
                <w:ilvl w:val="0"/>
                <w:numId w:val="126"/>
              </w:numPr>
              <w:adjustRightInd/>
              <w:spacing w:line="240" w:lineRule="auto"/>
              <w:textAlignment w:val="auto"/>
            </w:pPr>
            <w:r w:rsidRPr="005B5418">
              <w:t>Are Short-Term Leases applicable to the entity’s financial statements? (Answer Y if applicable, N/A if not applicable, or N/S if not significant. If N/A or N/S, skip to the next sub-topic.)</w:t>
            </w:r>
          </w:p>
        </w:tc>
        <w:tc>
          <w:tcPr>
            <w:tcW w:w="990" w:type="dxa"/>
          </w:tcPr>
          <w:p w14:paraId="5AABDDA1" w14:textId="77777777" w:rsidR="00A03982" w:rsidRPr="005B5418" w:rsidRDefault="00A03982" w:rsidP="00A8550A">
            <w:pPr>
              <w:pStyle w:val="Table-Cell-CenterBoldBefore6ptAfter6pt"/>
              <w:spacing w:before="60" w:after="60"/>
              <w:rPr>
                <w:rFonts w:cs="Arial"/>
                <w:lang w:val="pt-BR"/>
              </w:rPr>
            </w:pPr>
          </w:p>
        </w:tc>
        <w:tc>
          <w:tcPr>
            <w:tcW w:w="3330" w:type="dxa"/>
          </w:tcPr>
          <w:p w14:paraId="0E62480D" w14:textId="77777777" w:rsidR="00A03982" w:rsidRPr="005B5418" w:rsidRDefault="00A03982" w:rsidP="00A8550A">
            <w:pPr>
              <w:pStyle w:val="BodyTextIndent"/>
              <w:spacing w:before="60" w:after="60"/>
              <w:rPr>
                <w:rFonts w:cs="Arial"/>
                <w:lang w:val="pt-BR"/>
              </w:rPr>
            </w:pPr>
          </w:p>
        </w:tc>
      </w:tr>
      <w:tr w:rsidR="00A03982" w:rsidRPr="005B5418" w14:paraId="314CF36E" w14:textId="77777777" w:rsidTr="00A03982">
        <w:trPr>
          <w:trHeight w:val="89"/>
        </w:trPr>
        <w:tc>
          <w:tcPr>
            <w:tcW w:w="9715" w:type="dxa"/>
            <w:gridSpan w:val="3"/>
          </w:tcPr>
          <w:p w14:paraId="02131659" w14:textId="6CDC72F8" w:rsidR="00A03982" w:rsidRPr="005B5418" w:rsidRDefault="00A03982" w:rsidP="00A03982">
            <w:pPr>
              <w:pStyle w:val="BodyTextIndent"/>
              <w:spacing w:before="60" w:after="60"/>
              <w:jc w:val="center"/>
              <w:rPr>
                <w:rFonts w:cs="Arial"/>
                <w:lang w:val="pt-BR"/>
              </w:rPr>
            </w:pPr>
            <w:r w:rsidRPr="005B5418">
              <w:rPr>
                <w:rFonts w:eastAsia="Arial Unicode MS"/>
                <w:b/>
              </w:rPr>
              <w:t>Short-Term Leases – Lessee Treatment</w:t>
            </w:r>
          </w:p>
        </w:tc>
      </w:tr>
      <w:tr w:rsidR="00A03982" w:rsidRPr="005B5418" w14:paraId="22CACA05" w14:textId="77777777" w:rsidTr="008F2806">
        <w:trPr>
          <w:trHeight w:val="89"/>
        </w:trPr>
        <w:tc>
          <w:tcPr>
            <w:tcW w:w="9715" w:type="dxa"/>
            <w:gridSpan w:val="3"/>
          </w:tcPr>
          <w:p w14:paraId="52D3CF76" w14:textId="02E10B17" w:rsidR="00A03982" w:rsidRPr="005B5418" w:rsidRDefault="00A03982" w:rsidP="00A8550A">
            <w:pPr>
              <w:pStyle w:val="BodyTextIndent"/>
              <w:spacing w:before="60" w:after="60"/>
              <w:rPr>
                <w:rFonts w:cs="Arial"/>
                <w:lang w:val="pt-BR"/>
              </w:rPr>
            </w:pPr>
            <w:r w:rsidRPr="005B5418">
              <w:rPr>
                <w:rFonts w:eastAsia="Arial Unicode MS"/>
                <w:b/>
              </w:rPr>
              <w:t>Accounting</w:t>
            </w:r>
          </w:p>
        </w:tc>
      </w:tr>
      <w:tr w:rsidR="00A03982" w:rsidRPr="005B5418" w14:paraId="1460CB77" w14:textId="77777777" w:rsidTr="00935832">
        <w:trPr>
          <w:trHeight w:val="89"/>
        </w:trPr>
        <w:tc>
          <w:tcPr>
            <w:tcW w:w="5395" w:type="dxa"/>
          </w:tcPr>
          <w:p w14:paraId="2881C328" w14:textId="649C22CD"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recognize short-term lease payments as an expense based on the payment provisions of the contract or agreement and standards regarding recognition of accounts payable and other related amounts? (SFFAS 54, para. 23)</w:t>
            </w:r>
          </w:p>
        </w:tc>
        <w:tc>
          <w:tcPr>
            <w:tcW w:w="990" w:type="dxa"/>
          </w:tcPr>
          <w:p w14:paraId="15288E7B" w14:textId="77777777" w:rsidR="00A03982" w:rsidRPr="005B5418" w:rsidRDefault="00A03982" w:rsidP="00A03982">
            <w:pPr>
              <w:pStyle w:val="Table-Cell-CenterBoldBefore6ptAfter6pt"/>
              <w:spacing w:before="60" w:after="60"/>
              <w:rPr>
                <w:rFonts w:cs="Arial"/>
                <w:lang w:val="pt-BR"/>
              </w:rPr>
            </w:pPr>
          </w:p>
        </w:tc>
        <w:tc>
          <w:tcPr>
            <w:tcW w:w="3330" w:type="dxa"/>
          </w:tcPr>
          <w:p w14:paraId="4FEEB9F5" w14:textId="77777777" w:rsidR="00A03982" w:rsidRPr="005B5418" w:rsidRDefault="00A03982" w:rsidP="00A03982">
            <w:pPr>
              <w:pStyle w:val="BodyTextIndent"/>
              <w:spacing w:before="60" w:after="60"/>
              <w:rPr>
                <w:rFonts w:cs="Arial"/>
                <w:lang w:val="pt-BR"/>
              </w:rPr>
            </w:pPr>
          </w:p>
        </w:tc>
      </w:tr>
      <w:tr w:rsidR="00A03982" w:rsidRPr="005B5418" w14:paraId="0E09EE04" w14:textId="77777777" w:rsidTr="00935832">
        <w:trPr>
          <w:trHeight w:val="89"/>
        </w:trPr>
        <w:tc>
          <w:tcPr>
            <w:tcW w:w="5395" w:type="dxa"/>
          </w:tcPr>
          <w:p w14:paraId="012FA70B" w14:textId="54EFEBDC"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recognize an asset if payments are made in advance of the reporting period to which they relate? (SFFAS 54, para. 23)</w:t>
            </w:r>
          </w:p>
        </w:tc>
        <w:tc>
          <w:tcPr>
            <w:tcW w:w="990" w:type="dxa"/>
          </w:tcPr>
          <w:p w14:paraId="1C281110" w14:textId="77777777" w:rsidR="00A03982" w:rsidRPr="005B5418" w:rsidRDefault="00A03982" w:rsidP="00A03982">
            <w:pPr>
              <w:pStyle w:val="Table-Cell-CenterBoldBefore6ptAfter6pt"/>
              <w:spacing w:before="60" w:after="60"/>
              <w:rPr>
                <w:rFonts w:cs="Arial"/>
                <w:lang w:val="pt-BR"/>
              </w:rPr>
            </w:pPr>
          </w:p>
        </w:tc>
        <w:tc>
          <w:tcPr>
            <w:tcW w:w="3330" w:type="dxa"/>
          </w:tcPr>
          <w:p w14:paraId="482351E7" w14:textId="77777777" w:rsidR="00A03982" w:rsidRPr="005B5418" w:rsidRDefault="00A03982" w:rsidP="00A03982">
            <w:pPr>
              <w:pStyle w:val="BodyTextIndent"/>
              <w:spacing w:before="60" w:after="60"/>
              <w:rPr>
                <w:rFonts w:cs="Arial"/>
                <w:lang w:val="pt-BR"/>
              </w:rPr>
            </w:pPr>
          </w:p>
        </w:tc>
      </w:tr>
      <w:tr w:rsidR="00A03982" w:rsidRPr="005B5418" w14:paraId="74D66D07" w14:textId="77777777" w:rsidTr="00935832">
        <w:trPr>
          <w:trHeight w:val="89"/>
        </w:trPr>
        <w:tc>
          <w:tcPr>
            <w:tcW w:w="5395" w:type="dxa"/>
          </w:tcPr>
          <w:p w14:paraId="7FDA7AD5" w14:textId="13384B83"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recognize a liability for rent due and unpaid at the end of the reporting period to which they relate? (SFFAS 54, para. 23)</w:t>
            </w:r>
          </w:p>
        </w:tc>
        <w:tc>
          <w:tcPr>
            <w:tcW w:w="990" w:type="dxa"/>
          </w:tcPr>
          <w:p w14:paraId="7BA74239" w14:textId="77777777" w:rsidR="00A03982" w:rsidRPr="005B5418" w:rsidRDefault="00A03982" w:rsidP="00A03982">
            <w:pPr>
              <w:pStyle w:val="Table-Cell-CenterBoldBefore6ptAfter6pt"/>
              <w:spacing w:before="60" w:after="60"/>
              <w:rPr>
                <w:rFonts w:cs="Arial"/>
                <w:lang w:val="pt-BR"/>
              </w:rPr>
            </w:pPr>
          </w:p>
        </w:tc>
        <w:tc>
          <w:tcPr>
            <w:tcW w:w="3330" w:type="dxa"/>
          </w:tcPr>
          <w:p w14:paraId="5AA486DB" w14:textId="77777777" w:rsidR="00A03982" w:rsidRPr="005B5418" w:rsidRDefault="00A03982" w:rsidP="00A03982">
            <w:pPr>
              <w:pStyle w:val="BodyTextIndent"/>
              <w:spacing w:before="60" w:after="60"/>
              <w:rPr>
                <w:rFonts w:cs="Arial"/>
                <w:lang w:val="pt-BR"/>
              </w:rPr>
            </w:pPr>
          </w:p>
        </w:tc>
      </w:tr>
      <w:tr w:rsidR="00A03982" w:rsidRPr="005B5418" w14:paraId="7FE3B2FA" w14:textId="77777777" w:rsidTr="00935832">
        <w:trPr>
          <w:trHeight w:val="89"/>
        </w:trPr>
        <w:tc>
          <w:tcPr>
            <w:tcW w:w="5395" w:type="dxa"/>
          </w:tcPr>
          <w:p w14:paraId="47E2B29F" w14:textId="7BBD9667" w:rsidR="00A03982" w:rsidRPr="005B5418" w:rsidRDefault="00A03982" w:rsidP="005425ED">
            <w:pPr>
              <w:pStyle w:val="FAM-Table-outline"/>
              <w:widowControl/>
              <w:numPr>
                <w:ilvl w:val="0"/>
                <w:numId w:val="126"/>
              </w:numPr>
              <w:adjustRightInd/>
              <w:spacing w:line="240" w:lineRule="auto"/>
              <w:textAlignment w:val="auto"/>
            </w:pPr>
            <w:r w:rsidRPr="005B5418">
              <w:t>Does the</w:t>
            </w:r>
            <w:r w:rsidRPr="005425ED">
              <w:rPr>
                <w:b/>
              </w:rPr>
              <w:t xml:space="preserve"> </w:t>
            </w:r>
            <w:r w:rsidRPr="005B5418">
              <w:rPr>
                <w:b/>
                <w:bCs/>
              </w:rPr>
              <w:t>lessee</w:t>
            </w:r>
            <w:r w:rsidRPr="005B5418">
              <w:t xml:space="preserve"> recognize rental increases, rental decreases, lease incentives, and lease concessions when incurred as increases/reductions to lease rental expense? (SFFAS 54, para. 23; also see </w:t>
            </w:r>
            <w:r w:rsidR="00C140EF" w:rsidRPr="005B5418">
              <w:t>TR 20</w:t>
            </w:r>
            <w:r w:rsidRPr="005B5418">
              <w:t>, para. 36)</w:t>
            </w:r>
          </w:p>
        </w:tc>
        <w:tc>
          <w:tcPr>
            <w:tcW w:w="990" w:type="dxa"/>
          </w:tcPr>
          <w:p w14:paraId="5EEB5FB1" w14:textId="77777777" w:rsidR="00A03982" w:rsidRPr="005B5418" w:rsidRDefault="00A03982" w:rsidP="00A03982">
            <w:pPr>
              <w:pStyle w:val="Table-Cell-CenterBoldBefore6ptAfter6pt"/>
              <w:spacing w:before="60" w:after="60"/>
              <w:rPr>
                <w:rFonts w:cs="Arial"/>
                <w:lang w:val="pt-BR"/>
              </w:rPr>
            </w:pPr>
          </w:p>
        </w:tc>
        <w:tc>
          <w:tcPr>
            <w:tcW w:w="3330" w:type="dxa"/>
          </w:tcPr>
          <w:p w14:paraId="06C2F2A7" w14:textId="77777777" w:rsidR="00A03982" w:rsidRPr="005B5418" w:rsidRDefault="00A03982" w:rsidP="00A03982">
            <w:pPr>
              <w:pStyle w:val="BodyTextIndent"/>
              <w:spacing w:before="60" w:after="60"/>
              <w:rPr>
                <w:rFonts w:cs="Arial"/>
                <w:lang w:val="pt-BR"/>
              </w:rPr>
            </w:pPr>
          </w:p>
        </w:tc>
      </w:tr>
      <w:tr w:rsidR="00A03982" w:rsidRPr="005B5418" w14:paraId="3FFA4472" w14:textId="77777777" w:rsidTr="00A03982">
        <w:trPr>
          <w:trHeight w:val="89"/>
        </w:trPr>
        <w:tc>
          <w:tcPr>
            <w:tcW w:w="9715" w:type="dxa"/>
            <w:gridSpan w:val="3"/>
          </w:tcPr>
          <w:p w14:paraId="3CC3D61F" w14:textId="16A676BB" w:rsidR="00A03982" w:rsidRPr="005B5418" w:rsidRDefault="00A03982" w:rsidP="00A03982">
            <w:pPr>
              <w:pStyle w:val="BodyTextIndent"/>
              <w:spacing w:before="60" w:after="60"/>
              <w:jc w:val="center"/>
              <w:rPr>
                <w:rFonts w:cs="Arial"/>
                <w:lang w:val="pt-BR"/>
              </w:rPr>
            </w:pPr>
            <w:r w:rsidRPr="005B5418">
              <w:rPr>
                <w:rFonts w:eastAsia="Arial Unicode MS"/>
                <w:b/>
              </w:rPr>
              <w:t>Short-Term Leases - Lessor Treatment</w:t>
            </w:r>
          </w:p>
        </w:tc>
      </w:tr>
      <w:tr w:rsidR="00A03982" w:rsidRPr="005B5418" w14:paraId="6237C314" w14:textId="77777777" w:rsidTr="008262AF">
        <w:trPr>
          <w:trHeight w:val="89"/>
        </w:trPr>
        <w:tc>
          <w:tcPr>
            <w:tcW w:w="9715" w:type="dxa"/>
            <w:gridSpan w:val="3"/>
          </w:tcPr>
          <w:p w14:paraId="2D63A182" w14:textId="0C5BF7FA" w:rsidR="00A03982" w:rsidRPr="005B5418" w:rsidRDefault="00A03982" w:rsidP="00A03982">
            <w:pPr>
              <w:pStyle w:val="BodyTextIndent"/>
              <w:spacing w:before="60" w:after="60"/>
              <w:rPr>
                <w:rFonts w:cs="Arial"/>
                <w:lang w:val="pt-BR"/>
              </w:rPr>
            </w:pPr>
            <w:r w:rsidRPr="005B5418">
              <w:rPr>
                <w:rFonts w:eastAsia="Arial Unicode MS"/>
                <w:b/>
              </w:rPr>
              <w:t>Accounting</w:t>
            </w:r>
          </w:p>
        </w:tc>
      </w:tr>
      <w:tr w:rsidR="00A03982" w:rsidRPr="005B5418" w14:paraId="026DB2D0" w14:textId="77777777" w:rsidTr="00935832">
        <w:trPr>
          <w:trHeight w:val="89"/>
        </w:trPr>
        <w:tc>
          <w:tcPr>
            <w:tcW w:w="5395" w:type="dxa"/>
          </w:tcPr>
          <w:p w14:paraId="69C5C6C4" w14:textId="10CEDE1C"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recognize short-term lease payments as revenue based on the payment provisions of the contract or agreement and standards regarding recognition of accounts </w:t>
            </w:r>
            <w:r w:rsidRPr="005B5418">
              <w:lastRenderedPageBreak/>
              <w:t>receivable and other related accounts? (SFFAS 54, para. 24)</w:t>
            </w:r>
          </w:p>
        </w:tc>
        <w:tc>
          <w:tcPr>
            <w:tcW w:w="990" w:type="dxa"/>
          </w:tcPr>
          <w:p w14:paraId="63674B28" w14:textId="77777777" w:rsidR="00A03982" w:rsidRPr="005B5418" w:rsidRDefault="00A03982" w:rsidP="00A03982">
            <w:pPr>
              <w:pStyle w:val="Table-Cell-CenterBoldBefore6ptAfter6pt"/>
              <w:spacing w:before="60" w:after="60"/>
              <w:rPr>
                <w:rFonts w:cs="Arial"/>
                <w:lang w:val="pt-BR"/>
              </w:rPr>
            </w:pPr>
          </w:p>
        </w:tc>
        <w:tc>
          <w:tcPr>
            <w:tcW w:w="3330" w:type="dxa"/>
          </w:tcPr>
          <w:p w14:paraId="0CBB2456" w14:textId="77777777" w:rsidR="00A03982" w:rsidRPr="005B5418" w:rsidRDefault="00A03982" w:rsidP="00A03982">
            <w:pPr>
              <w:pStyle w:val="BodyTextIndent"/>
              <w:spacing w:before="60" w:after="60"/>
              <w:rPr>
                <w:rFonts w:cs="Arial"/>
                <w:lang w:val="pt-BR"/>
              </w:rPr>
            </w:pPr>
          </w:p>
        </w:tc>
      </w:tr>
      <w:tr w:rsidR="00A03982" w:rsidRPr="005B5418" w14:paraId="580FA64B" w14:textId="77777777" w:rsidTr="00935832">
        <w:trPr>
          <w:trHeight w:val="89"/>
        </w:trPr>
        <w:tc>
          <w:tcPr>
            <w:tcW w:w="5395" w:type="dxa"/>
          </w:tcPr>
          <w:p w14:paraId="3DA88BFF" w14:textId="39D148BF"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recognize a liability if payments are received in advance of the reporting period to which they relate? (SFFAS 54, para. 24)</w:t>
            </w:r>
          </w:p>
        </w:tc>
        <w:tc>
          <w:tcPr>
            <w:tcW w:w="990" w:type="dxa"/>
          </w:tcPr>
          <w:p w14:paraId="060F7FF8" w14:textId="77777777" w:rsidR="00A03982" w:rsidRPr="005B5418" w:rsidRDefault="00A03982" w:rsidP="00A03982">
            <w:pPr>
              <w:pStyle w:val="Table-Cell-CenterBoldBefore6ptAfter6pt"/>
              <w:spacing w:before="60" w:after="60"/>
              <w:rPr>
                <w:rFonts w:cs="Arial"/>
                <w:lang w:val="pt-BR"/>
              </w:rPr>
            </w:pPr>
          </w:p>
        </w:tc>
        <w:tc>
          <w:tcPr>
            <w:tcW w:w="3330" w:type="dxa"/>
          </w:tcPr>
          <w:p w14:paraId="1BAD07C4" w14:textId="77777777" w:rsidR="00A03982" w:rsidRPr="005B5418" w:rsidRDefault="00A03982" w:rsidP="00A03982">
            <w:pPr>
              <w:pStyle w:val="BodyTextIndent"/>
              <w:spacing w:before="60" w:after="60"/>
              <w:rPr>
                <w:rFonts w:cs="Arial"/>
                <w:lang w:val="pt-BR"/>
              </w:rPr>
            </w:pPr>
          </w:p>
        </w:tc>
      </w:tr>
      <w:tr w:rsidR="00A03982" w:rsidRPr="005B5418" w14:paraId="12B340C0" w14:textId="77777777" w:rsidTr="00935832">
        <w:trPr>
          <w:trHeight w:val="89"/>
        </w:trPr>
        <w:tc>
          <w:tcPr>
            <w:tcW w:w="5395" w:type="dxa"/>
          </w:tcPr>
          <w:p w14:paraId="6B8B1710" w14:textId="2CE093AA"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recognize an asset for rent due and to be received subsequent to the reporting period to which they relate? (SFFAS 54, para. 24)</w:t>
            </w:r>
          </w:p>
        </w:tc>
        <w:tc>
          <w:tcPr>
            <w:tcW w:w="990" w:type="dxa"/>
          </w:tcPr>
          <w:p w14:paraId="5200A870" w14:textId="77777777" w:rsidR="00A03982" w:rsidRPr="005B5418" w:rsidRDefault="00A03982" w:rsidP="00A03982">
            <w:pPr>
              <w:pStyle w:val="Table-Cell-CenterBoldBefore6ptAfter6pt"/>
              <w:spacing w:before="60" w:after="60"/>
              <w:rPr>
                <w:rFonts w:cs="Arial"/>
                <w:lang w:val="pt-BR"/>
              </w:rPr>
            </w:pPr>
          </w:p>
        </w:tc>
        <w:tc>
          <w:tcPr>
            <w:tcW w:w="3330" w:type="dxa"/>
          </w:tcPr>
          <w:p w14:paraId="7E4AB29E" w14:textId="77777777" w:rsidR="00A03982" w:rsidRPr="005B5418" w:rsidRDefault="00A03982" w:rsidP="00A03982">
            <w:pPr>
              <w:pStyle w:val="BodyTextIndent"/>
              <w:spacing w:before="60" w:after="60"/>
              <w:rPr>
                <w:rFonts w:cs="Arial"/>
                <w:lang w:val="pt-BR"/>
              </w:rPr>
            </w:pPr>
          </w:p>
        </w:tc>
      </w:tr>
      <w:tr w:rsidR="00A03982" w:rsidRPr="005B5418" w14:paraId="59A057B5" w14:textId="77777777" w:rsidTr="00935832">
        <w:trPr>
          <w:trHeight w:val="89"/>
        </w:trPr>
        <w:tc>
          <w:tcPr>
            <w:tcW w:w="5395" w:type="dxa"/>
          </w:tcPr>
          <w:p w14:paraId="2D29BBEB" w14:textId="3E8DB727"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recognize rental increases, rental decreases, lease incentives, and lease concessions when incurred as increases/reductions to lease rental income? (SFFAS 54, para. 24)</w:t>
            </w:r>
          </w:p>
        </w:tc>
        <w:tc>
          <w:tcPr>
            <w:tcW w:w="990" w:type="dxa"/>
          </w:tcPr>
          <w:p w14:paraId="351ADF05" w14:textId="77777777" w:rsidR="00A03982" w:rsidRPr="005B5418" w:rsidRDefault="00A03982" w:rsidP="00A03982">
            <w:pPr>
              <w:pStyle w:val="Table-Cell-CenterBoldBefore6ptAfter6pt"/>
              <w:spacing w:before="60" w:after="60"/>
              <w:rPr>
                <w:rFonts w:cs="Arial"/>
                <w:lang w:val="pt-BR"/>
              </w:rPr>
            </w:pPr>
          </w:p>
        </w:tc>
        <w:tc>
          <w:tcPr>
            <w:tcW w:w="3330" w:type="dxa"/>
          </w:tcPr>
          <w:p w14:paraId="62EA8294" w14:textId="77777777" w:rsidR="00A03982" w:rsidRPr="005B5418" w:rsidRDefault="00A03982" w:rsidP="00A03982">
            <w:pPr>
              <w:pStyle w:val="BodyTextIndent"/>
              <w:spacing w:before="60" w:after="60"/>
              <w:rPr>
                <w:rFonts w:cs="Arial"/>
                <w:lang w:val="pt-BR"/>
              </w:rPr>
            </w:pPr>
          </w:p>
        </w:tc>
      </w:tr>
      <w:tr w:rsidR="00977E6C" w:rsidRPr="005B5418" w14:paraId="2164B101" w14:textId="77777777" w:rsidTr="00ED6EED">
        <w:trPr>
          <w:trHeight w:val="89"/>
        </w:trPr>
        <w:tc>
          <w:tcPr>
            <w:tcW w:w="9715" w:type="dxa"/>
            <w:gridSpan w:val="3"/>
          </w:tcPr>
          <w:p w14:paraId="6D6D9E74" w14:textId="7337F0A9" w:rsidR="00977E6C" w:rsidRPr="005B5418" w:rsidRDefault="00977E6C" w:rsidP="00A03982">
            <w:pPr>
              <w:pStyle w:val="Table-Note"/>
              <w:spacing w:line="240" w:lineRule="auto"/>
              <w:ind w:left="0"/>
              <w:rPr>
                <w:rFonts w:eastAsia="Arial Unicode MS" w:cs="Arial"/>
                <w:b/>
                <w:bCs/>
                <w:i w:val="0"/>
                <w:sz w:val="28"/>
                <w:szCs w:val="28"/>
              </w:rPr>
            </w:pPr>
            <w:r w:rsidRPr="005B5418">
              <w:rPr>
                <w:rFonts w:eastAsia="Arial Unicode MS" w:cs="Arial"/>
                <w:b/>
                <w:bCs/>
                <w:i w:val="0"/>
                <w:sz w:val="28"/>
                <w:szCs w:val="28"/>
              </w:rPr>
              <w:lastRenderedPageBreak/>
              <w:t>Non-Federal Leases</w:t>
            </w:r>
          </w:p>
        </w:tc>
      </w:tr>
      <w:tr w:rsidR="00A03982" w:rsidRPr="005B5418" w14:paraId="0B5E323B" w14:textId="77777777" w:rsidTr="00ED6EED">
        <w:trPr>
          <w:trHeight w:val="89"/>
        </w:trPr>
        <w:tc>
          <w:tcPr>
            <w:tcW w:w="9715" w:type="dxa"/>
            <w:gridSpan w:val="3"/>
          </w:tcPr>
          <w:p w14:paraId="5E8C4A81" w14:textId="77777777" w:rsidR="00A03982" w:rsidRPr="005B5418" w:rsidRDefault="00A03982" w:rsidP="005425ED">
            <w:pPr>
              <w:pStyle w:val="Table-Note"/>
              <w:spacing w:line="240" w:lineRule="auto"/>
              <w:ind w:left="0"/>
              <w:jc w:val="left"/>
              <w:rPr>
                <w:rFonts w:eastAsia="Arial Unicode MS" w:cs="Arial"/>
                <w:i w:val="0"/>
                <w:sz w:val="22"/>
                <w:szCs w:val="22"/>
              </w:rPr>
            </w:pPr>
            <w:r w:rsidRPr="005B5418">
              <w:rPr>
                <w:rFonts w:eastAsia="Arial Unicode MS" w:cs="Arial"/>
                <w:i w:val="0"/>
                <w:sz w:val="22"/>
                <w:szCs w:val="22"/>
              </w:rPr>
              <w:t>Non-Federal Leases are leases other than Short-Term Leases, contracts or agreements that transfer ownership, and Intragovernmental Leases.</w:t>
            </w:r>
          </w:p>
          <w:p w14:paraId="471329CE" w14:textId="77777777" w:rsidR="00A03982" w:rsidRPr="005B5418" w:rsidRDefault="00A03982" w:rsidP="007A7A92">
            <w:pPr>
              <w:autoSpaceDE w:val="0"/>
              <w:autoSpaceDN w:val="0"/>
              <w:spacing w:after="0" w:line="240" w:lineRule="auto"/>
              <w:ind w:left="-29"/>
              <w:rPr>
                <w:rFonts w:ascii="Arial" w:eastAsia="Arial Unicode MS" w:hAnsi="Arial" w:cs="Arial"/>
              </w:rPr>
            </w:pPr>
            <w:r w:rsidRPr="005B5418">
              <w:rPr>
                <w:rFonts w:ascii="Arial" w:eastAsia="Arial Unicode MS" w:hAnsi="Arial" w:cs="Arial"/>
              </w:rPr>
              <w:t>The Non-Federal Leases sub-topic is divided into the following:</w:t>
            </w:r>
          </w:p>
          <w:p w14:paraId="45378FBD" w14:textId="77777777" w:rsidR="00A03982" w:rsidRPr="005B5418" w:rsidRDefault="00A03982" w:rsidP="00A03982">
            <w:pPr>
              <w:pStyle w:val="ListParagraph"/>
              <w:numPr>
                <w:ilvl w:val="0"/>
                <w:numId w:val="127"/>
              </w:numPr>
              <w:autoSpaceDE w:val="0"/>
              <w:autoSpaceDN w:val="0"/>
              <w:spacing w:line="240" w:lineRule="auto"/>
              <w:rPr>
                <w:rFonts w:cs="Arial"/>
                <w:b/>
                <w:color w:val="auto"/>
                <w:sz w:val="22"/>
                <w:szCs w:val="22"/>
              </w:rPr>
            </w:pPr>
            <w:r w:rsidRPr="005B5418">
              <w:rPr>
                <w:rFonts w:cs="Arial"/>
                <w:bCs/>
                <w:color w:val="auto"/>
                <w:sz w:val="22"/>
                <w:szCs w:val="22"/>
              </w:rPr>
              <w:t>General</w:t>
            </w:r>
          </w:p>
          <w:p w14:paraId="7F921F92" w14:textId="77777777" w:rsidR="00A03982" w:rsidRPr="005B5418" w:rsidRDefault="00A03982" w:rsidP="00A03982">
            <w:pPr>
              <w:pStyle w:val="ListParagraph"/>
              <w:numPr>
                <w:ilvl w:val="1"/>
                <w:numId w:val="127"/>
              </w:numPr>
              <w:autoSpaceDE w:val="0"/>
              <w:autoSpaceDN w:val="0"/>
              <w:spacing w:line="240" w:lineRule="auto"/>
              <w:rPr>
                <w:rFonts w:cs="Arial"/>
                <w:b/>
                <w:color w:val="auto"/>
                <w:sz w:val="22"/>
                <w:szCs w:val="22"/>
              </w:rPr>
            </w:pPr>
            <w:r w:rsidRPr="005B5418">
              <w:rPr>
                <w:rFonts w:eastAsia="Arial Unicode MS" w:cs="Arial"/>
                <w:sz w:val="22"/>
                <w:szCs w:val="22"/>
              </w:rPr>
              <w:t xml:space="preserve">Lease Terminations and Modifications </w:t>
            </w:r>
          </w:p>
          <w:p w14:paraId="23D2230B" w14:textId="77777777" w:rsidR="00A03982" w:rsidRPr="005B5418" w:rsidRDefault="00A03982" w:rsidP="00A03982">
            <w:pPr>
              <w:pStyle w:val="ListParagraph"/>
              <w:numPr>
                <w:ilvl w:val="1"/>
                <w:numId w:val="127"/>
              </w:numPr>
              <w:autoSpaceDE w:val="0"/>
              <w:autoSpaceDN w:val="0"/>
              <w:spacing w:line="240" w:lineRule="auto"/>
              <w:rPr>
                <w:rFonts w:cs="Arial"/>
                <w:b/>
                <w:color w:val="auto"/>
                <w:sz w:val="22"/>
                <w:szCs w:val="22"/>
              </w:rPr>
            </w:pPr>
            <w:r w:rsidRPr="005B5418">
              <w:rPr>
                <w:rFonts w:eastAsia="Arial Unicode MS" w:cs="Arial"/>
                <w:sz w:val="22"/>
                <w:szCs w:val="22"/>
              </w:rPr>
              <w:t>Contract or Agreements with Multiple Components / Combinations</w:t>
            </w:r>
          </w:p>
          <w:p w14:paraId="4F973257" w14:textId="77777777" w:rsidR="00A03982" w:rsidRPr="005B5418" w:rsidRDefault="00A03982" w:rsidP="00A03982">
            <w:pPr>
              <w:pStyle w:val="ListParagraph"/>
              <w:numPr>
                <w:ilvl w:val="1"/>
                <w:numId w:val="127"/>
              </w:numPr>
              <w:autoSpaceDE w:val="0"/>
              <w:autoSpaceDN w:val="0"/>
              <w:spacing w:line="240" w:lineRule="auto"/>
              <w:rPr>
                <w:rFonts w:cs="Arial"/>
                <w:b/>
                <w:color w:val="auto"/>
                <w:sz w:val="22"/>
                <w:szCs w:val="22"/>
              </w:rPr>
            </w:pPr>
            <w:r w:rsidRPr="005B5418">
              <w:rPr>
                <w:rFonts w:cs="Arial"/>
                <w:color w:val="auto"/>
                <w:sz w:val="22"/>
                <w:szCs w:val="22"/>
              </w:rPr>
              <w:t>Subleases</w:t>
            </w:r>
          </w:p>
          <w:p w14:paraId="7673092C" w14:textId="77777777" w:rsidR="00A03982" w:rsidRPr="005B5418" w:rsidRDefault="00A03982" w:rsidP="00A03982">
            <w:pPr>
              <w:pStyle w:val="ListParagraph"/>
              <w:numPr>
                <w:ilvl w:val="1"/>
                <w:numId w:val="127"/>
              </w:numPr>
              <w:autoSpaceDE w:val="0"/>
              <w:autoSpaceDN w:val="0"/>
              <w:spacing w:line="240" w:lineRule="auto"/>
              <w:rPr>
                <w:rFonts w:cs="Arial"/>
                <w:b/>
                <w:color w:val="auto"/>
                <w:sz w:val="22"/>
                <w:szCs w:val="22"/>
              </w:rPr>
            </w:pPr>
            <w:r w:rsidRPr="005B5418">
              <w:rPr>
                <w:rFonts w:cs="Arial"/>
                <w:color w:val="auto"/>
                <w:sz w:val="22"/>
                <w:szCs w:val="22"/>
              </w:rPr>
              <w:t>Sale-Leaseback</w:t>
            </w:r>
          </w:p>
          <w:p w14:paraId="3633C775" w14:textId="77777777" w:rsidR="00A03982" w:rsidRPr="005B5418" w:rsidRDefault="00A03982" w:rsidP="00A03982">
            <w:pPr>
              <w:pStyle w:val="ListParagraph"/>
              <w:numPr>
                <w:ilvl w:val="1"/>
                <w:numId w:val="127"/>
              </w:numPr>
              <w:autoSpaceDE w:val="0"/>
              <w:autoSpaceDN w:val="0"/>
              <w:spacing w:line="240" w:lineRule="auto"/>
              <w:rPr>
                <w:rFonts w:cs="Arial"/>
                <w:b/>
                <w:color w:val="auto"/>
                <w:sz w:val="22"/>
                <w:szCs w:val="22"/>
              </w:rPr>
            </w:pPr>
            <w:r w:rsidRPr="005B5418">
              <w:rPr>
                <w:rFonts w:cs="Arial"/>
                <w:color w:val="auto"/>
                <w:sz w:val="22"/>
                <w:szCs w:val="22"/>
              </w:rPr>
              <w:t>Lease-Leaseback</w:t>
            </w:r>
          </w:p>
          <w:p w14:paraId="7B77B1AF" w14:textId="77777777" w:rsidR="00A03982" w:rsidRPr="005B5418" w:rsidRDefault="00A03982" w:rsidP="00A03982">
            <w:pPr>
              <w:pStyle w:val="ListParagraph"/>
              <w:numPr>
                <w:ilvl w:val="0"/>
                <w:numId w:val="127"/>
              </w:numPr>
              <w:autoSpaceDE w:val="0"/>
              <w:autoSpaceDN w:val="0"/>
              <w:spacing w:line="240" w:lineRule="auto"/>
              <w:rPr>
                <w:rFonts w:cs="Arial"/>
                <w:b/>
                <w:color w:val="auto"/>
                <w:sz w:val="22"/>
                <w:szCs w:val="22"/>
              </w:rPr>
            </w:pPr>
            <w:r w:rsidRPr="005B5418">
              <w:rPr>
                <w:rFonts w:cs="Arial"/>
                <w:bCs/>
                <w:color w:val="auto"/>
                <w:sz w:val="22"/>
                <w:szCs w:val="22"/>
              </w:rPr>
              <w:t xml:space="preserve">Lessee Treatment </w:t>
            </w:r>
          </w:p>
          <w:p w14:paraId="2A619CA1" w14:textId="7AC845B3" w:rsidR="00A03982" w:rsidRPr="005B5418" w:rsidRDefault="00A03982" w:rsidP="007A7A92">
            <w:pPr>
              <w:pStyle w:val="ListParagraph"/>
              <w:numPr>
                <w:ilvl w:val="0"/>
                <w:numId w:val="127"/>
              </w:numPr>
              <w:autoSpaceDE w:val="0"/>
              <w:autoSpaceDN w:val="0"/>
              <w:spacing w:line="240" w:lineRule="auto"/>
              <w:rPr>
                <w:rFonts w:cs="Arial"/>
                <w:b/>
                <w:color w:val="auto"/>
                <w:sz w:val="22"/>
                <w:szCs w:val="22"/>
              </w:rPr>
            </w:pPr>
            <w:r w:rsidRPr="005B5418">
              <w:rPr>
                <w:rFonts w:cs="Arial"/>
                <w:bCs/>
                <w:color w:val="auto"/>
                <w:sz w:val="22"/>
                <w:szCs w:val="22"/>
              </w:rPr>
              <w:t>Lessor Treatment</w:t>
            </w:r>
          </w:p>
          <w:p w14:paraId="7DC28A13" w14:textId="171E39B4" w:rsidR="00A03982" w:rsidRPr="005B5418" w:rsidRDefault="00A03982" w:rsidP="00A03982">
            <w:pPr>
              <w:pStyle w:val="Table-Note"/>
              <w:spacing w:line="240" w:lineRule="auto"/>
              <w:ind w:left="0"/>
              <w:rPr>
                <w:rFonts w:eastAsia="Arial Unicode MS" w:cs="Arial"/>
                <w:i w:val="0"/>
                <w:sz w:val="22"/>
                <w:szCs w:val="22"/>
              </w:rPr>
            </w:pPr>
            <w:r w:rsidRPr="005B5418">
              <w:rPr>
                <w:rFonts w:eastAsia="Arial Unicode MS" w:cs="Arial"/>
                <w:i w:val="0"/>
                <w:sz w:val="22"/>
                <w:szCs w:val="22"/>
              </w:rPr>
              <w:t>For questions related to right-to-use lease assets, see topic II.3.8.10, subtopic Right-to-</w:t>
            </w:r>
            <w:r w:rsidR="004F6B8A">
              <w:rPr>
                <w:rFonts w:eastAsia="Arial Unicode MS" w:cs="Arial"/>
                <w:i w:val="0"/>
                <w:sz w:val="22"/>
                <w:szCs w:val="22"/>
              </w:rPr>
              <w:t>U</w:t>
            </w:r>
            <w:r w:rsidR="004F6B8A" w:rsidRPr="005B5418">
              <w:rPr>
                <w:rFonts w:eastAsia="Arial Unicode MS" w:cs="Arial"/>
                <w:i w:val="0"/>
                <w:sz w:val="22"/>
                <w:szCs w:val="22"/>
              </w:rPr>
              <w:t xml:space="preserve">se </w:t>
            </w:r>
            <w:r w:rsidRPr="005B5418">
              <w:rPr>
                <w:rFonts w:eastAsia="Arial Unicode MS" w:cs="Arial"/>
                <w:i w:val="0"/>
                <w:sz w:val="22"/>
                <w:szCs w:val="22"/>
              </w:rPr>
              <w:t>Lease Assets.</w:t>
            </w:r>
          </w:p>
          <w:p w14:paraId="2B3806F2" w14:textId="06CCEE12" w:rsidR="00A03982" w:rsidRPr="005B5418" w:rsidRDefault="00A03982" w:rsidP="00A03982">
            <w:pPr>
              <w:pStyle w:val="Table-Note"/>
              <w:spacing w:line="240" w:lineRule="auto"/>
              <w:ind w:left="0"/>
              <w:rPr>
                <w:rFonts w:eastAsia="Arial Unicode MS" w:cs="Arial"/>
                <w:i w:val="0"/>
                <w:sz w:val="22"/>
                <w:szCs w:val="22"/>
              </w:rPr>
            </w:pPr>
            <w:r w:rsidRPr="005B5418">
              <w:rPr>
                <w:rFonts w:eastAsia="Arial Unicode MS" w:cs="Arial"/>
                <w:i w:val="0"/>
                <w:sz w:val="22"/>
                <w:szCs w:val="22"/>
              </w:rPr>
              <w:t xml:space="preserve">For </w:t>
            </w:r>
            <w:r w:rsidRPr="005B5418">
              <w:rPr>
                <w:rFonts w:eastAsia="Arial Unicode MS" w:cs="Arial"/>
                <w:b/>
              </w:rPr>
              <w:t>non-federal</w:t>
            </w:r>
            <w:r w:rsidRPr="005B5418">
              <w:rPr>
                <w:rFonts w:eastAsia="Arial Unicode MS" w:cs="Arial"/>
                <w:i w:val="0"/>
                <w:sz w:val="22"/>
                <w:szCs w:val="22"/>
              </w:rPr>
              <w:t xml:space="preserve"> leases, lease incentives and lease concessions that provide payments to, or on behalf of, a lessee at or before the commencement of a lease term are included in initial measurement by directly reducing the amount of the right-to-use lease asset (see SFFAS 54, </w:t>
            </w:r>
            <w:r w:rsidR="004B6E4A" w:rsidRPr="005B5418">
              <w:rPr>
                <w:rFonts w:eastAsia="Arial Unicode MS" w:cs="Arial"/>
                <w:i w:val="0"/>
                <w:sz w:val="22"/>
                <w:szCs w:val="22"/>
              </w:rPr>
              <w:t>para.</w:t>
            </w:r>
            <w:r w:rsidRPr="005B5418">
              <w:rPr>
                <w:rFonts w:eastAsia="Arial Unicode MS" w:cs="Arial"/>
                <w:i w:val="0"/>
                <w:sz w:val="22"/>
                <w:szCs w:val="22"/>
              </w:rPr>
              <w:t xml:space="preserve"> 49). Lease incentive and concession payments to be provided after the commencement of the lease term should be accounted for by lessees and lessors as reductions of lease payments for the periods in which the incentive or concession payments will be provided.</w:t>
            </w:r>
          </w:p>
          <w:p w14:paraId="1F6F3820" w14:textId="77777777" w:rsidR="00A03982" w:rsidRPr="005B5418" w:rsidRDefault="00A03982" w:rsidP="00A03982">
            <w:pPr>
              <w:pStyle w:val="Table-Note"/>
              <w:spacing w:line="240" w:lineRule="auto"/>
              <w:ind w:left="0"/>
              <w:rPr>
                <w:rFonts w:eastAsia="Arial Unicode MS" w:cs="Arial"/>
                <w:i w:val="0"/>
                <w:sz w:val="22"/>
                <w:szCs w:val="22"/>
              </w:rPr>
            </w:pPr>
            <w:r w:rsidRPr="005B5418">
              <w:rPr>
                <w:rFonts w:eastAsia="Arial Unicode MS" w:cs="Arial"/>
                <w:i w:val="0"/>
                <w:sz w:val="22"/>
                <w:szCs w:val="22"/>
              </w:rPr>
              <w:t>Unless the interest rate the lessor charges the lessee is stated in the lease, lessees and lessors should discount future lease payments at an interest rate consistent (from period to period) with an  interest rate on marketable Treasury securities at the commencement of the lease term (or at the subsequent financial reporting date, when the lease liability/receivable should be remeasured), with a similar maturity to the term of the lease (that does not extrapolate beyond the longest Treasury maturity). (SFFAS 54, para. 42, 42A-42C, 59, 59A-59C)</w:t>
            </w:r>
          </w:p>
          <w:p w14:paraId="08C8DEAC" w14:textId="77777777" w:rsidR="00A03982" w:rsidRPr="005B5418" w:rsidRDefault="00A03982" w:rsidP="00A03982">
            <w:pPr>
              <w:pStyle w:val="Table-Note"/>
              <w:spacing w:line="240" w:lineRule="auto"/>
              <w:ind w:left="0"/>
              <w:rPr>
                <w:rFonts w:eastAsia="Arial Unicode MS" w:cs="Arial"/>
                <w:i w:val="0"/>
                <w:sz w:val="22"/>
                <w:szCs w:val="22"/>
              </w:rPr>
            </w:pPr>
            <w:r w:rsidRPr="005B5418">
              <w:rPr>
                <w:rFonts w:eastAsia="Arial Unicode MS" w:cs="Arial"/>
                <w:i w:val="0"/>
                <w:sz w:val="22"/>
                <w:szCs w:val="22"/>
              </w:rPr>
              <w:t>In subsequent financial reporting periods, the lessee/lessor should calculate the amortization of the discount on the lease liability/receivable and recognize that amount as interest expense/revenue for the period. (SFFAS 54, para. 43 &amp; 60)</w:t>
            </w:r>
          </w:p>
          <w:p w14:paraId="1D13250F" w14:textId="77777777" w:rsidR="00A03982" w:rsidRPr="005B5418" w:rsidRDefault="00A03982" w:rsidP="00A03982">
            <w:pPr>
              <w:pStyle w:val="Table-Note"/>
              <w:spacing w:line="240" w:lineRule="auto"/>
              <w:ind w:left="0"/>
              <w:rPr>
                <w:rFonts w:eastAsia="Arial Unicode MS" w:cs="Arial"/>
                <w:i w:val="0"/>
                <w:sz w:val="22"/>
                <w:szCs w:val="22"/>
              </w:rPr>
            </w:pPr>
            <w:r w:rsidRPr="005B5418">
              <w:rPr>
                <w:rFonts w:eastAsia="Arial Unicode MS" w:cs="Arial"/>
                <w:i w:val="0"/>
                <w:sz w:val="22"/>
                <w:szCs w:val="22"/>
              </w:rPr>
              <w:t>The lessee/lessor should remeasure the lease liability/receivable at subsequent financial reporting dates if certain changes have occurred at or before that financial reporting date, based on the most recent lease contract or agreement before the changes, and if the changes individually or in the aggregate, are expected to significantly affect the amount of the lease liability/lease receivable since the previous measurement. (SFFAS 54, para. 44 &amp; 61)</w:t>
            </w:r>
          </w:p>
          <w:p w14:paraId="02816940" w14:textId="66FDBE40" w:rsidR="00A03982" w:rsidRPr="005B5418" w:rsidRDefault="00A03982" w:rsidP="00A03982">
            <w:pPr>
              <w:pStyle w:val="Table-Note"/>
              <w:spacing w:line="240" w:lineRule="auto"/>
              <w:ind w:left="0"/>
              <w:rPr>
                <w:rFonts w:eastAsia="Arial Unicode MS" w:cs="Arial"/>
                <w:i w:val="0"/>
                <w:sz w:val="22"/>
                <w:szCs w:val="22"/>
              </w:rPr>
            </w:pPr>
            <w:r w:rsidRPr="005B5418">
              <w:rPr>
                <w:rFonts w:eastAsia="Arial Unicode MS" w:cs="Arial"/>
                <w:i w:val="0"/>
                <w:sz w:val="22"/>
                <w:szCs w:val="22"/>
              </w:rPr>
              <w:t xml:space="preserve">Leased assets (i.e., right-to-use lease assets) are subject to SFFAS 44, Accounting for Impairment of General Property, Plant, and Equipment Remaining in Use. The presence of impairment indicators (described in </w:t>
            </w:r>
            <w:r w:rsidR="004B6E4A" w:rsidRPr="005B5418">
              <w:rPr>
                <w:rFonts w:eastAsia="Arial Unicode MS" w:cs="Arial"/>
                <w:i w:val="0"/>
                <w:sz w:val="22"/>
                <w:szCs w:val="22"/>
              </w:rPr>
              <w:t>para.</w:t>
            </w:r>
            <w:r w:rsidRPr="005B5418">
              <w:rPr>
                <w:rFonts w:eastAsia="Arial Unicode MS" w:cs="Arial"/>
                <w:i w:val="0"/>
                <w:sz w:val="22"/>
                <w:szCs w:val="22"/>
              </w:rPr>
              <w:t xml:space="preserve"> 8-15 of SFFAS 44) with respect to the underlying asset may result in a change in the manner or duration of use of the lessee's rights to obtain and control access to economic benefits and services derived from the underlying asset and the application of SFFAS 44. The change in the manner or duration of use of the underlying asset is an indicator that the right-to-use lease asset may be impaired. (SFFAS 54, para. 53)</w:t>
            </w:r>
          </w:p>
          <w:p w14:paraId="710FEF5A" w14:textId="34FF105B" w:rsidR="00A03982" w:rsidRPr="005B5418" w:rsidRDefault="00A03982" w:rsidP="00980A39">
            <w:pPr>
              <w:pStyle w:val="BodyTextIndent"/>
              <w:spacing w:before="60" w:after="60"/>
              <w:ind w:left="0"/>
              <w:rPr>
                <w:rFonts w:cs="Arial"/>
                <w:lang w:val="pt-BR"/>
              </w:rPr>
            </w:pPr>
            <w:r w:rsidRPr="005B5418">
              <w:rPr>
                <w:rFonts w:eastAsia="Arial Unicode MS" w:cs="Arial"/>
                <w:szCs w:val="22"/>
              </w:rPr>
              <w:t xml:space="preserve">Also see guidance in </w:t>
            </w:r>
            <w:r w:rsidR="00C140EF" w:rsidRPr="005B5418">
              <w:rPr>
                <w:rFonts w:eastAsia="Arial Unicode MS" w:cs="Arial"/>
                <w:szCs w:val="22"/>
              </w:rPr>
              <w:t>TR 20</w:t>
            </w:r>
            <w:r w:rsidRPr="005B5418">
              <w:rPr>
                <w:rFonts w:eastAsia="Arial Unicode MS" w:cs="Arial"/>
                <w:szCs w:val="22"/>
              </w:rPr>
              <w:t>, paragraphs 44-75.</w:t>
            </w:r>
          </w:p>
        </w:tc>
      </w:tr>
      <w:tr w:rsidR="00A03982" w:rsidRPr="005B5418" w14:paraId="781CBCCE" w14:textId="77777777" w:rsidTr="00A03982">
        <w:trPr>
          <w:trHeight w:val="89"/>
        </w:trPr>
        <w:tc>
          <w:tcPr>
            <w:tcW w:w="9715" w:type="dxa"/>
            <w:gridSpan w:val="3"/>
          </w:tcPr>
          <w:p w14:paraId="13106C70" w14:textId="42F0E95A" w:rsidR="00A03982" w:rsidRPr="005B5418" w:rsidRDefault="00A03982" w:rsidP="00A03982">
            <w:pPr>
              <w:pStyle w:val="BodyTextIndent"/>
              <w:spacing w:before="60" w:after="60"/>
              <w:jc w:val="center"/>
              <w:rPr>
                <w:rFonts w:cs="Arial"/>
                <w:lang w:val="pt-BR"/>
              </w:rPr>
            </w:pPr>
            <w:r w:rsidRPr="005B5418">
              <w:rPr>
                <w:rFonts w:cs="Arial"/>
                <w:b/>
                <w:lang w:val="pt-BR"/>
              </w:rPr>
              <w:lastRenderedPageBreak/>
              <w:t>Non-Federal Leases - General</w:t>
            </w:r>
          </w:p>
        </w:tc>
      </w:tr>
      <w:tr w:rsidR="00A03982" w:rsidRPr="005B5418" w14:paraId="2C3E2463" w14:textId="77777777" w:rsidTr="00935832">
        <w:trPr>
          <w:trHeight w:val="548"/>
        </w:trPr>
        <w:tc>
          <w:tcPr>
            <w:tcW w:w="5395" w:type="dxa"/>
          </w:tcPr>
          <w:p w14:paraId="2FF8C0C7" w14:textId="7D985B92" w:rsidR="00A03982" w:rsidRPr="005B5418" w:rsidRDefault="00A03982" w:rsidP="005425ED">
            <w:pPr>
              <w:pStyle w:val="FAM-Table-outline"/>
              <w:widowControl/>
              <w:numPr>
                <w:ilvl w:val="0"/>
                <w:numId w:val="126"/>
              </w:numPr>
              <w:adjustRightInd/>
              <w:spacing w:line="240" w:lineRule="auto"/>
              <w:textAlignment w:val="auto"/>
              <w:rPr>
                <w:rFonts w:cs="Arial"/>
                <w:b/>
                <w:i/>
                <w:iCs/>
                <w:lang w:val="pt-BR"/>
              </w:rPr>
            </w:pPr>
            <w:r w:rsidRPr="005B5418">
              <w:t xml:space="preserve">Are non-federal leases applicable to the entity’s financial statements? (Answer Y if applicable, N/A if not applicable, or N/S if not significant. If N/A or N/S, skip to the </w:t>
            </w:r>
            <w:r w:rsidR="00D4011D" w:rsidRPr="005B5418">
              <w:t xml:space="preserve">Reimbursable Work Agreements </w:t>
            </w:r>
            <w:r w:rsidRPr="005B5418">
              <w:t>subtopic)</w:t>
            </w:r>
          </w:p>
        </w:tc>
        <w:tc>
          <w:tcPr>
            <w:tcW w:w="990" w:type="dxa"/>
          </w:tcPr>
          <w:p w14:paraId="75086922" w14:textId="77777777" w:rsidR="00A03982" w:rsidRPr="005B5418" w:rsidRDefault="00A03982" w:rsidP="00A03982">
            <w:pPr>
              <w:pStyle w:val="BodyTextIndent"/>
              <w:spacing w:before="60" w:after="60"/>
              <w:rPr>
                <w:rFonts w:cs="Arial"/>
                <w:b/>
                <w:i/>
                <w:iCs/>
                <w:lang w:val="pt-BR"/>
              </w:rPr>
            </w:pPr>
          </w:p>
        </w:tc>
        <w:tc>
          <w:tcPr>
            <w:tcW w:w="3330" w:type="dxa"/>
          </w:tcPr>
          <w:p w14:paraId="11E57ECC" w14:textId="6F5F2419" w:rsidR="00A03982" w:rsidRPr="005B5418" w:rsidRDefault="00A03982" w:rsidP="00A03982">
            <w:pPr>
              <w:pStyle w:val="BodyTextIndent"/>
              <w:spacing w:before="60" w:after="60"/>
              <w:rPr>
                <w:rFonts w:cs="Arial"/>
                <w:b/>
                <w:i/>
                <w:iCs/>
                <w:lang w:val="pt-BR"/>
              </w:rPr>
            </w:pPr>
          </w:p>
        </w:tc>
      </w:tr>
      <w:tr w:rsidR="00A03982" w:rsidRPr="005B5418" w14:paraId="0FDCE0F6" w14:textId="77777777" w:rsidTr="00935832">
        <w:trPr>
          <w:trHeight w:val="548"/>
        </w:trPr>
        <w:tc>
          <w:tcPr>
            <w:tcW w:w="9715" w:type="dxa"/>
            <w:gridSpan w:val="3"/>
          </w:tcPr>
          <w:p w14:paraId="1EC53DB4" w14:textId="77777777" w:rsidR="00A03982" w:rsidRPr="005B5418" w:rsidRDefault="00A03982" w:rsidP="00A03982">
            <w:pPr>
              <w:pStyle w:val="BodyTextIndent"/>
              <w:spacing w:before="60" w:after="60"/>
              <w:rPr>
                <w:rFonts w:cs="Arial"/>
                <w:i/>
                <w:iCs/>
                <w:lang w:val="pt-BR"/>
              </w:rPr>
            </w:pPr>
            <w:r w:rsidRPr="005B5418">
              <w:rPr>
                <w:rFonts w:cs="Arial"/>
                <w:b/>
                <w:i/>
                <w:iCs/>
                <w:lang w:val="pt-BR"/>
              </w:rPr>
              <w:t>Lease Terminations and Modifications</w:t>
            </w:r>
          </w:p>
        </w:tc>
      </w:tr>
      <w:tr w:rsidR="00A03982" w:rsidRPr="005B5418" w14:paraId="54B831CD" w14:textId="77777777" w:rsidTr="00935832">
        <w:trPr>
          <w:trHeight w:val="2429"/>
        </w:trPr>
        <w:tc>
          <w:tcPr>
            <w:tcW w:w="9715" w:type="dxa"/>
            <w:gridSpan w:val="3"/>
          </w:tcPr>
          <w:p w14:paraId="47D11C10" w14:textId="203AC811" w:rsidR="00A03982" w:rsidRPr="005B5418" w:rsidRDefault="00A03982" w:rsidP="00A03982">
            <w:pPr>
              <w:pStyle w:val="BodyTextIndent"/>
              <w:spacing w:before="60" w:after="60"/>
              <w:rPr>
                <w:rFonts w:eastAsia="Arial Unicode MS" w:cs="Arial"/>
                <w:color w:val="000000"/>
                <w:szCs w:val="22"/>
              </w:rPr>
            </w:pPr>
            <w:r w:rsidRPr="005B5418">
              <w:rPr>
                <w:rFonts w:eastAsia="Arial Unicode MS" w:cs="Arial"/>
                <w:szCs w:val="22"/>
              </w:rPr>
              <w:t>The provisions of a lease contract or agreement may be amended while the contract or agreement is in effect. Examples of amendments to lease contracts or agreements include changing the contract or agreement price, lengthening or shortening the lease term, and adding or removing an underlying asset. An amendment should be considered a lease</w:t>
            </w:r>
            <w:r w:rsidR="00BE4095" w:rsidRPr="005B5418">
              <w:rPr>
                <w:rFonts w:eastAsia="Arial Unicode MS" w:cs="Arial"/>
                <w:szCs w:val="22"/>
              </w:rPr>
              <w:t xml:space="preserve"> </w:t>
            </w:r>
            <w:r w:rsidRPr="005B5418">
              <w:rPr>
                <w:rFonts w:eastAsia="Arial Unicode MS" w:cs="Arial"/>
                <w:szCs w:val="22"/>
              </w:rPr>
              <w:t xml:space="preserve">modification unless the lessee’s right to use the underlying asset decreases, in which case the amendment should be considered a partial or full lease termination. By contrast, exercising an existing option, such as an option to extend or terminate the lease as discussed in SFFAS 54, paragraphs 15–19, is subject to the guidance for remeasurement. (see Lease Terms subsection above.) (SFFAS 54, para. 80; also see </w:t>
            </w:r>
            <w:r w:rsidR="00C140EF" w:rsidRPr="005B5418">
              <w:rPr>
                <w:rFonts w:eastAsia="Arial Unicode MS" w:cs="Arial"/>
                <w:szCs w:val="22"/>
              </w:rPr>
              <w:t>TR 20</w:t>
            </w:r>
            <w:r w:rsidRPr="005B5418">
              <w:rPr>
                <w:rFonts w:eastAsia="Arial Unicode MS" w:cs="Arial"/>
                <w:szCs w:val="22"/>
              </w:rPr>
              <w:t>, paras. 84–89)</w:t>
            </w:r>
          </w:p>
          <w:p w14:paraId="4C0AC86F" w14:textId="77777777" w:rsidR="00A03982" w:rsidRPr="005B5418" w:rsidRDefault="00A03982" w:rsidP="00A03982">
            <w:pPr>
              <w:pStyle w:val="BodyTextIndent"/>
              <w:spacing w:before="60" w:after="60"/>
              <w:rPr>
                <w:rFonts w:eastAsia="Arial Unicode MS" w:cs="Arial"/>
                <w:color w:val="000000"/>
                <w:szCs w:val="22"/>
              </w:rPr>
            </w:pPr>
          </w:p>
        </w:tc>
      </w:tr>
      <w:tr w:rsidR="00A03982" w:rsidRPr="005B5418" w14:paraId="3E8315AE" w14:textId="77777777" w:rsidTr="00935832">
        <w:trPr>
          <w:trHeight w:val="1439"/>
        </w:trPr>
        <w:tc>
          <w:tcPr>
            <w:tcW w:w="5395" w:type="dxa"/>
          </w:tcPr>
          <w:p w14:paraId="395B5965" w14:textId="77777777"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account for the partial or full lease termination by reducing the carrying values of the lease asset and lease liability and recognizing a gain or loss for the difference?</w:t>
            </w:r>
          </w:p>
          <w:p w14:paraId="00813BF5" w14:textId="097F2FAB" w:rsidR="00A03982" w:rsidRPr="005B5418" w:rsidRDefault="00A03982" w:rsidP="005425ED">
            <w:pPr>
              <w:pStyle w:val="FAM-Table-outline"/>
              <w:widowControl/>
              <w:numPr>
                <w:ilvl w:val="0"/>
                <w:numId w:val="0"/>
              </w:numPr>
              <w:adjustRightInd/>
              <w:spacing w:line="240" w:lineRule="auto"/>
              <w:ind w:left="666"/>
              <w:textAlignment w:val="auto"/>
            </w:pPr>
            <w:r w:rsidRPr="005B5418">
              <w:t xml:space="preserve">(SFFAS 54, para. 82; also see </w:t>
            </w:r>
            <w:r w:rsidR="00C140EF" w:rsidRPr="005B5418">
              <w:t>TR 20</w:t>
            </w:r>
            <w:r w:rsidRPr="005B5418">
              <w:t>, para. 86)</w:t>
            </w:r>
          </w:p>
        </w:tc>
        <w:tc>
          <w:tcPr>
            <w:tcW w:w="990" w:type="dxa"/>
          </w:tcPr>
          <w:p w14:paraId="78E5C552" w14:textId="77777777" w:rsidR="00A03982" w:rsidRPr="005B5418" w:rsidRDefault="00A03982" w:rsidP="00A03982">
            <w:pPr>
              <w:pStyle w:val="Table-Cell-CenterBoldBefore6ptAfter6pt"/>
              <w:spacing w:before="60" w:after="60"/>
              <w:rPr>
                <w:rFonts w:cs="Arial"/>
                <w:lang w:val="pt-BR"/>
              </w:rPr>
            </w:pPr>
          </w:p>
        </w:tc>
        <w:tc>
          <w:tcPr>
            <w:tcW w:w="3330" w:type="dxa"/>
          </w:tcPr>
          <w:p w14:paraId="21CFD826" w14:textId="77777777" w:rsidR="00A03982" w:rsidRPr="005B5418" w:rsidRDefault="00A03982" w:rsidP="00A03982">
            <w:pPr>
              <w:pStyle w:val="BodyTextIndent"/>
              <w:spacing w:before="60" w:after="60"/>
              <w:rPr>
                <w:rFonts w:cs="Arial"/>
                <w:lang w:val="pt-BR"/>
              </w:rPr>
            </w:pPr>
          </w:p>
        </w:tc>
      </w:tr>
      <w:tr w:rsidR="00A03982" w:rsidRPr="005B5418" w14:paraId="46F31B4B" w14:textId="77777777" w:rsidTr="00935832">
        <w:trPr>
          <w:trHeight w:val="1592"/>
        </w:trPr>
        <w:tc>
          <w:tcPr>
            <w:tcW w:w="5395" w:type="dxa"/>
          </w:tcPr>
          <w:p w14:paraId="5380D869" w14:textId="77777777" w:rsidR="00A03982" w:rsidRPr="005B5418" w:rsidRDefault="00A03982" w:rsidP="005425ED">
            <w:pPr>
              <w:pStyle w:val="FAM-Table-outline"/>
              <w:widowControl/>
              <w:numPr>
                <w:ilvl w:val="0"/>
                <w:numId w:val="126"/>
              </w:numPr>
              <w:adjustRightInd/>
              <w:spacing w:line="240" w:lineRule="auto"/>
              <w:textAlignment w:val="auto"/>
            </w:pPr>
            <w:r w:rsidRPr="005B5418">
              <w:t xml:space="preserve">If the lease is terminated as a result of the </w:t>
            </w:r>
            <w:r w:rsidRPr="005B5418">
              <w:rPr>
                <w:b/>
                <w:bCs/>
              </w:rPr>
              <w:t>lessee</w:t>
            </w:r>
            <w:r w:rsidRPr="005B5418">
              <w:t xml:space="preserve"> purchasing the underlying asset from the lessor, is the right-to-use lease asset reclassified to the appropriate class of owned asset? (SFFAS 54, para. 82)</w:t>
            </w:r>
          </w:p>
        </w:tc>
        <w:tc>
          <w:tcPr>
            <w:tcW w:w="990" w:type="dxa"/>
          </w:tcPr>
          <w:p w14:paraId="10FB27E9" w14:textId="77777777" w:rsidR="00A03982" w:rsidRPr="005B5418" w:rsidRDefault="00A03982" w:rsidP="00A03982">
            <w:pPr>
              <w:pStyle w:val="Table-Cell-CenterBoldBefore6ptAfter6pt"/>
              <w:spacing w:before="60" w:after="60"/>
              <w:rPr>
                <w:rFonts w:cs="Arial"/>
                <w:lang w:val="pt-BR"/>
              </w:rPr>
            </w:pPr>
          </w:p>
        </w:tc>
        <w:tc>
          <w:tcPr>
            <w:tcW w:w="3330" w:type="dxa"/>
          </w:tcPr>
          <w:p w14:paraId="0E36E17A" w14:textId="77777777" w:rsidR="00A03982" w:rsidRPr="005B5418" w:rsidRDefault="00A03982" w:rsidP="00A03982">
            <w:pPr>
              <w:pStyle w:val="BodyTextIndent"/>
              <w:spacing w:before="60" w:after="60"/>
              <w:rPr>
                <w:rFonts w:cs="Arial"/>
                <w:lang w:val="pt-BR"/>
              </w:rPr>
            </w:pPr>
          </w:p>
        </w:tc>
      </w:tr>
      <w:tr w:rsidR="00A03982" w:rsidRPr="005B5418" w14:paraId="708AC7BB" w14:textId="77777777" w:rsidTr="00935832">
        <w:trPr>
          <w:trHeight w:val="1844"/>
        </w:trPr>
        <w:tc>
          <w:tcPr>
            <w:tcW w:w="5395" w:type="dxa"/>
          </w:tcPr>
          <w:p w14:paraId="19D9C7AF" w14:textId="77777777"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425ED">
              <w:t xml:space="preserve"> </w:t>
            </w:r>
            <w:r w:rsidRPr="005B5418">
              <w:t>account for the full or partial lease termination by reducing the carrying values of the lease receivable and related unearned revenue and recognizing a gain or loss for the difference?</w:t>
            </w:r>
          </w:p>
          <w:p w14:paraId="52CE331B" w14:textId="2D777A5B" w:rsidR="00A03982" w:rsidRPr="005B5418" w:rsidRDefault="00A03982" w:rsidP="005425ED">
            <w:pPr>
              <w:pStyle w:val="FAM-Table-outline"/>
              <w:widowControl/>
              <w:numPr>
                <w:ilvl w:val="0"/>
                <w:numId w:val="0"/>
              </w:numPr>
              <w:adjustRightInd/>
              <w:spacing w:line="240" w:lineRule="auto"/>
              <w:ind w:left="666"/>
              <w:textAlignment w:val="auto"/>
            </w:pPr>
            <w:r w:rsidRPr="005B5418">
              <w:t xml:space="preserve">(SFFAS 54, para. 83; also see </w:t>
            </w:r>
            <w:r w:rsidR="00C140EF" w:rsidRPr="005B5418">
              <w:t>TR 20</w:t>
            </w:r>
            <w:r w:rsidRPr="005B5418">
              <w:t>, para. 87)</w:t>
            </w:r>
          </w:p>
        </w:tc>
        <w:tc>
          <w:tcPr>
            <w:tcW w:w="990" w:type="dxa"/>
          </w:tcPr>
          <w:p w14:paraId="4B8B64EE" w14:textId="77777777" w:rsidR="00A03982" w:rsidRPr="005B5418" w:rsidRDefault="00A03982" w:rsidP="00A03982">
            <w:pPr>
              <w:pStyle w:val="Table-Cell-CenterBoldBefore6ptAfter6pt"/>
              <w:spacing w:before="60" w:after="60"/>
              <w:rPr>
                <w:rFonts w:cs="Arial"/>
                <w:lang w:val="pt-BR"/>
              </w:rPr>
            </w:pPr>
          </w:p>
        </w:tc>
        <w:tc>
          <w:tcPr>
            <w:tcW w:w="3330" w:type="dxa"/>
          </w:tcPr>
          <w:p w14:paraId="3DABDB4C" w14:textId="77777777" w:rsidR="00A03982" w:rsidRPr="005B5418" w:rsidRDefault="00A03982" w:rsidP="00A03982">
            <w:pPr>
              <w:pStyle w:val="BodyTextIndent"/>
              <w:spacing w:before="60" w:after="60"/>
              <w:rPr>
                <w:rFonts w:cs="Arial"/>
                <w:lang w:val="pt-BR"/>
              </w:rPr>
            </w:pPr>
          </w:p>
        </w:tc>
      </w:tr>
      <w:tr w:rsidR="00A03982" w:rsidRPr="005B5418" w14:paraId="48510B41" w14:textId="77777777" w:rsidTr="00935832">
        <w:trPr>
          <w:trHeight w:val="1844"/>
        </w:trPr>
        <w:tc>
          <w:tcPr>
            <w:tcW w:w="5395" w:type="dxa"/>
          </w:tcPr>
          <w:p w14:paraId="3DE5C5F5" w14:textId="77777777" w:rsidR="00A03982" w:rsidRPr="005B5418" w:rsidRDefault="00A03982" w:rsidP="005425ED">
            <w:pPr>
              <w:pStyle w:val="FAM-Table-outline"/>
              <w:widowControl/>
              <w:numPr>
                <w:ilvl w:val="0"/>
                <w:numId w:val="126"/>
              </w:numPr>
              <w:adjustRightInd/>
              <w:spacing w:line="240" w:lineRule="auto"/>
              <w:textAlignment w:val="auto"/>
            </w:pPr>
            <w:r w:rsidRPr="005B5418">
              <w:lastRenderedPageBreak/>
              <w:t xml:space="preserve">If the lease is terminated as a result of the lessee purchasing the underlying asset from the lessor, is the </w:t>
            </w:r>
            <w:r w:rsidRPr="005B5418">
              <w:rPr>
                <w:b/>
                <w:bCs/>
              </w:rPr>
              <w:t>lessor’s</w:t>
            </w:r>
            <w:r w:rsidRPr="005B5418">
              <w:t xml:space="preserve"> carrying value of the underlying asset derecognized and included in the calculation of any resulting gain or loss? (SFFAS 54, para. 83)</w:t>
            </w:r>
          </w:p>
        </w:tc>
        <w:tc>
          <w:tcPr>
            <w:tcW w:w="990" w:type="dxa"/>
          </w:tcPr>
          <w:p w14:paraId="32E82537" w14:textId="77777777" w:rsidR="00A03982" w:rsidRPr="005B5418" w:rsidRDefault="00A03982" w:rsidP="00A03982">
            <w:pPr>
              <w:pStyle w:val="Table-Cell-CenterBoldBefore6ptAfter6pt"/>
              <w:spacing w:before="60" w:after="60"/>
              <w:rPr>
                <w:rFonts w:cs="Arial"/>
                <w:lang w:val="pt-BR"/>
              </w:rPr>
            </w:pPr>
          </w:p>
        </w:tc>
        <w:tc>
          <w:tcPr>
            <w:tcW w:w="3330" w:type="dxa"/>
          </w:tcPr>
          <w:p w14:paraId="0EE88753" w14:textId="77777777" w:rsidR="00A03982" w:rsidRPr="005B5418" w:rsidRDefault="00A03982" w:rsidP="00A03982">
            <w:pPr>
              <w:pStyle w:val="BodyTextIndent"/>
              <w:spacing w:before="60" w:after="60"/>
              <w:rPr>
                <w:rFonts w:cs="Arial"/>
                <w:lang w:val="pt-BR"/>
              </w:rPr>
            </w:pPr>
          </w:p>
        </w:tc>
      </w:tr>
      <w:tr w:rsidR="00A03982" w:rsidRPr="005B5418" w14:paraId="35766AD9" w14:textId="77777777" w:rsidTr="00935832">
        <w:trPr>
          <w:trHeight w:val="1259"/>
        </w:trPr>
        <w:tc>
          <w:tcPr>
            <w:tcW w:w="5395" w:type="dxa"/>
          </w:tcPr>
          <w:p w14:paraId="4898BDF1" w14:textId="77777777"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lessee/lessor</w:t>
            </w:r>
            <w:r w:rsidRPr="005B5418">
              <w:t xml:space="preserve"> account for an amendment during the reporting period resulting in a modification to the lease contract or agreement as a separate lease (separate from the most recent lease contract or agreement before the modification) if both of the following conditions are present:</w:t>
            </w:r>
          </w:p>
          <w:p w14:paraId="26BBB3A6" w14:textId="58FDDE2F" w:rsidR="00A03982" w:rsidRPr="005B5418" w:rsidRDefault="00A03982" w:rsidP="005425ED">
            <w:pPr>
              <w:pStyle w:val="FAM-Table-outline2"/>
              <w:spacing w:line="240" w:lineRule="auto"/>
              <w:ind w:left="1140" w:hanging="443"/>
            </w:pPr>
            <w:r w:rsidRPr="005B5418">
              <w:t>the lease modification gives the lessee an additional lease asset by adding one or more underlying assets that were not included in the original lease contract or agreement and</w:t>
            </w:r>
          </w:p>
          <w:p w14:paraId="09E7ACC4" w14:textId="1E418B84" w:rsidR="00A03982" w:rsidRPr="005B5418" w:rsidRDefault="00A03982" w:rsidP="005425ED">
            <w:pPr>
              <w:pStyle w:val="FAM-Table-outline2"/>
              <w:spacing w:line="240" w:lineRule="auto"/>
              <w:ind w:left="1140" w:hanging="443"/>
            </w:pPr>
            <w:r w:rsidRPr="005B5418">
              <w:t>the increase in lease payments for the additional lease asset does not appear to be unreasonable based on (1) the terms of the amended lease contract or agreement and (2) professional judgment, maximizing the use of observable information (for example, using readily available observable stand-alone prices)? (SFFAS 54, para. 84)</w:t>
            </w:r>
          </w:p>
        </w:tc>
        <w:tc>
          <w:tcPr>
            <w:tcW w:w="990" w:type="dxa"/>
          </w:tcPr>
          <w:p w14:paraId="17DB9D4B" w14:textId="77777777" w:rsidR="00A03982" w:rsidRPr="005B5418" w:rsidRDefault="00A03982" w:rsidP="00A03982">
            <w:pPr>
              <w:pStyle w:val="Table-Cell-CenterBoldBefore6ptAfter6pt"/>
              <w:spacing w:before="60" w:after="60"/>
              <w:rPr>
                <w:rFonts w:cs="Arial"/>
                <w:lang w:val="pt-BR"/>
              </w:rPr>
            </w:pPr>
          </w:p>
        </w:tc>
        <w:tc>
          <w:tcPr>
            <w:tcW w:w="3330" w:type="dxa"/>
          </w:tcPr>
          <w:p w14:paraId="5F2E01AA" w14:textId="77777777" w:rsidR="00A03982" w:rsidRPr="005B5418" w:rsidRDefault="00A03982" w:rsidP="00A03982">
            <w:pPr>
              <w:pStyle w:val="BodyTextIndent"/>
              <w:spacing w:before="60" w:after="60"/>
              <w:rPr>
                <w:rFonts w:cs="Arial"/>
                <w:lang w:val="pt-BR"/>
              </w:rPr>
            </w:pPr>
          </w:p>
        </w:tc>
      </w:tr>
      <w:tr w:rsidR="00A03982" w:rsidRPr="005B5418" w14:paraId="4B7EBB94" w14:textId="77777777" w:rsidTr="00935832">
        <w:trPr>
          <w:trHeight w:val="2060"/>
        </w:trPr>
        <w:tc>
          <w:tcPr>
            <w:tcW w:w="5395" w:type="dxa"/>
          </w:tcPr>
          <w:p w14:paraId="197A0C8A" w14:textId="2E0A1D8F" w:rsidR="00A03982" w:rsidRPr="005B5418" w:rsidRDefault="00A03982" w:rsidP="005425ED">
            <w:pPr>
              <w:pStyle w:val="FAM-Table-outline"/>
              <w:widowControl/>
              <w:numPr>
                <w:ilvl w:val="0"/>
                <w:numId w:val="126"/>
              </w:numPr>
              <w:adjustRightInd/>
              <w:spacing w:line="240" w:lineRule="auto"/>
              <w:textAlignment w:val="auto"/>
            </w:pPr>
            <w:r w:rsidRPr="005B5418">
              <w:t xml:space="preserve">Unless a modification is reported as a separate lease as provided in SFFAS 54, para. 84, does the </w:t>
            </w:r>
            <w:r w:rsidRPr="005B5418">
              <w:rPr>
                <w:b/>
                <w:bCs/>
              </w:rPr>
              <w:t>lessee</w:t>
            </w:r>
            <w:r w:rsidRPr="005425ED">
              <w:t xml:space="preserve"> </w:t>
            </w:r>
            <w:r w:rsidRPr="005B5418">
              <w:t xml:space="preserve">account for a lease modification by remeasuring the lease liability? </w:t>
            </w:r>
          </w:p>
          <w:p w14:paraId="7A3FD9B5" w14:textId="77777777" w:rsidR="00A03982" w:rsidRPr="005B5418" w:rsidRDefault="00A03982" w:rsidP="005425ED">
            <w:pPr>
              <w:pStyle w:val="FAM-Table-outline2"/>
              <w:spacing w:line="240" w:lineRule="auto"/>
              <w:ind w:left="1140" w:hanging="443"/>
            </w:pPr>
            <w:r w:rsidRPr="005B5418">
              <w:t>If so, is the right-to-use lease asset adjusted by the difference between the remeasured liability and the liability immediately before the lease modification?</w:t>
            </w:r>
          </w:p>
          <w:p w14:paraId="7E8FE1D9" w14:textId="4360EF33" w:rsidR="00A03982" w:rsidRPr="005B5418" w:rsidRDefault="00A03982" w:rsidP="005425ED">
            <w:pPr>
              <w:pStyle w:val="FAM-Table-outline2"/>
              <w:spacing w:line="240" w:lineRule="auto"/>
              <w:ind w:left="1140" w:hanging="443"/>
            </w:pPr>
            <w:r w:rsidRPr="005B5418">
              <w:t xml:space="preserve">If this change reduces the carrying value of the right-to-use lease asset to zero, is any remaining amount recognized in the statement of net cost as a gain? (SFFAS 54, para. 85; also see </w:t>
            </w:r>
            <w:r w:rsidR="00C140EF" w:rsidRPr="005B5418">
              <w:t>TR 20</w:t>
            </w:r>
            <w:r w:rsidRPr="005B5418">
              <w:t>, para. 88)</w:t>
            </w:r>
          </w:p>
        </w:tc>
        <w:tc>
          <w:tcPr>
            <w:tcW w:w="990" w:type="dxa"/>
          </w:tcPr>
          <w:p w14:paraId="70D82DA7" w14:textId="77777777" w:rsidR="00A03982" w:rsidRPr="005B5418" w:rsidRDefault="00A03982" w:rsidP="00A03982">
            <w:pPr>
              <w:pStyle w:val="Table-Cell-CenterBoldBefore6ptAfter6pt"/>
              <w:spacing w:before="60" w:after="60"/>
              <w:rPr>
                <w:rFonts w:cs="Arial"/>
                <w:lang w:val="pt-BR"/>
              </w:rPr>
            </w:pPr>
          </w:p>
        </w:tc>
        <w:tc>
          <w:tcPr>
            <w:tcW w:w="3330" w:type="dxa"/>
          </w:tcPr>
          <w:p w14:paraId="305C4832" w14:textId="77777777" w:rsidR="00A03982" w:rsidRPr="005B5418" w:rsidRDefault="00A03982" w:rsidP="00A03982">
            <w:pPr>
              <w:pStyle w:val="BodyTextIndent"/>
              <w:spacing w:before="60" w:after="60"/>
              <w:rPr>
                <w:rFonts w:cs="Arial"/>
                <w:lang w:val="pt-BR"/>
              </w:rPr>
            </w:pPr>
          </w:p>
        </w:tc>
      </w:tr>
      <w:tr w:rsidR="00A03982" w:rsidRPr="005B5418" w14:paraId="5B731F47" w14:textId="77777777" w:rsidTr="00935832">
        <w:trPr>
          <w:trHeight w:val="989"/>
        </w:trPr>
        <w:tc>
          <w:tcPr>
            <w:tcW w:w="5395" w:type="dxa"/>
          </w:tcPr>
          <w:p w14:paraId="449CA063" w14:textId="0FDAB449" w:rsidR="00A03982" w:rsidRPr="005B5418" w:rsidRDefault="00A03982" w:rsidP="005425ED">
            <w:pPr>
              <w:pStyle w:val="FAM-Table-outline"/>
              <w:widowControl/>
              <w:numPr>
                <w:ilvl w:val="0"/>
                <w:numId w:val="126"/>
              </w:numPr>
              <w:adjustRightInd/>
              <w:spacing w:line="240" w:lineRule="auto"/>
              <w:textAlignment w:val="auto"/>
            </w:pPr>
            <w:r w:rsidRPr="005B5418">
              <w:lastRenderedPageBreak/>
              <w:t>Unless a modification is reported as a separate lease as provided in SFFAS 54, para. 84, does the</w:t>
            </w:r>
            <w:r w:rsidRPr="005425ED">
              <w:t xml:space="preserve"> </w:t>
            </w:r>
            <w:r w:rsidRPr="005B5418">
              <w:rPr>
                <w:b/>
                <w:bCs/>
              </w:rPr>
              <w:t>lessor</w:t>
            </w:r>
            <w:r w:rsidRPr="005425ED">
              <w:t xml:space="preserve"> </w:t>
            </w:r>
            <w:r w:rsidRPr="005B5418">
              <w:t xml:space="preserve">account for a lease modification by remeasuring the lease receivable? </w:t>
            </w:r>
          </w:p>
          <w:p w14:paraId="47C1BCC6" w14:textId="77777777" w:rsidR="00A03982" w:rsidRPr="005B5418" w:rsidRDefault="00A03982" w:rsidP="005425ED">
            <w:pPr>
              <w:pStyle w:val="FAM-Table-outline2"/>
              <w:spacing w:line="240" w:lineRule="auto"/>
              <w:ind w:left="1140" w:hanging="443"/>
            </w:pPr>
            <w:r w:rsidRPr="005B5418">
              <w:t xml:space="preserve">If so, is the unearned revenue adjusted by the difference between the remeasured receivable and the receivable immediately before the lease modification? </w:t>
            </w:r>
          </w:p>
          <w:p w14:paraId="6E73C45B" w14:textId="1917E596" w:rsidR="00A03982" w:rsidRPr="005B5418" w:rsidRDefault="00A03982" w:rsidP="005425ED">
            <w:pPr>
              <w:pStyle w:val="FAM-Table-outline2"/>
              <w:spacing w:line="240" w:lineRule="auto"/>
              <w:ind w:left="1140" w:hanging="443"/>
            </w:pPr>
            <w:r w:rsidRPr="005B5418">
              <w:t xml:space="preserve">Is this change recognized, to the extent the change relates to payments for the current period, as revenue or expense for the current period? (SFFAS 54, para. 86; also see </w:t>
            </w:r>
            <w:r w:rsidR="00C140EF" w:rsidRPr="005B5418">
              <w:t>TR 20</w:t>
            </w:r>
            <w:r w:rsidRPr="005B5418">
              <w:t>, para. 89)</w:t>
            </w:r>
          </w:p>
        </w:tc>
        <w:tc>
          <w:tcPr>
            <w:tcW w:w="990" w:type="dxa"/>
          </w:tcPr>
          <w:p w14:paraId="6A40BB63" w14:textId="77777777" w:rsidR="00A03982" w:rsidRPr="005B5418" w:rsidRDefault="00A03982" w:rsidP="00A03982">
            <w:pPr>
              <w:pStyle w:val="Table-Cell-CenterBoldBefore6ptAfter6pt"/>
              <w:spacing w:before="60" w:after="60"/>
              <w:rPr>
                <w:rFonts w:cs="Arial"/>
                <w:lang w:val="pt-BR"/>
              </w:rPr>
            </w:pPr>
          </w:p>
        </w:tc>
        <w:tc>
          <w:tcPr>
            <w:tcW w:w="3330" w:type="dxa"/>
          </w:tcPr>
          <w:p w14:paraId="5061A732" w14:textId="77777777" w:rsidR="00A03982" w:rsidRPr="005B5418" w:rsidRDefault="00A03982" w:rsidP="00A03982">
            <w:pPr>
              <w:pStyle w:val="BodyTextIndent"/>
              <w:spacing w:before="60" w:after="60"/>
              <w:rPr>
                <w:rFonts w:cs="Arial"/>
                <w:lang w:val="pt-BR"/>
              </w:rPr>
            </w:pPr>
          </w:p>
        </w:tc>
      </w:tr>
      <w:tr w:rsidR="00A03982" w:rsidRPr="005B5418" w14:paraId="40508B93" w14:textId="77777777" w:rsidTr="00935832">
        <w:trPr>
          <w:trHeight w:val="350"/>
        </w:trPr>
        <w:tc>
          <w:tcPr>
            <w:tcW w:w="9715" w:type="dxa"/>
            <w:gridSpan w:val="3"/>
          </w:tcPr>
          <w:p w14:paraId="46FBAE0A" w14:textId="555B3BBF" w:rsidR="00A03982" w:rsidRPr="005B5418" w:rsidRDefault="00A03982" w:rsidP="00A03982">
            <w:pPr>
              <w:pStyle w:val="BodyTextIndent"/>
              <w:spacing w:before="60" w:after="60"/>
              <w:rPr>
                <w:rFonts w:cs="Arial"/>
                <w:i/>
                <w:iCs/>
                <w:lang w:val="pt-BR"/>
              </w:rPr>
            </w:pPr>
            <w:r w:rsidRPr="005B5418">
              <w:rPr>
                <w:rFonts w:cs="Arial"/>
                <w:b/>
                <w:i/>
                <w:iCs/>
                <w:lang w:val="pt-BR"/>
              </w:rPr>
              <w:t>Contracts or Agreements with Multiple Components/Combinations</w:t>
            </w:r>
          </w:p>
        </w:tc>
      </w:tr>
      <w:tr w:rsidR="00A03982" w:rsidRPr="005B5418" w14:paraId="2AE7AFCA" w14:textId="77777777" w:rsidTr="00935832">
        <w:trPr>
          <w:trHeight w:val="350"/>
        </w:trPr>
        <w:tc>
          <w:tcPr>
            <w:tcW w:w="9715" w:type="dxa"/>
            <w:gridSpan w:val="3"/>
          </w:tcPr>
          <w:p w14:paraId="71E05CC5" w14:textId="280FEE86" w:rsidR="00A03982" w:rsidRPr="005B5418" w:rsidRDefault="00A03982" w:rsidP="00A03982">
            <w:pPr>
              <w:pStyle w:val="BodyTextIndent"/>
              <w:spacing w:before="60" w:after="60"/>
              <w:ind w:left="0"/>
              <w:rPr>
                <w:rFonts w:cs="Arial"/>
                <w:lang w:val="pt-BR"/>
              </w:rPr>
            </w:pPr>
            <w:r w:rsidRPr="005B5418">
              <w:rPr>
                <w:rFonts w:cs="Arial"/>
                <w:lang w:val="pt-BR"/>
              </w:rPr>
              <w:t>Lessors and lessees may enter into contracts or agreements that contain multiple components, such as a contract or agreement that contains both a lease component, such as the right to use a building, and a nonlease component, such as maintenance services for the building, or a lease that contains multiple underlying assets. (SFFAS 54, paras. 72–73)</w:t>
            </w:r>
          </w:p>
          <w:p w14:paraId="4753F032" w14:textId="40C265C4" w:rsidR="00A03982" w:rsidRPr="005B5418" w:rsidRDefault="00A03982" w:rsidP="00A03982">
            <w:pPr>
              <w:pStyle w:val="BodyTextIndent"/>
              <w:spacing w:before="60" w:after="60"/>
              <w:ind w:left="0"/>
              <w:rPr>
                <w:rFonts w:cs="Arial"/>
                <w:lang w:val="pt-BR"/>
              </w:rPr>
            </w:pPr>
            <w:r w:rsidRPr="005B5418">
              <w:rPr>
                <w:rFonts w:cs="Arial"/>
                <w:lang w:val="pt-BR"/>
              </w:rPr>
              <w:t>Unless the contract or agreement meets the exception in SFFAS 54, paragraph 76, or the entity is electing to apply the SFFAS 54 paragraph</w:t>
            </w:r>
            <w:r w:rsidR="009E1532" w:rsidRPr="005B5418">
              <w:rPr>
                <w:rFonts w:cs="Arial"/>
                <w:lang w:val="pt-BR"/>
              </w:rPr>
              <w:t>s</w:t>
            </w:r>
            <w:r w:rsidRPr="005B5418">
              <w:rPr>
                <w:rFonts w:cs="Arial"/>
                <w:lang w:val="pt-BR"/>
              </w:rPr>
              <w:t xml:space="preserve"> 9</w:t>
            </w:r>
            <w:r w:rsidR="00AF0BC2" w:rsidRPr="005B5418">
              <w:rPr>
                <w:rFonts w:cs="Arial"/>
                <w:lang w:val="pt-BR"/>
              </w:rPr>
              <w:t>6</w:t>
            </w:r>
            <w:r w:rsidRPr="005B5418">
              <w:rPr>
                <w:rFonts w:cs="Arial"/>
                <w:lang w:val="pt-BR"/>
              </w:rPr>
              <w:t>A-D transitional accomodation to treat certain contracts or agreements as nonleases in their entirety (described below), the federal entity should account for the lease and nonlease components as separate contracts or agreements. (SFFAS 54, para. 73)</w:t>
            </w:r>
          </w:p>
          <w:p w14:paraId="5FB28E97" w14:textId="7CC6E70B" w:rsidR="00A03982" w:rsidRPr="005B5418" w:rsidRDefault="00A03982" w:rsidP="00A03982">
            <w:pPr>
              <w:pStyle w:val="BodyTextIndent"/>
              <w:spacing w:before="60" w:after="60"/>
              <w:ind w:left="0"/>
              <w:rPr>
                <w:rFonts w:cs="Arial"/>
                <w:lang w:val="pt-BR"/>
              </w:rPr>
            </w:pPr>
            <w:r w:rsidRPr="005B5418">
              <w:rPr>
                <w:rFonts w:cs="Arial"/>
                <w:lang w:val="pt-BR"/>
              </w:rPr>
              <w:t xml:space="preserve">Also see </w:t>
            </w:r>
            <w:r w:rsidR="00C140EF" w:rsidRPr="005B5418">
              <w:rPr>
                <w:rFonts w:cs="Arial"/>
                <w:lang w:val="pt-BR"/>
              </w:rPr>
              <w:t>TR 20</w:t>
            </w:r>
            <w:r w:rsidRPr="005B5418">
              <w:rPr>
                <w:rFonts w:cs="Arial"/>
                <w:lang w:val="pt-BR"/>
              </w:rPr>
              <w:t>, paragraphs 76–81.</w:t>
            </w:r>
          </w:p>
          <w:p w14:paraId="661FA268" w14:textId="4300E309" w:rsidR="00A03982" w:rsidRPr="005B5418" w:rsidRDefault="00A03982" w:rsidP="00A03982">
            <w:pPr>
              <w:autoSpaceDE w:val="0"/>
              <w:autoSpaceDN w:val="0"/>
              <w:adjustRightInd w:val="0"/>
              <w:rPr>
                <w:rFonts w:ascii="Arial" w:hAnsi="Arial" w:cs="Arial"/>
              </w:rPr>
            </w:pPr>
            <w:r w:rsidRPr="005B5418">
              <w:rPr>
                <w:rFonts w:ascii="Arial" w:hAnsi="Arial" w:cs="Arial"/>
              </w:rPr>
              <w:t>For contracts or agreements that are primarily attributable to the nonlease component(s), a reporting entity may elect to account for such contracts or agreements, including the lease component(s), as nonlease contracts or agreements in their entirety.</w:t>
            </w:r>
            <w:r w:rsidR="00813741" w:rsidRPr="005B5418">
              <w:rPr>
                <w:rStyle w:val="FootnoteReference"/>
                <w:rFonts w:ascii="Arial" w:hAnsi="Arial" w:cs="Arial"/>
              </w:rPr>
              <w:footnoteReference w:id="211"/>
            </w:r>
            <w:r w:rsidRPr="005B5418">
              <w:rPr>
                <w:rFonts w:ascii="Arial" w:hAnsi="Arial" w:cs="Arial"/>
              </w:rPr>
              <w:t xml:space="preserve"> This election applies to contracts or agreements existing as of October 1, 2023, and/or; those subsequently entered into or modified on or prior to September 30, 2026 (end of the accommodation period).</w:t>
            </w:r>
            <w:r w:rsidRPr="005B5418">
              <w:rPr>
                <w:rStyle w:val="FootnoteReference"/>
                <w:rFonts w:ascii="Arial" w:hAnsi="Arial" w:cs="Arial"/>
              </w:rPr>
              <w:footnoteReference w:id="212"/>
            </w:r>
            <w:r w:rsidRPr="005B5418">
              <w:rPr>
                <w:rFonts w:ascii="Arial" w:hAnsi="Arial" w:cs="Arial"/>
                <w:sz w:val="14"/>
                <w:szCs w:val="14"/>
              </w:rPr>
              <w:t xml:space="preserve"> </w:t>
            </w:r>
            <w:r w:rsidRPr="005B5418">
              <w:rPr>
                <w:rFonts w:ascii="Arial" w:hAnsi="Arial" w:cs="Arial"/>
              </w:rPr>
              <w:t>The entity may elect a shorter accommodation period (contracts or agreements subsequently entered into or modified on or prior to September 30, 2025, or September 30, 2024, or those existing as of October 1, 2023). (SFFAS 54, paras. 96A.b and 96B)</w:t>
            </w:r>
          </w:p>
          <w:p w14:paraId="5DAEB084" w14:textId="2931DB92" w:rsidR="00A03982" w:rsidRPr="005B5418" w:rsidRDefault="00A03982" w:rsidP="00A03982">
            <w:pPr>
              <w:autoSpaceDE w:val="0"/>
              <w:autoSpaceDN w:val="0"/>
              <w:adjustRightInd w:val="0"/>
              <w:rPr>
                <w:rFonts w:ascii="Arial" w:hAnsi="Arial" w:cs="Arial"/>
              </w:rPr>
            </w:pPr>
            <w:r w:rsidRPr="005B5418">
              <w:rPr>
                <w:rFonts w:ascii="Arial" w:hAnsi="Arial" w:cs="Arial"/>
              </w:rPr>
              <w:lastRenderedPageBreak/>
              <w:t>A reporting entity may apply the transitional accommodation provisions of SFFAS 54, paragraph</w:t>
            </w:r>
            <w:r w:rsidR="009E1532" w:rsidRPr="005B5418">
              <w:rPr>
                <w:rFonts w:ascii="Arial" w:hAnsi="Arial" w:cs="Arial"/>
              </w:rPr>
              <w:t>s</w:t>
            </w:r>
            <w:r w:rsidRPr="005B5418">
              <w:rPr>
                <w:rFonts w:ascii="Arial" w:hAnsi="Arial" w:cs="Arial"/>
              </w:rPr>
              <w:t xml:space="preserve"> 96A-C to groups of contracts or agreements that are reasonably similar in nature. A reporting entity may select different accommodation periods under SFFAS 54, paragraph 96B, for different groupings of contracts or agreements. (SFFAS 54, para. 96D)</w:t>
            </w:r>
          </w:p>
          <w:p w14:paraId="351F0993" w14:textId="0179B81D" w:rsidR="00A03982" w:rsidRPr="005B5418" w:rsidRDefault="00A03982" w:rsidP="00A03982">
            <w:pPr>
              <w:autoSpaceDE w:val="0"/>
              <w:autoSpaceDN w:val="0"/>
              <w:adjustRightInd w:val="0"/>
              <w:rPr>
                <w:rFonts w:ascii="Arial" w:hAnsi="Arial" w:cs="Arial"/>
              </w:rPr>
            </w:pPr>
            <w:bookmarkStart w:id="193" w:name="_Hlk164870440"/>
            <w:r w:rsidRPr="005B5418">
              <w:rPr>
                <w:rFonts w:ascii="Arial" w:hAnsi="Arial" w:cs="Arial"/>
              </w:rPr>
              <w:t xml:space="preserve">Contracts or agreements considered to be part of the same lease contract or agreement should be evaluated in accordance with the guidance for contracts or agreements with multiple components </w:t>
            </w:r>
            <w:bookmarkEnd w:id="193"/>
            <w:r w:rsidRPr="005B5418">
              <w:rPr>
                <w:rFonts w:ascii="Arial" w:hAnsi="Arial" w:cs="Arial"/>
              </w:rPr>
              <w:t>in SFFAS 54, paragraphs 72–77. (SFFAS 54, paras. 78–79)</w:t>
            </w:r>
          </w:p>
          <w:p w14:paraId="47B94DBA" w14:textId="431A33AA" w:rsidR="00A03982" w:rsidRPr="005B5418" w:rsidRDefault="00A03982" w:rsidP="00A03982">
            <w:pPr>
              <w:autoSpaceDE w:val="0"/>
              <w:autoSpaceDN w:val="0"/>
              <w:adjustRightInd w:val="0"/>
              <w:rPr>
                <w:rFonts w:cs="Arial"/>
              </w:rPr>
            </w:pPr>
            <w:r w:rsidRPr="005B5418">
              <w:rPr>
                <w:rFonts w:ascii="Arial" w:hAnsi="Arial" w:cs="Arial"/>
              </w:rPr>
              <w:t xml:space="preserve">Also see </w:t>
            </w:r>
            <w:r w:rsidR="00C140EF" w:rsidRPr="005B5418">
              <w:rPr>
                <w:rFonts w:ascii="Arial" w:hAnsi="Arial" w:cs="Arial"/>
              </w:rPr>
              <w:t>TR 20</w:t>
            </w:r>
            <w:r w:rsidRPr="005B5418">
              <w:rPr>
                <w:rFonts w:ascii="Arial" w:hAnsi="Arial" w:cs="Arial"/>
              </w:rPr>
              <w:t>, paragraphs 82–83.</w:t>
            </w:r>
          </w:p>
        </w:tc>
      </w:tr>
      <w:tr w:rsidR="00A03982" w:rsidRPr="005B5418" w14:paraId="2F191590" w14:textId="77777777" w:rsidTr="00935832">
        <w:trPr>
          <w:trHeight w:val="278"/>
        </w:trPr>
        <w:tc>
          <w:tcPr>
            <w:tcW w:w="9715" w:type="dxa"/>
            <w:gridSpan w:val="3"/>
          </w:tcPr>
          <w:p w14:paraId="3270DE9E" w14:textId="2B122C97" w:rsidR="00A03982" w:rsidRPr="005425ED" w:rsidRDefault="00A03982" w:rsidP="00A03982">
            <w:pPr>
              <w:pStyle w:val="BodyTextIndent"/>
              <w:spacing w:before="60" w:after="60"/>
              <w:rPr>
                <w:b/>
                <w:i/>
                <w:lang w:val="pt-BR"/>
              </w:rPr>
            </w:pPr>
            <w:r w:rsidRPr="005425ED">
              <w:rPr>
                <w:b/>
                <w:i/>
                <w:lang w:val="pt-BR"/>
              </w:rPr>
              <w:lastRenderedPageBreak/>
              <w:t>Contracts or Agreements with Multiple Components</w:t>
            </w:r>
          </w:p>
        </w:tc>
      </w:tr>
      <w:tr w:rsidR="00A03982" w:rsidRPr="005B5418" w14:paraId="61C400B3" w14:textId="77777777" w:rsidTr="00935832">
        <w:trPr>
          <w:trHeight w:val="989"/>
        </w:trPr>
        <w:tc>
          <w:tcPr>
            <w:tcW w:w="5395" w:type="dxa"/>
          </w:tcPr>
          <w:p w14:paraId="36CA402B" w14:textId="5F3CCC6F" w:rsidR="00A03982" w:rsidRPr="005B5418" w:rsidRDefault="00A03982" w:rsidP="005425ED">
            <w:pPr>
              <w:pStyle w:val="FAM-Table-outline"/>
              <w:widowControl/>
              <w:numPr>
                <w:ilvl w:val="0"/>
                <w:numId w:val="126"/>
              </w:numPr>
              <w:adjustRightInd/>
              <w:spacing w:line="240" w:lineRule="auto"/>
              <w:textAlignment w:val="auto"/>
            </w:pPr>
            <w:r w:rsidRPr="005B5418">
              <w:t>Do the entity’s contracts and agreements have multiple components? (Answer Y if applicable, N/A if not applicable, or N/S if not significant. If N/A or N/S, skip to the next subtopic.)</w:t>
            </w:r>
          </w:p>
        </w:tc>
        <w:tc>
          <w:tcPr>
            <w:tcW w:w="990" w:type="dxa"/>
          </w:tcPr>
          <w:p w14:paraId="080C76C9" w14:textId="77777777" w:rsidR="00A03982" w:rsidRPr="005B5418" w:rsidRDefault="00A03982" w:rsidP="00A03982">
            <w:pPr>
              <w:pStyle w:val="Table-Cell-CenterBoldBefore6ptAfter6pt"/>
              <w:spacing w:before="60" w:after="60"/>
              <w:rPr>
                <w:rFonts w:cs="Arial"/>
                <w:lang w:val="pt-BR"/>
              </w:rPr>
            </w:pPr>
          </w:p>
        </w:tc>
        <w:tc>
          <w:tcPr>
            <w:tcW w:w="3330" w:type="dxa"/>
          </w:tcPr>
          <w:p w14:paraId="6135A33B" w14:textId="77777777" w:rsidR="00A03982" w:rsidRPr="005B5418" w:rsidRDefault="00A03982" w:rsidP="00A03982">
            <w:pPr>
              <w:pStyle w:val="BodyTextIndent"/>
              <w:spacing w:before="60" w:after="60"/>
              <w:rPr>
                <w:rFonts w:cs="Arial"/>
                <w:lang w:val="pt-BR"/>
              </w:rPr>
            </w:pPr>
          </w:p>
        </w:tc>
      </w:tr>
      <w:tr w:rsidR="00A03982" w:rsidRPr="005B5418" w14:paraId="42A60A14" w14:textId="77777777" w:rsidTr="00935832">
        <w:trPr>
          <w:trHeight w:val="233"/>
        </w:trPr>
        <w:tc>
          <w:tcPr>
            <w:tcW w:w="9715" w:type="dxa"/>
            <w:gridSpan w:val="3"/>
          </w:tcPr>
          <w:p w14:paraId="15784970" w14:textId="2C5EA99A" w:rsidR="00A03982" w:rsidRPr="005B5418" w:rsidRDefault="00A03982" w:rsidP="00A03982">
            <w:pPr>
              <w:pStyle w:val="BodyTextIndent"/>
              <w:spacing w:before="60" w:after="60"/>
              <w:rPr>
                <w:rFonts w:cs="Arial"/>
                <w:b/>
                <w:bCs/>
                <w:lang w:val="pt-BR"/>
              </w:rPr>
            </w:pPr>
            <w:r w:rsidRPr="005B5418">
              <w:rPr>
                <w:rFonts w:cs="Arial"/>
                <w:b/>
                <w:bCs/>
                <w:lang w:val="pt-BR"/>
              </w:rPr>
              <w:t>Accounting</w:t>
            </w:r>
          </w:p>
        </w:tc>
      </w:tr>
      <w:tr w:rsidR="00A03982" w:rsidRPr="005B5418" w14:paraId="3F339DB3" w14:textId="77777777" w:rsidTr="00935832">
        <w:trPr>
          <w:trHeight w:val="989"/>
        </w:trPr>
        <w:tc>
          <w:tcPr>
            <w:tcW w:w="5395" w:type="dxa"/>
          </w:tcPr>
          <w:p w14:paraId="67F56CC9" w14:textId="3A7BA9B2" w:rsidR="00A03982" w:rsidRPr="005B5418" w:rsidRDefault="00A03982" w:rsidP="005425ED">
            <w:pPr>
              <w:pStyle w:val="FAM-Table-outline"/>
              <w:widowControl/>
              <w:numPr>
                <w:ilvl w:val="0"/>
                <w:numId w:val="126"/>
              </w:numPr>
              <w:adjustRightInd/>
              <w:spacing w:line="240" w:lineRule="auto"/>
              <w:textAlignment w:val="auto"/>
            </w:pPr>
            <w:r w:rsidRPr="005B5418">
              <w:t>Does the entity first allocate the agreement price to different components using any prices for individual components that are included in the contract or agreement, as long as the price allocation does not appear to be unreasonable based on the terms of the contract or agreement and professional judgment, maximizing the use of observable information?</w:t>
            </w:r>
          </w:p>
          <w:p w14:paraId="135744E7" w14:textId="3529F6AB" w:rsidR="00A03982" w:rsidRPr="005B5418" w:rsidRDefault="00A03982" w:rsidP="005425ED">
            <w:pPr>
              <w:pStyle w:val="FAM-Table-outline"/>
              <w:widowControl/>
              <w:numPr>
                <w:ilvl w:val="0"/>
                <w:numId w:val="0"/>
              </w:numPr>
              <w:adjustRightInd/>
              <w:spacing w:line="240" w:lineRule="auto"/>
              <w:ind w:left="666"/>
              <w:textAlignment w:val="auto"/>
            </w:pPr>
            <w:r w:rsidRPr="005B5418">
              <w:t xml:space="preserve">(SFFAS 54, para. 75; also see </w:t>
            </w:r>
            <w:r w:rsidR="00C140EF" w:rsidRPr="005B5418">
              <w:t>TR 20</w:t>
            </w:r>
            <w:r w:rsidRPr="005B5418">
              <w:t>, paras. 76–81)</w:t>
            </w:r>
          </w:p>
        </w:tc>
        <w:tc>
          <w:tcPr>
            <w:tcW w:w="990" w:type="dxa"/>
          </w:tcPr>
          <w:p w14:paraId="15FAFAC2" w14:textId="77777777" w:rsidR="00A03982" w:rsidRPr="005B5418" w:rsidRDefault="00A03982" w:rsidP="00A03982">
            <w:pPr>
              <w:pStyle w:val="Table-Cell-CenterBoldBefore6ptAfter6pt"/>
              <w:spacing w:before="60" w:after="60"/>
              <w:rPr>
                <w:rFonts w:cs="Arial"/>
                <w:lang w:val="pt-BR"/>
              </w:rPr>
            </w:pPr>
          </w:p>
        </w:tc>
        <w:tc>
          <w:tcPr>
            <w:tcW w:w="3330" w:type="dxa"/>
          </w:tcPr>
          <w:p w14:paraId="587297BA" w14:textId="77777777" w:rsidR="00A03982" w:rsidRPr="005B5418" w:rsidRDefault="00A03982" w:rsidP="00A03982">
            <w:pPr>
              <w:pStyle w:val="BodyTextIndent"/>
              <w:spacing w:before="60" w:after="60"/>
              <w:rPr>
                <w:rFonts w:cs="Arial"/>
                <w:lang w:val="pt-BR"/>
              </w:rPr>
            </w:pPr>
          </w:p>
        </w:tc>
      </w:tr>
      <w:tr w:rsidR="00A03982" w:rsidRPr="005B5418" w14:paraId="550F837C" w14:textId="77777777" w:rsidTr="00935832">
        <w:trPr>
          <w:trHeight w:val="989"/>
        </w:trPr>
        <w:tc>
          <w:tcPr>
            <w:tcW w:w="5395" w:type="dxa"/>
          </w:tcPr>
          <w:p w14:paraId="49AF092D" w14:textId="177C4F10" w:rsidR="00A03982" w:rsidRPr="005B5418" w:rsidRDefault="00A03982" w:rsidP="005425ED">
            <w:pPr>
              <w:pStyle w:val="FAM-Table-outline"/>
              <w:widowControl/>
              <w:numPr>
                <w:ilvl w:val="0"/>
                <w:numId w:val="126"/>
              </w:numPr>
              <w:adjustRightInd/>
              <w:spacing w:line="240" w:lineRule="auto"/>
              <w:textAlignment w:val="auto"/>
            </w:pPr>
            <w:r w:rsidRPr="005B5418">
              <w:t>If a contract or agreement does not include prices for individual components or if any of those prices appear to be unreasonable, does the entity use professional judgment to determine their best estimate for allocating the contract</w:t>
            </w:r>
            <w:r w:rsidR="009E1532" w:rsidRPr="005B5418">
              <w:t xml:space="preserve"> </w:t>
            </w:r>
            <w:r w:rsidRPr="005B5418">
              <w:t xml:space="preserve">or agreement price to those components, maximizing the use of observable information? (SFFAS 54, para. 76; also see </w:t>
            </w:r>
            <w:r w:rsidR="00C140EF" w:rsidRPr="005B5418">
              <w:t>TR 20</w:t>
            </w:r>
            <w:r w:rsidRPr="005B5418">
              <w:t>, para. 81)</w:t>
            </w:r>
          </w:p>
        </w:tc>
        <w:tc>
          <w:tcPr>
            <w:tcW w:w="990" w:type="dxa"/>
          </w:tcPr>
          <w:p w14:paraId="5AFFDE9C" w14:textId="77777777" w:rsidR="00A03982" w:rsidRPr="005B5418" w:rsidRDefault="00A03982" w:rsidP="00A03982">
            <w:pPr>
              <w:pStyle w:val="Table-Cell-CenterBoldBefore6ptAfter6pt"/>
              <w:spacing w:before="60" w:after="60"/>
              <w:rPr>
                <w:rFonts w:cs="Arial"/>
                <w:lang w:val="pt-BR"/>
              </w:rPr>
            </w:pPr>
          </w:p>
        </w:tc>
        <w:tc>
          <w:tcPr>
            <w:tcW w:w="3330" w:type="dxa"/>
          </w:tcPr>
          <w:p w14:paraId="250BE9A7" w14:textId="77777777" w:rsidR="00A03982" w:rsidRPr="005B5418" w:rsidRDefault="00A03982" w:rsidP="00A03982">
            <w:pPr>
              <w:pStyle w:val="BodyTextIndent"/>
              <w:spacing w:before="60" w:after="60"/>
              <w:rPr>
                <w:rFonts w:cs="Arial"/>
                <w:lang w:val="pt-BR"/>
              </w:rPr>
            </w:pPr>
          </w:p>
        </w:tc>
      </w:tr>
      <w:tr w:rsidR="00A03982" w:rsidRPr="005B5418" w14:paraId="46C20225" w14:textId="77777777" w:rsidTr="00935832">
        <w:trPr>
          <w:trHeight w:val="989"/>
        </w:trPr>
        <w:tc>
          <w:tcPr>
            <w:tcW w:w="5395" w:type="dxa"/>
          </w:tcPr>
          <w:p w14:paraId="3F00E4DE" w14:textId="5A010FDC" w:rsidR="00A03982" w:rsidRPr="005B5418" w:rsidRDefault="00A03982" w:rsidP="005425ED">
            <w:pPr>
              <w:pStyle w:val="FAM-Table-outline"/>
              <w:widowControl/>
              <w:numPr>
                <w:ilvl w:val="0"/>
                <w:numId w:val="126"/>
              </w:numPr>
              <w:adjustRightInd/>
              <w:spacing w:line="240" w:lineRule="auto"/>
              <w:textAlignment w:val="auto"/>
            </w:pPr>
            <w:r w:rsidRPr="005B5418">
              <w:t xml:space="preserve">If it is not practicable to determine a best estimate for price allocation for some or all components in a contract or agreement, does the entity account for those components as a </w:t>
            </w:r>
            <w:r w:rsidRPr="005B5418">
              <w:lastRenderedPageBreak/>
              <w:t xml:space="preserve">single lease unit? (SFFAS 54, para. 76; also see </w:t>
            </w:r>
            <w:r w:rsidR="00C140EF" w:rsidRPr="005B5418">
              <w:t>TR 20</w:t>
            </w:r>
            <w:r w:rsidRPr="005B5418">
              <w:t>, paras. 77, 80)</w:t>
            </w:r>
          </w:p>
        </w:tc>
        <w:tc>
          <w:tcPr>
            <w:tcW w:w="990" w:type="dxa"/>
          </w:tcPr>
          <w:p w14:paraId="2058F7E2" w14:textId="77777777" w:rsidR="00A03982" w:rsidRPr="005B5418" w:rsidRDefault="00A03982" w:rsidP="00A03982">
            <w:pPr>
              <w:pStyle w:val="Table-Cell-CenterBoldBefore6ptAfter6pt"/>
              <w:spacing w:before="60" w:after="60"/>
              <w:rPr>
                <w:rFonts w:cs="Arial"/>
                <w:lang w:val="pt-BR"/>
              </w:rPr>
            </w:pPr>
          </w:p>
        </w:tc>
        <w:tc>
          <w:tcPr>
            <w:tcW w:w="3330" w:type="dxa"/>
          </w:tcPr>
          <w:p w14:paraId="102A6DC6" w14:textId="77777777" w:rsidR="00A03982" w:rsidRPr="005B5418" w:rsidRDefault="00A03982" w:rsidP="00A03982">
            <w:pPr>
              <w:pStyle w:val="BodyTextIndent"/>
              <w:spacing w:before="60" w:after="60"/>
              <w:rPr>
                <w:rFonts w:cs="Arial"/>
                <w:lang w:val="pt-BR"/>
              </w:rPr>
            </w:pPr>
          </w:p>
        </w:tc>
      </w:tr>
      <w:tr w:rsidR="00A03982" w:rsidRPr="005B5418" w14:paraId="2D69D532" w14:textId="77777777" w:rsidTr="00935832">
        <w:trPr>
          <w:trHeight w:val="989"/>
        </w:trPr>
        <w:tc>
          <w:tcPr>
            <w:tcW w:w="5395" w:type="dxa"/>
          </w:tcPr>
          <w:p w14:paraId="3C7AD742" w14:textId="77777777" w:rsidR="00A03982" w:rsidRPr="005B5418" w:rsidRDefault="00A03982" w:rsidP="005425ED">
            <w:pPr>
              <w:pStyle w:val="FAM-Table-outline"/>
              <w:widowControl/>
              <w:numPr>
                <w:ilvl w:val="0"/>
                <w:numId w:val="126"/>
              </w:numPr>
              <w:adjustRightInd/>
              <w:spacing w:line="240" w:lineRule="auto"/>
              <w:textAlignment w:val="auto"/>
            </w:pPr>
            <w:r w:rsidRPr="005B5418">
              <w:t>If multiple components are accounted for as a single lease unit, is the accounting for that unit based on the primary lease component within that unit?</w:t>
            </w:r>
            <w:r w:rsidRPr="005B5418">
              <w:rPr>
                <w:rStyle w:val="FootnoteReference"/>
              </w:rPr>
              <w:footnoteReference w:id="213"/>
            </w:r>
            <w:r w:rsidRPr="005B5418">
              <w:t xml:space="preserve"> </w:t>
            </w:r>
          </w:p>
          <w:p w14:paraId="029CB05D" w14:textId="0A0E0602" w:rsidR="00A03982" w:rsidRPr="005B5418" w:rsidRDefault="00A03982" w:rsidP="005425ED">
            <w:pPr>
              <w:pStyle w:val="FAM-Table-outline"/>
              <w:widowControl/>
              <w:numPr>
                <w:ilvl w:val="0"/>
                <w:numId w:val="0"/>
              </w:numPr>
              <w:adjustRightInd/>
              <w:spacing w:line="240" w:lineRule="auto"/>
              <w:ind w:left="666"/>
              <w:textAlignment w:val="auto"/>
            </w:pPr>
            <w:r w:rsidRPr="005B5418">
              <w:t xml:space="preserve">(SFFAS 54, para. 77; also see </w:t>
            </w:r>
            <w:r w:rsidR="00C140EF" w:rsidRPr="005B5418">
              <w:t>TR 20</w:t>
            </w:r>
            <w:r w:rsidRPr="005B5418">
              <w:t>, para. 79)</w:t>
            </w:r>
          </w:p>
        </w:tc>
        <w:tc>
          <w:tcPr>
            <w:tcW w:w="990" w:type="dxa"/>
          </w:tcPr>
          <w:p w14:paraId="5026A338" w14:textId="77777777" w:rsidR="00A03982" w:rsidRPr="005B5418" w:rsidRDefault="00A03982" w:rsidP="00A03982">
            <w:pPr>
              <w:pStyle w:val="Table-Cell-CenterBoldBefore6ptAfter6pt"/>
              <w:spacing w:before="60" w:after="60"/>
              <w:rPr>
                <w:rFonts w:cs="Arial"/>
                <w:lang w:val="pt-BR"/>
              </w:rPr>
            </w:pPr>
          </w:p>
        </w:tc>
        <w:tc>
          <w:tcPr>
            <w:tcW w:w="3330" w:type="dxa"/>
          </w:tcPr>
          <w:p w14:paraId="75508777" w14:textId="77777777" w:rsidR="00A03982" w:rsidRPr="005B5418" w:rsidRDefault="00A03982" w:rsidP="00A03982">
            <w:pPr>
              <w:pStyle w:val="BodyTextIndent"/>
              <w:spacing w:before="60" w:after="60"/>
              <w:rPr>
                <w:rFonts w:cs="Arial"/>
                <w:lang w:val="pt-BR"/>
              </w:rPr>
            </w:pPr>
          </w:p>
        </w:tc>
      </w:tr>
      <w:tr w:rsidR="00A03982" w:rsidRPr="005B5418" w14:paraId="2730E05A" w14:textId="77777777" w:rsidTr="00935832">
        <w:trPr>
          <w:trHeight w:val="989"/>
        </w:trPr>
        <w:tc>
          <w:tcPr>
            <w:tcW w:w="5395" w:type="dxa"/>
          </w:tcPr>
          <w:p w14:paraId="64FB5CDB" w14:textId="098BD413" w:rsidR="00A03982" w:rsidRPr="005B5418" w:rsidRDefault="00A03982" w:rsidP="005425ED">
            <w:pPr>
              <w:pStyle w:val="FAM-Table-outline"/>
              <w:widowControl/>
              <w:numPr>
                <w:ilvl w:val="0"/>
                <w:numId w:val="126"/>
              </w:numPr>
              <w:adjustRightInd/>
              <w:spacing w:line="240" w:lineRule="auto"/>
              <w:textAlignment w:val="auto"/>
            </w:pPr>
            <w:r w:rsidRPr="005B5418">
              <w:t xml:space="preserve">Unless the contract or agreement meets the exception in SFFAS 54, para. 76, or the entity elected to apply the transitional accommodation, does the entity account for the lease components (such as the right to use a building) and nonlease components (such as a maintenance services for the building) of a contract or agreement as separate contracts or agreements? (SFFAS 54, para. 73; also see </w:t>
            </w:r>
            <w:r w:rsidR="00C140EF" w:rsidRPr="005B5418">
              <w:t>TR 20</w:t>
            </w:r>
            <w:r w:rsidRPr="005B5418">
              <w:t>, para. 77, and transitional accommodation questions below)</w:t>
            </w:r>
          </w:p>
        </w:tc>
        <w:tc>
          <w:tcPr>
            <w:tcW w:w="990" w:type="dxa"/>
          </w:tcPr>
          <w:p w14:paraId="1A2619DF" w14:textId="77777777" w:rsidR="00A03982" w:rsidRPr="005B5418" w:rsidRDefault="00A03982" w:rsidP="00A03982">
            <w:pPr>
              <w:pStyle w:val="Table-Cell-CenterBoldBefore6ptAfter6pt"/>
              <w:spacing w:before="60" w:after="60"/>
              <w:rPr>
                <w:rFonts w:cs="Arial"/>
                <w:lang w:val="pt-BR"/>
              </w:rPr>
            </w:pPr>
          </w:p>
        </w:tc>
        <w:tc>
          <w:tcPr>
            <w:tcW w:w="3330" w:type="dxa"/>
          </w:tcPr>
          <w:p w14:paraId="42BB5175" w14:textId="77777777" w:rsidR="00A03982" w:rsidRPr="005B5418" w:rsidRDefault="00A03982" w:rsidP="00A03982">
            <w:pPr>
              <w:pStyle w:val="BodyTextIndent"/>
              <w:spacing w:before="60" w:after="60"/>
              <w:rPr>
                <w:rFonts w:cs="Arial"/>
                <w:lang w:val="pt-BR"/>
              </w:rPr>
            </w:pPr>
          </w:p>
        </w:tc>
      </w:tr>
      <w:tr w:rsidR="00A03982" w:rsidRPr="005B5418" w14:paraId="73BD7CAB" w14:textId="77777777" w:rsidTr="00935832">
        <w:trPr>
          <w:trHeight w:val="989"/>
        </w:trPr>
        <w:tc>
          <w:tcPr>
            <w:tcW w:w="5395" w:type="dxa"/>
          </w:tcPr>
          <w:p w14:paraId="750DC58D" w14:textId="23A318C0" w:rsidR="00A03982" w:rsidRPr="005B5418" w:rsidRDefault="00A03982" w:rsidP="005425ED">
            <w:pPr>
              <w:pStyle w:val="FAM-Table-outline"/>
              <w:widowControl/>
              <w:numPr>
                <w:ilvl w:val="0"/>
                <w:numId w:val="126"/>
              </w:numPr>
              <w:adjustRightInd/>
              <w:spacing w:line="240" w:lineRule="auto"/>
              <w:textAlignment w:val="auto"/>
            </w:pPr>
            <w:r w:rsidRPr="005B5418">
              <w:t xml:space="preserve">Unless the contract or agreement meets the exception in SFFAS 54, para. 76, if a lease involves multiple underlying assets with different lease terms, does the entity account for each underlying asset as a separate lease component? (SFFAS 54, para. 74; also see </w:t>
            </w:r>
            <w:r w:rsidR="00C140EF" w:rsidRPr="005B5418">
              <w:t>TR 20</w:t>
            </w:r>
            <w:r w:rsidRPr="005B5418">
              <w:t>, paras. 78–81)</w:t>
            </w:r>
          </w:p>
        </w:tc>
        <w:tc>
          <w:tcPr>
            <w:tcW w:w="990" w:type="dxa"/>
          </w:tcPr>
          <w:p w14:paraId="2C60A0F8" w14:textId="77777777" w:rsidR="00A03982" w:rsidRPr="005B5418" w:rsidRDefault="00A03982" w:rsidP="00A03982">
            <w:pPr>
              <w:pStyle w:val="Table-Cell-CenterBoldBefore6ptAfter6pt"/>
              <w:spacing w:before="60" w:after="60"/>
              <w:rPr>
                <w:rFonts w:cs="Arial"/>
                <w:lang w:val="pt-BR"/>
              </w:rPr>
            </w:pPr>
          </w:p>
        </w:tc>
        <w:tc>
          <w:tcPr>
            <w:tcW w:w="3330" w:type="dxa"/>
          </w:tcPr>
          <w:p w14:paraId="120C0F8E" w14:textId="77777777" w:rsidR="00A03982" w:rsidRPr="005B5418" w:rsidRDefault="00A03982" w:rsidP="00A03982">
            <w:pPr>
              <w:pStyle w:val="BodyTextIndent"/>
              <w:spacing w:before="60" w:after="60"/>
              <w:rPr>
                <w:rFonts w:cs="Arial"/>
                <w:lang w:val="pt-BR"/>
              </w:rPr>
            </w:pPr>
          </w:p>
        </w:tc>
      </w:tr>
      <w:tr w:rsidR="00A03982" w:rsidRPr="005B5418" w14:paraId="4CADDFA6" w14:textId="77777777" w:rsidTr="00935832">
        <w:trPr>
          <w:trHeight w:val="449"/>
        </w:trPr>
        <w:tc>
          <w:tcPr>
            <w:tcW w:w="9715" w:type="dxa"/>
            <w:gridSpan w:val="3"/>
          </w:tcPr>
          <w:p w14:paraId="3BF1F76D" w14:textId="11742AF6" w:rsidR="00A03982" w:rsidRPr="005B5418" w:rsidRDefault="00A03982" w:rsidP="00A03982">
            <w:pPr>
              <w:pStyle w:val="BodyTextIndent"/>
              <w:spacing w:before="60" w:after="60"/>
              <w:rPr>
                <w:rFonts w:cs="Arial"/>
                <w:bCs/>
                <w:i/>
                <w:iCs/>
                <w:lang w:val="pt-BR"/>
              </w:rPr>
            </w:pPr>
            <w:r w:rsidRPr="005B5418">
              <w:rPr>
                <w:rFonts w:cs="Arial"/>
                <w:bCs/>
                <w:i/>
                <w:iCs/>
                <w:lang w:val="pt-BR"/>
              </w:rPr>
              <w:t>Accommodation for Contracts or Agreements with Multiple Components</w:t>
            </w:r>
            <w:r w:rsidR="00A90023" w:rsidRPr="005B5418">
              <w:rPr>
                <w:rStyle w:val="FootnoteReference"/>
                <w:rFonts w:cs="Arial"/>
                <w:bCs/>
                <w:i/>
                <w:iCs/>
                <w:lang w:val="pt-BR"/>
              </w:rPr>
              <w:footnoteReference w:id="214"/>
            </w:r>
            <w:r w:rsidRPr="005B5418">
              <w:rPr>
                <w:rFonts w:cs="Arial"/>
                <w:bCs/>
                <w:i/>
                <w:iCs/>
                <w:lang w:val="pt-BR"/>
              </w:rPr>
              <w:t xml:space="preserve"> </w:t>
            </w:r>
          </w:p>
        </w:tc>
      </w:tr>
      <w:tr w:rsidR="00A03982" w:rsidRPr="005B5418" w14:paraId="16C42429" w14:textId="77777777" w:rsidTr="00935832">
        <w:trPr>
          <w:trHeight w:val="989"/>
        </w:trPr>
        <w:tc>
          <w:tcPr>
            <w:tcW w:w="5395" w:type="dxa"/>
          </w:tcPr>
          <w:p w14:paraId="627BB900" w14:textId="42F943BC" w:rsidR="00A03982" w:rsidRPr="005B5418" w:rsidRDefault="00A03982" w:rsidP="005425ED">
            <w:pPr>
              <w:pStyle w:val="FAM-Table-outline"/>
              <w:widowControl/>
              <w:numPr>
                <w:ilvl w:val="0"/>
                <w:numId w:val="126"/>
              </w:numPr>
              <w:adjustRightInd/>
              <w:spacing w:line="240" w:lineRule="auto"/>
              <w:textAlignment w:val="auto"/>
            </w:pPr>
            <w:r w:rsidRPr="005B5418">
              <w:t>Has the entity elected to apply the transitional accommodation in SFFAS 54, para. 96A-D? (Answer Y if applicable, N/A if not applicable, or N/S if not significant. If N/A or N/S, skip to the next subtopic.)</w:t>
            </w:r>
          </w:p>
        </w:tc>
        <w:tc>
          <w:tcPr>
            <w:tcW w:w="990" w:type="dxa"/>
          </w:tcPr>
          <w:p w14:paraId="3F751E46" w14:textId="77777777" w:rsidR="00A03982" w:rsidRPr="005B5418" w:rsidRDefault="00A03982" w:rsidP="00A03982">
            <w:pPr>
              <w:pStyle w:val="Table-Cell-CenterBoldBefore6ptAfter6pt"/>
              <w:spacing w:before="60" w:after="60"/>
              <w:rPr>
                <w:rFonts w:cs="Arial"/>
                <w:lang w:val="pt-BR"/>
              </w:rPr>
            </w:pPr>
          </w:p>
        </w:tc>
        <w:tc>
          <w:tcPr>
            <w:tcW w:w="3330" w:type="dxa"/>
          </w:tcPr>
          <w:p w14:paraId="0B174524" w14:textId="77777777" w:rsidR="00A03982" w:rsidRPr="005B5418" w:rsidRDefault="00A03982" w:rsidP="00A03982">
            <w:pPr>
              <w:pStyle w:val="BodyTextIndent"/>
              <w:spacing w:before="60" w:after="60"/>
              <w:rPr>
                <w:rFonts w:cs="Arial"/>
                <w:lang w:val="pt-BR"/>
              </w:rPr>
            </w:pPr>
          </w:p>
        </w:tc>
      </w:tr>
      <w:tr w:rsidR="00A03982" w:rsidRPr="005B5418" w14:paraId="33851542" w14:textId="77777777" w:rsidTr="00935832">
        <w:trPr>
          <w:trHeight w:val="323"/>
        </w:trPr>
        <w:tc>
          <w:tcPr>
            <w:tcW w:w="9715" w:type="dxa"/>
            <w:gridSpan w:val="3"/>
          </w:tcPr>
          <w:p w14:paraId="6AFAD332" w14:textId="0FDBA204" w:rsidR="00A03982" w:rsidRPr="005B5418" w:rsidRDefault="00A03982" w:rsidP="00A03982">
            <w:pPr>
              <w:pStyle w:val="BodyTextIndent"/>
              <w:spacing w:before="60" w:after="60"/>
              <w:rPr>
                <w:rFonts w:cs="Arial"/>
                <w:b/>
                <w:bCs/>
                <w:lang w:val="pt-BR"/>
              </w:rPr>
            </w:pPr>
            <w:r w:rsidRPr="005B5418">
              <w:rPr>
                <w:rFonts w:cs="Arial"/>
                <w:b/>
                <w:bCs/>
                <w:lang w:val="pt-BR"/>
              </w:rPr>
              <w:t>Accounting</w:t>
            </w:r>
          </w:p>
        </w:tc>
      </w:tr>
      <w:tr w:rsidR="00A03982" w:rsidRPr="005B5418" w14:paraId="5D3A05A6" w14:textId="77777777" w:rsidTr="00935832">
        <w:trPr>
          <w:trHeight w:val="989"/>
        </w:trPr>
        <w:tc>
          <w:tcPr>
            <w:tcW w:w="5395" w:type="dxa"/>
          </w:tcPr>
          <w:p w14:paraId="5BBBC21B" w14:textId="6FA84FCC" w:rsidR="00A03982" w:rsidRPr="005B5418" w:rsidRDefault="00A03982" w:rsidP="005425ED">
            <w:pPr>
              <w:pStyle w:val="FAM-Table-outline"/>
              <w:widowControl/>
              <w:numPr>
                <w:ilvl w:val="0"/>
                <w:numId w:val="126"/>
              </w:numPr>
              <w:adjustRightInd/>
              <w:spacing w:line="240" w:lineRule="auto"/>
              <w:textAlignment w:val="auto"/>
            </w:pPr>
            <w:r w:rsidRPr="005B5418">
              <w:lastRenderedPageBreak/>
              <w:t xml:space="preserve">Are the contracts or agreements the entity elected to account for as nonlease in their entirety primarily attributable to the nonlease component(s)? (SFFAS 54, paras. </w:t>
            </w:r>
            <w:r w:rsidR="00833A5B" w:rsidRPr="005B5418">
              <w:t xml:space="preserve">96A.a, </w:t>
            </w:r>
            <w:r w:rsidRPr="005B5418">
              <w:t>96A.b and 96B)</w:t>
            </w:r>
          </w:p>
        </w:tc>
        <w:tc>
          <w:tcPr>
            <w:tcW w:w="990" w:type="dxa"/>
          </w:tcPr>
          <w:p w14:paraId="4D126425" w14:textId="77777777" w:rsidR="00A03982" w:rsidRPr="005B5418" w:rsidRDefault="00A03982" w:rsidP="00A03982">
            <w:pPr>
              <w:pStyle w:val="Table-Cell-CenterBoldBefore6ptAfter6pt"/>
              <w:spacing w:before="60" w:after="60"/>
              <w:rPr>
                <w:rFonts w:cs="Arial"/>
                <w:lang w:val="pt-BR"/>
              </w:rPr>
            </w:pPr>
          </w:p>
        </w:tc>
        <w:tc>
          <w:tcPr>
            <w:tcW w:w="3330" w:type="dxa"/>
          </w:tcPr>
          <w:p w14:paraId="5598AD37" w14:textId="77777777" w:rsidR="00A03982" w:rsidRPr="005B5418" w:rsidRDefault="00A03982" w:rsidP="00A03982">
            <w:pPr>
              <w:pStyle w:val="BodyTextIndent"/>
              <w:spacing w:before="60" w:after="60"/>
              <w:rPr>
                <w:rFonts w:cs="Arial"/>
                <w:lang w:val="pt-BR"/>
              </w:rPr>
            </w:pPr>
          </w:p>
        </w:tc>
      </w:tr>
      <w:tr w:rsidR="00A03982" w:rsidRPr="005B5418" w14:paraId="57A34416" w14:textId="77777777" w:rsidTr="00935832">
        <w:trPr>
          <w:trHeight w:val="989"/>
        </w:trPr>
        <w:tc>
          <w:tcPr>
            <w:tcW w:w="5395" w:type="dxa"/>
          </w:tcPr>
          <w:p w14:paraId="64212207" w14:textId="18E60B5F" w:rsidR="00A03982" w:rsidRPr="005B5418" w:rsidRDefault="00A03982" w:rsidP="005425ED">
            <w:pPr>
              <w:pStyle w:val="FAM-Table-outline"/>
              <w:widowControl/>
              <w:numPr>
                <w:ilvl w:val="0"/>
                <w:numId w:val="126"/>
              </w:numPr>
              <w:adjustRightInd/>
              <w:spacing w:line="240" w:lineRule="auto"/>
              <w:textAlignment w:val="auto"/>
            </w:pPr>
            <w:r w:rsidRPr="005B5418">
              <w:t>Are the contracts or agreements the entity elected to account for as nonlease in their entirety existent as of October 1, 2023, or subsequently entered into or modified on or prior to September 30, 2026 (end of the accommodation period)? (SFFAS 54, para. 96B)</w:t>
            </w:r>
          </w:p>
        </w:tc>
        <w:tc>
          <w:tcPr>
            <w:tcW w:w="990" w:type="dxa"/>
          </w:tcPr>
          <w:p w14:paraId="6623470C" w14:textId="77777777" w:rsidR="00A03982" w:rsidRPr="005B5418" w:rsidRDefault="00A03982" w:rsidP="00A03982">
            <w:pPr>
              <w:pStyle w:val="Table-Cell-CenterBoldBefore6ptAfter6pt"/>
              <w:spacing w:before="60" w:after="60"/>
              <w:rPr>
                <w:rFonts w:cs="Arial"/>
                <w:lang w:val="pt-BR"/>
              </w:rPr>
            </w:pPr>
          </w:p>
        </w:tc>
        <w:tc>
          <w:tcPr>
            <w:tcW w:w="3330" w:type="dxa"/>
          </w:tcPr>
          <w:p w14:paraId="726995C3" w14:textId="77777777" w:rsidR="00A03982" w:rsidRPr="005B5418" w:rsidRDefault="00A03982" w:rsidP="00A03982">
            <w:pPr>
              <w:pStyle w:val="BodyTextIndent"/>
              <w:spacing w:before="60" w:after="60"/>
              <w:rPr>
                <w:rFonts w:cs="Arial"/>
                <w:lang w:val="pt-BR"/>
              </w:rPr>
            </w:pPr>
          </w:p>
        </w:tc>
      </w:tr>
      <w:tr w:rsidR="00A03982" w:rsidRPr="005B5418" w14:paraId="3A6B453E" w14:textId="77777777" w:rsidTr="00935832">
        <w:trPr>
          <w:trHeight w:val="989"/>
        </w:trPr>
        <w:tc>
          <w:tcPr>
            <w:tcW w:w="5395" w:type="dxa"/>
          </w:tcPr>
          <w:p w14:paraId="254D600C" w14:textId="4CEFE3D1" w:rsidR="00A03982" w:rsidRPr="005B5418" w:rsidRDefault="00A03982" w:rsidP="005425ED">
            <w:pPr>
              <w:pStyle w:val="FAM-Table-outline"/>
              <w:widowControl/>
              <w:numPr>
                <w:ilvl w:val="0"/>
                <w:numId w:val="126"/>
              </w:numPr>
              <w:adjustRightInd/>
              <w:spacing w:line="240" w:lineRule="auto"/>
              <w:textAlignment w:val="auto"/>
            </w:pPr>
            <w:r w:rsidRPr="005B5418">
              <w:t>If the entity elects a shorter accommodation period (contracts or agreements subsequently entered into or modified on or prior to September 30, 2025, or September 30, 2024, or those existing as of October 1, 2023), are the contracts or agreements under this election accounted for as nonleases for their remaining term, unless they are subsequently modified after the end of the accommodation period? (SFFAS 54, para. 96B)</w:t>
            </w:r>
          </w:p>
        </w:tc>
        <w:tc>
          <w:tcPr>
            <w:tcW w:w="990" w:type="dxa"/>
          </w:tcPr>
          <w:p w14:paraId="246A6049" w14:textId="77777777" w:rsidR="00A03982" w:rsidRPr="005B5418" w:rsidRDefault="00A03982" w:rsidP="00A03982">
            <w:pPr>
              <w:pStyle w:val="Table-Cell-CenterBoldBefore6ptAfter6pt"/>
              <w:spacing w:before="60" w:after="60"/>
              <w:rPr>
                <w:rFonts w:cs="Arial"/>
                <w:lang w:val="pt-BR"/>
              </w:rPr>
            </w:pPr>
          </w:p>
        </w:tc>
        <w:tc>
          <w:tcPr>
            <w:tcW w:w="3330" w:type="dxa"/>
          </w:tcPr>
          <w:p w14:paraId="1FFCA5A4" w14:textId="77777777" w:rsidR="00A03982" w:rsidRPr="005B5418" w:rsidRDefault="00A03982" w:rsidP="00A03982">
            <w:pPr>
              <w:pStyle w:val="BodyTextIndent"/>
              <w:spacing w:before="60" w:after="60"/>
              <w:rPr>
                <w:rFonts w:cs="Arial"/>
                <w:lang w:val="pt-BR"/>
              </w:rPr>
            </w:pPr>
          </w:p>
        </w:tc>
      </w:tr>
      <w:tr w:rsidR="00A03982" w:rsidRPr="005B5418" w14:paraId="57C8E14C" w14:textId="77777777" w:rsidTr="00935832">
        <w:trPr>
          <w:trHeight w:val="989"/>
        </w:trPr>
        <w:tc>
          <w:tcPr>
            <w:tcW w:w="5395" w:type="dxa"/>
          </w:tcPr>
          <w:p w14:paraId="12D64477" w14:textId="6FCDE63E"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entity prospectively apply the provisions of SFFAS 54, para. 73, to new or modified contracts or agreements meeting the para. 96A criteria above that commence </w:t>
            </w:r>
            <w:r w:rsidRPr="005B5418">
              <w:rPr>
                <w:b/>
                <w:bCs/>
              </w:rPr>
              <w:t>after</w:t>
            </w:r>
            <w:r w:rsidRPr="005B5418">
              <w:t xml:space="preserve"> (or become effective after) the accommodation period? (SFFAS 54, para. 96C)</w:t>
            </w:r>
          </w:p>
        </w:tc>
        <w:tc>
          <w:tcPr>
            <w:tcW w:w="990" w:type="dxa"/>
          </w:tcPr>
          <w:p w14:paraId="410D3BCF" w14:textId="77777777" w:rsidR="00A03982" w:rsidRPr="005B5418" w:rsidRDefault="00A03982" w:rsidP="00A03982">
            <w:pPr>
              <w:pStyle w:val="Table-Cell-CenterBoldBefore6ptAfter6pt"/>
              <w:spacing w:before="60" w:after="60"/>
              <w:rPr>
                <w:rFonts w:cs="Arial"/>
                <w:lang w:val="pt-BR"/>
              </w:rPr>
            </w:pPr>
          </w:p>
        </w:tc>
        <w:tc>
          <w:tcPr>
            <w:tcW w:w="3330" w:type="dxa"/>
          </w:tcPr>
          <w:p w14:paraId="33BC3EFB" w14:textId="77777777" w:rsidR="00A03982" w:rsidRPr="005B5418" w:rsidRDefault="00A03982" w:rsidP="00A03982">
            <w:pPr>
              <w:pStyle w:val="BodyTextIndent"/>
              <w:spacing w:before="60" w:after="60"/>
              <w:rPr>
                <w:rFonts w:cs="Arial"/>
                <w:lang w:val="pt-BR"/>
              </w:rPr>
            </w:pPr>
          </w:p>
        </w:tc>
      </w:tr>
      <w:tr w:rsidR="00A03982" w:rsidRPr="005B5418" w14:paraId="5BD7B83A" w14:textId="77777777" w:rsidTr="00935832">
        <w:trPr>
          <w:trHeight w:val="989"/>
        </w:trPr>
        <w:tc>
          <w:tcPr>
            <w:tcW w:w="5395" w:type="dxa"/>
          </w:tcPr>
          <w:p w14:paraId="2B5098A7" w14:textId="4944FD91" w:rsidR="00A03982" w:rsidRPr="005B5418" w:rsidRDefault="00A03982" w:rsidP="005425ED">
            <w:pPr>
              <w:pStyle w:val="FAM-Table-outline"/>
              <w:widowControl/>
              <w:numPr>
                <w:ilvl w:val="0"/>
                <w:numId w:val="126"/>
              </w:numPr>
              <w:adjustRightInd/>
              <w:spacing w:line="240" w:lineRule="auto"/>
              <w:textAlignment w:val="auto"/>
            </w:pPr>
            <w:r w:rsidRPr="005B5418">
              <w:t>If a modification is recognized as separate lease, as provided in SFFAS 54, para. 84, does the entity recognize the additional lease</w:t>
            </w:r>
            <w:r w:rsidRPr="005B5418">
              <w:rPr>
                <w:rStyle w:val="FootnoteReference"/>
              </w:rPr>
              <w:footnoteReference w:id="215"/>
            </w:r>
            <w:r w:rsidRPr="005B5418">
              <w:t xml:space="preserve"> as a new lease? (SFFAS 54, para. 96C, fn 11B)</w:t>
            </w:r>
          </w:p>
        </w:tc>
        <w:tc>
          <w:tcPr>
            <w:tcW w:w="990" w:type="dxa"/>
          </w:tcPr>
          <w:p w14:paraId="4DFCFEF5" w14:textId="77777777" w:rsidR="00A03982" w:rsidRPr="005B5418" w:rsidRDefault="00A03982" w:rsidP="00A03982">
            <w:pPr>
              <w:pStyle w:val="Table-Cell-CenterBoldBefore6ptAfter6pt"/>
              <w:spacing w:before="60" w:after="60"/>
              <w:rPr>
                <w:rFonts w:cs="Arial"/>
                <w:lang w:val="pt-BR"/>
              </w:rPr>
            </w:pPr>
          </w:p>
        </w:tc>
        <w:tc>
          <w:tcPr>
            <w:tcW w:w="3330" w:type="dxa"/>
          </w:tcPr>
          <w:p w14:paraId="7DCDD0FF" w14:textId="77777777" w:rsidR="00A03982" w:rsidRPr="005B5418" w:rsidRDefault="00A03982" w:rsidP="00A03982">
            <w:pPr>
              <w:pStyle w:val="BodyTextIndent"/>
              <w:spacing w:before="60" w:after="60"/>
              <w:rPr>
                <w:rFonts w:cs="Arial"/>
                <w:lang w:val="pt-BR"/>
              </w:rPr>
            </w:pPr>
          </w:p>
        </w:tc>
      </w:tr>
      <w:tr w:rsidR="00A03982" w:rsidRPr="005B5418" w14:paraId="33D0CCC7" w14:textId="77777777" w:rsidTr="00935832">
        <w:trPr>
          <w:trHeight w:val="989"/>
        </w:trPr>
        <w:tc>
          <w:tcPr>
            <w:tcW w:w="5395" w:type="dxa"/>
          </w:tcPr>
          <w:p w14:paraId="5D2795E6" w14:textId="2A03A131" w:rsidR="00A03982" w:rsidRPr="005B5418" w:rsidRDefault="00A03982" w:rsidP="005425ED">
            <w:pPr>
              <w:pStyle w:val="FAM-Table-outline"/>
              <w:widowControl/>
              <w:numPr>
                <w:ilvl w:val="0"/>
                <w:numId w:val="126"/>
              </w:numPr>
              <w:adjustRightInd/>
              <w:spacing w:line="240" w:lineRule="auto"/>
              <w:textAlignment w:val="auto"/>
            </w:pPr>
            <w:r w:rsidRPr="005B5418">
              <w:t xml:space="preserve">For lease component modifications, excluding those that result in separate leases under SFFAS 54, para. 84, effective after the accommodation period that relate to contracts or agreements for which the accommodation </w:t>
            </w:r>
            <w:r w:rsidRPr="005B5418">
              <w:lastRenderedPageBreak/>
              <w:t>was previously applied,</w:t>
            </w:r>
            <w:r w:rsidRPr="005B5418">
              <w:rPr>
                <w:rStyle w:val="FootnoteReference"/>
              </w:rPr>
              <w:footnoteReference w:id="216"/>
            </w:r>
            <w:r w:rsidRPr="005B5418">
              <w:t xml:space="preserve"> are the lease liability and lease asset (for lessees) or lease receivable and unearned revenue (for lessors) initially measured based on the remaining lease term and associated lease payments?</w:t>
            </w:r>
          </w:p>
          <w:p w14:paraId="4E5FD803" w14:textId="52AE9011" w:rsidR="00A03982" w:rsidRPr="005B5418" w:rsidRDefault="00A03982" w:rsidP="005425ED">
            <w:pPr>
              <w:pStyle w:val="FAM-Table-outline"/>
              <w:widowControl/>
              <w:numPr>
                <w:ilvl w:val="0"/>
                <w:numId w:val="0"/>
              </w:numPr>
              <w:adjustRightInd/>
              <w:spacing w:line="240" w:lineRule="auto"/>
              <w:ind w:left="666"/>
              <w:textAlignment w:val="auto"/>
            </w:pPr>
            <w:r w:rsidRPr="005B5418">
              <w:t>(SFFAS 54, para. 96C)</w:t>
            </w:r>
          </w:p>
        </w:tc>
        <w:tc>
          <w:tcPr>
            <w:tcW w:w="990" w:type="dxa"/>
          </w:tcPr>
          <w:p w14:paraId="4DEECB13" w14:textId="77777777" w:rsidR="00A03982" w:rsidRPr="005B5418" w:rsidRDefault="00A03982" w:rsidP="00A03982">
            <w:pPr>
              <w:pStyle w:val="Table-Cell-CenterBoldBefore6ptAfter6pt"/>
              <w:spacing w:before="60" w:after="60"/>
              <w:rPr>
                <w:rFonts w:cs="Arial"/>
                <w:lang w:val="pt-BR"/>
              </w:rPr>
            </w:pPr>
          </w:p>
        </w:tc>
        <w:tc>
          <w:tcPr>
            <w:tcW w:w="3330" w:type="dxa"/>
          </w:tcPr>
          <w:p w14:paraId="5CF16587" w14:textId="77777777" w:rsidR="00A03982" w:rsidRPr="005B5418" w:rsidRDefault="00A03982" w:rsidP="00A03982">
            <w:pPr>
              <w:pStyle w:val="BodyTextIndent"/>
              <w:spacing w:before="60" w:after="60"/>
              <w:rPr>
                <w:rFonts w:cs="Arial"/>
                <w:lang w:val="pt-BR"/>
              </w:rPr>
            </w:pPr>
          </w:p>
        </w:tc>
      </w:tr>
      <w:tr w:rsidR="00A03982" w:rsidRPr="005B5418" w14:paraId="3021547F" w14:textId="77777777" w:rsidTr="00935832">
        <w:trPr>
          <w:trHeight w:val="359"/>
        </w:trPr>
        <w:tc>
          <w:tcPr>
            <w:tcW w:w="9715" w:type="dxa"/>
            <w:gridSpan w:val="3"/>
          </w:tcPr>
          <w:p w14:paraId="29E77933" w14:textId="79CE4CED" w:rsidR="00A03982" w:rsidRPr="005B5418" w:rsidRDefault="00A03982" w:rsidP="00A03982">
            <w:pPr>
              <w:pStyle w:val="BodyTextIndent"/>
              <w:spacing w:before="60" w:after="60"/>
              <w:rPr>
                <w:rFonts w:cs="Arial"/>
                <w:b/>
                <w:bCs/>
                <w:lang w:val="pt-BR"/>
              </w:rPr>
            </w:pPr>
            <w:r w:rsidRPr="005B5418">
              <w:rPr>
                <w:rFonts w:cs="Arial"/>
                <w:b/>
                <w:bCs/>
                <w:lang w:val="pt-BR"/>
              </w:rPr>
              <w:t>Disclosure</w:t>
            </w:r>
          </w:p>
        </w:tc>
      </w:tr>
      <w:tr w:rsidR="00A03982" w:rsidRPr="005B5418" w14:paraId="418EE696" w14:textId="77777777" w:rsidTr="00935832">
        <w:trPr>
          <w:trHeight w:val="989"/>
        </w:trPr>
        <w:tc>
          <w:tcPr>
            <w:tcW w:w="5395" w:type="dxa"/>
          </w:tcPr>
          <w:p w14:paraId="0E7FD024" w14:textId="3A4F5D10" w:rsidR="00A03982" w:rsidRPr="005B5418" w:rsidRDefault="00A03982" w:rsidP="005425ED">
            <w:pPr>
              <w:pStyle w:val="FAM-Table-outline"/>
              <w:widowControl/>
              <w:numPr>
                <w:ilvl w:val="0"/>
                <w:numId w:val="126"/>
              </w:numPr>
              <w:adjustRightInd/>
              <w:spacing w:line="240" w:lineRule="auto"/>
              <w:textAlignment w:val="auto"/>
            </w:pPr>
            <w:r w:rsidRPr="005B5418">
              <w:t>If electing the transitional accommodation, does the entity disclose the election of this accommodation during the reporting period(s) covered by the accommodation period and the reporting period immediately following the accommodation period?</w:t>
            </w:r>
            <w:r w:rsidRPr="005B5418">
              <w:rPr>
                <w:rStyle w:val="FootnoteReference"/>
              </w:rPr>
              <w:footnoteReference w:id="217"/>
            </w:r>
            <w:r w:rsidRPr="005B5418">
              <w:t xml:space="preserve"> (SFFAS 54, para. 96E)</w:t>
            </w:r>
          </w:p>
        </w:tc>
        <w:tc>
          <w:tcPr>
            <w:tcW w:w="990" w:type="dxa"/>
          </w:tcPr>
          <w:p w14:paraId="5860A867" w14:textId="77777777" w:rsidR="00A03982" w:rsidRPr="005B5418" w:rsidRDefault="00A03982" w:rsidP="00A03982">
            <w:pPr>
              <w:pStyle w:val="Table-Cell-CenterBoldBefore6ptAfter6pt"/>
              <w:spacing w:before="60" w:after="60"/>
              <w:rPr>
                <w:rFonts w:cs="Arial"/>
                <w:lang w:val="pt-BR"/>
              </w:rPr>
            </w:pPr>
          </w:p>
        </w:tc>
        <w:tc>
          <w:tcPr>
            <w:tcW w:w="3330" w:type="dxa"/>
          </w:tcPr>
          <w:p w14:paraId="0F296185" w14:textId="77777777" w:rsidR="00A03982" w:rsidRPr="005B5418" w:rsidRDefault="00A03982" w:rsidP="00A03982">
            <w:pPr>
              <w:pStyle w:val="BodyTextIndent"/>
              <w:spacing w:before="60" w:after="60"/>
              <w:rPr>
                <w:rFonts w:cs="Arial"/>
                <w:lang w:val="pt-BR"/>
              </w:rPr>
            </w:pPr>
          </w:p>
        </w:tc>
      </w:tr>
      <w:tr w:rsidR="00A03982" w:rsidRPr="005B5418" w14:paraId="1A1C3DF8" w14:textId="77777777" w:rsidTr="00935832">
        <w:trPr>
          <w:trHeight w:val="395"/>
        </w:trPr>
        <w:tc>
          <w:tcPr>
            <w:tcW w:w="9715" w:type="dxa"/>
            <w:gridSpan w:val="3"/>
          </w:tcPr>
          <w:p w14:paraId="7DDCC91C" w14:textId="25E9C169" w:rsidR="00A03982" w:rsidRPr="005B5418" w:rsidRDefault="00A03982" w:rsidP="00A03982">
            <w:pPr>
              <w:pStyle w:val="BodyTextIndent"/>
              <w:spacing w:before="60" w:after="60"/>
              <w:rPr>
                <w:rFonts w:cs="Arial"/>
                <w:bCs/>
                <w:i/>
                <w:iCs/>
                <w:lang w:val="pt-BR"/>
              </w:rPr>
            </w:pPr>
            <w:r w:rsidRPr="005B5418">
              <w:rPr>
                <w:rFonts w:cs="Arial"/>
                <w:bCs/>
                <w:i/>
                <w:iCs/>
                <w:lang w:val="pt-BR"/>
              </w:rPr>
              <w:t>Contract or Agreement Combinations</w:t>
            </w:r>
          </w:p>
        </w:tc>
      </w:tr>
      <w:tr w:rsidR="00A03982" w:rsidRPr="005B5418" w14:paraId="2F50BDC3" w14:textId="77777777" w:rsidTr="00935832">
        <w:trPr>
          <w:trHeight w:val="395"/>
        </w:trPr>
        <w:tc>
          <w:tcPr>
            <w:tcW w:w="9715" w:type="dxa"/>
            <w:gridSpan w:val="3"/>
          </w:tcPr>
          <w:p w14:paraId="0FA7B17D" w14:textId="49759CFB" w:rsidR="00A03982" w:rsidRPr="005B5418" w:rsidRDefault="00A03982" w:rsidP="00A03982">
            <w:pPr>
              <w:pStyle w:val="BodyTextIndent"/>
              <w:spacing w:before="60" w:after="60"/>
              <w:rPr>
                <w:rFonts w:cs="Arial"/>
                <w:b/>
                <w:lang w:val="pt-BR"/>
              </w:rPr>
            </w:pPr>
            <w:r w:rsidRPr="005B5418">
              <w:rPr>
                <w:rFonts w:eastAsia="Arial Unicode MS"/>
                <w:b/>
                <w:szCs w:val="22"/>
              </w:rPr>
              <w:t>Accounting</w:t>
            </w:r>
          </w:p>
        </w:tc>
      </w:tr>
      <w:tr w:rsidR="00A03982" w:rsidRPr="005B5418" w14:paraId="16C0A2DE" w14:textId="77777777" w:rsidTr="00935832">
        <w:trPr>
          <w:trHeight w:val="989"/>
        </w:trPr>
        <w:tc>
          <w:tcPr>
            <w:tcW w:w="5395" w:type="dxa"/>
          </w:tcPr>
          <w:p w14:paraId="03B92D75" w14:textId="11B1F52C" w:rsidR="00A03982" w:rsidRPr="005B5418" w:rsidRDefault="00A03982" w:rsidP="005425ED">
            <w:pPr>
              <w:pStyle w:val="FAM-Table-outline"/>
              <w:widowControl/>
              <w:numPr>
                <w:ilvl w:val="0"/>
                <w:numId w:val="126"/>
              </w:numPr>
              <w:adjustRightInd/>
              <w:spacing w:line="240" w:lineRule="auto"/>
              <w:textAlignment w:val="auto"/>
            </w:pPr>
            <w:r w:rsidRPr="005B5418">
              <w:t>Does the entity consider contracts or agreements that are entered into at, or near, the same time with the same counterparty to be part of the same lease contract or agreement if either of the following criteria is met?</w:t>
            </w:r>
          </w:p>
          <w:p w14:paraId="72118A1D" w14:textId="539203A5" w:rsidR="00A03982" w:rsidRPr="005B5418" w:rsidRDefault="00A03982" w:rsidP="005425ED">
            <w:pPr>
              <w:pStyle w:val="FAM-Table-outline2"/>
              <w:spacing w:line="240" w:lineRule="auto"/>
              <w:ind w:left="1140" w:hanging="443"/>
            </w:pPr>
            <w:r w:rsidRPr="005B5418">
              <w:t>The contracts or agreements are negotiated as a package with a single objective.</w:t>
            </w:r>
          </w:p>
          <w:p w14:paraId="640C5C49" w14:textId="23A2AFBA" w:rsidR="00A03982" w:rsidRPr="005B5418" w:rsidRDefault="00A03982" w:rsidP="005425ED">
            <w:pPr>
              <w:pStyle w:val="FAM-Table-outline2"/>
              <w:spacing w:line="240" w:lineRule="auto"/>
              <w:ind w:left="1140" w:hanging="443"/>
            </w:pPr>
            <w:r w:rsidRPr="005B5418">
              <w:t xml:space="preserve">The amount of consideration to be paid in one contract or agreement depends on the price or performance of the other contract or agreement. (SFFAS 54, para. 78; also see </w:t>
            </w:r>
            <w:r w:rsidR="00C140EF" w:rsidRPr="005B5418">
              <w:t>TR 20</w:t>
            </w:r>
            <w:r w:rsidRPr="005B5418">
              <w:t>, paras. 82–83)</w:t>
            </w:r>
          </w:p>
        </w:tc>
        <w:tc>
          <w:tcPr>
            <w:tcW w:w="990" w:type="dxa"/>
          </w:tcPr>
          <w:p w14:paraId="493D5587" w14:textId="77777777" w:rsidR="00A03982" w:rsidRPr="005B5418" w:rsidRDefault="00A03982" w:rsidP="00A03982">
            <w:pPr>
              <w:pStyle w:val="Table-Cell-CenterBoldBefore6ptAfter6pt"/>
              <w:spacing w:before="60" w:after="60"/>
              <w:rPr>
                <w:rFonts w:cs="Arial"/>
                <w:lang w:val="pt-BR"/>
              </w:rPr>
            </w:pPr>
          </w:p>
        </w:tc>
        <w:tc>
          <w:tcPr>
            <w:tcW w:w="3330" w:type="dxa"/>
          </w:tcPr>
          <w:p w14:paraId="5107034B" w14:textId="77777777" w:rsidR="00A03982" w:rsidRPr="005B5418" w:rsidRDefault="00A03982" w:rsidP="00A03982">
            <w:pPr>
              <w:pStyle w:val="BodyTextIndent"/>
              <w:spacing w:before="60" w:after="60"/>
              <w:rPr>
                <w:rFonts w:cs="Arial"/>
                <w:lang w:val="pt-BR"/>
              </w:rPr>
            </w:pPr>
          </w:p>
        </w:tc>
      </w:tr>
      <w:tr w:rsidR="00A03982" w:rsidRPr="005B5418" w14:paraId="79D6AC15" w14:textId="77777777" w:rsidTr="00935832">
        <w:trPr>
          <w:trHeight w:val="989"/>
        </w:trPr>
        <w:tc>
          <w:tcPr>
            <w:tcW w:w="5395" w:type="dxa"/>
          </w:tcPr>
          <w:p w14:paraId="5AB1F4A6" w14:textId="0930B3F9" w:rsidR="00A03982" w:rsidRPr="005B5418" w:rsidRDefault="00A03982" w:rsidP="005425ED">
            <w:pPr>
              <w:pStyle w:val="FAM-Table-outline"/>
              <w:widowControl/>
              <w:numPr>
                <w:ilvl w:val="0"/>
                <w:numId w:val="126"/>
              </w:numPr>
              <w:adjustRightInd/>
              <w:spacing w:line="240" w:lineRule="auto"/>
              <w:textAlignment w:val="auto"/>
            </w:pPr>
            <w:r w:rsidRPr="005B5418">
              <w:t xml:space="preserve">If the entity determines multiple contracts or agreements to be part of the same lease contract or agreement, is that contract or agreement evaluated in accordance with the guidance for contracts or agreements with multiple components </w:t>
            </w:r>
            <w:r w:rsidR="009E1532" w:rsidRPr="005B5418">
              <w:t xml:space="preserve">in </w:t>
            </w:r>
            <w:r w:rsidRPr="005B5418">
              <w:t>SFFAS 54, paras. 72–77? (SFFAS 54, para. 79)</w:t>
            </w:r>
          </w:p>
        </w:tc>
        <w:tc>
          <w:tcPr>
            <w:tcW w:w="990" w:type="dxa"/>
          </w:tcPr>
          <w:p w14:paraId="78036C61" w14:textId="77777777" w:rsidR="00A03982" w:rsidRPr="005B5418" w:rsidRDefault="00A03982" w:rsidP="00A03982">
            <w:pPr>
              <w:pStyle w:val="Table-Cell-CenterBoldBefore6ptAfter6pt"/>
              <w:spacing w:before="60" w:after="60"/>
              <w:rPr>
                <w:rFonts w:cs="Arial"/>
                <w:lang w:val="pt-BR"/>
              </w:rPr>
            </w:pPr>
          </w:p>
        </w:tc>
        <w:tc>
          <w:tcPr>
            <w:tcW w:w="3330" w:type="dxa"/>
          </w:tcPr>
          <w:p w14:paraId="3661AA8B" w14:textId="77777777" w:rsidR="00A03982" w:rsidRPr="005B5418" w:rsidRDefault="00A03982" w:rsidP="00A03982">
            <w:pPr>
              <w:pStyle w:val="BodyTextIndent"/>
              <w:spacing w:before="60" w:after="60"/>
              <w:rPr>
                <w:rFonts w:cs="Arial"/>
                <w:lang w:val="pt-BR"/>
              </w:rPr>
            </w:pPr>
          </w:p>
        </w:tc>
      </w:tr>
      <w:tr w:rsidR="00A03982" w:rsidRPr="005B5418" w14:paraId="1EE0B0D6" w14:textId="77777777" w:rsidTr="00935832">
        <w:trPr>
          <w:trHeight w:val="323"/>
        </w:trPr>
        <w:tc>
          <w:tcPr>
            <w:tcW w:w="9715" w:type="dxa"/>
            <w:gridSpan w:val="3"/>
          </w:tcPr>
          <w:p w14:paraId="677F6F60" w14:textId="0DEBAD8D" w:rsidR="00A03982" w:rsidRPr="005B5418" w:rsidRDefault="00A03982" w:rsidP="00A03982">
            <w:pPr>
              <w:pStyle w:val="BodyTextIndent"/>
              <w:spacing w:before="60" w:after="60"/>
              <w:rPr>
                <w:rFonts w:cs="Arial"/>
                <w:i/>
                <w:iCs/>
                <w:lang w:val="pt-BR"/>
              </w:rPr>
            </w:pPr>
            <w:r w:rsidRPr="005B5418">
              <w:rPr>
                <w:rFonts w:cs="Arial"/>
                <w:b/>
                <w:i/>
                <w:iCs/>
                <w:lang w:val="pt-BR"/>
              </w:rPr>
              <w:lastRenderedPageBreak/>
              <w:t>Subleases</w:t>
            </w:r>
          </w:p>
        </w:tc>
      </w:tr>
      <w:tr w:rsidR="00A03982" w:rsidRPr="005B5418" w14:paraId="7A301DE1" w14:textId="77777777" w:rsidTr="00935832">
        <w:trPr>
          <w:trHeight w:val="989"/>
        </w:trPr>
        <w:tc>
          <w:tcPr>
            <w:tcW w:w="9715" w:type="dxa"/>
            <w:gridSpan w:val="3"/>
          </w:tcPr>
          <w:p w14:paraId="60594288" w14:textId="2239B89A" w:rsidR="00A03982" w:rsidRPr="005B5418" w:rsidRDefault="00A03982" w:rsidP="00A03982">
            <w:pPr>
              <w:autoSpaceDE w:val="0"/>
              <w:autoSpaceDN w:val="0"/>
              <w:adjustRightInd w:val="0"/>
              <w:rPr>
                <w:rFonts w:ascii="Arial" w:hAnsi="Arial" w:cs="Arial"/>
              </w:rPr>
            </w:pPr>
            <w:r w:rsidRPr="005B5418">
              <w:rPr>
                <w:rFonts w:ascii="Arial" w:hAnsi="Arial" w:cs="Arial"/>
              </w:rPr>
              <w:t xml:space="preserve">A sublease involves two separate transactions (the original lease and the sublease) among three parties: (1) the original lessor, (2) the original lessee (which also is the lessor in the sublease), and (3) the new lessee. </w:t>
            </w:r>
          </w:p>
          <w:p w14:paraId="5B5A47D3" w14:textId="77777777" w:rsidR="00A03982" w:rsidRPr="005B5418" w:rsidRDefault="00A03982" w:rsidP="007A7A92">
            <w:pPr>
              <w:pStyle w:val="ListParagraph"/>
              <w:numPr>
                <w:ilvl w:val="0"/>
                <w:numId w:val="120"/>
              </w:numPr>
              <w:autoSpaceDE w:val="0"/>
              <w:autoSpaceDN w:val="0"/>
              <w:spacing w:line="240" w:lineRule="auto"/>
              <w:jc w:val="left"/>
              <w:rPr>
                <w:rFonts w:cs="Arial"/>
                <w:sz w:val="22"/>
                <w:szCs w:val="22"/>
              </w:rPr>
            </w:pPr>
            <w:r w:rsidRPr="005B5418">
              <w:rPr>
                <w:rFonts w:cs="Arial"/>
                <w:sz w:val="22"/>
                <w:szCs w:val="22"/>
              </w:rPr>
              <w:t xml:space="preserve">The original lessor should continue to apply the general lessor guidance. </w:t>
            </w:r>
          </w:p>
          <w:p w14:paraId="3182637D" w14:textId="77777777" w:rsidR="00A03982" w:rsidRPr="005B5418" w:rsidRDefault="00A03982" w:rsidP="007A7A92">
            <w:pPr>
              <w:pStyle w:val="ListParagraph"/>
              <w:numPr>
                <w:ilvl w:val="0"/>
                <w:numId w:val="120"/>
              </w:numPr>
              <w:autoSpaceDE w:val="0"/>
              <w:autoSpaceDN w:val="0"/>
              <w:spacing w:line="240" w:lineRule="auto"/>
              <w:jc w:val="left"/>
              <w:rPr>
                <w:rFonts w:cs="Arial"/>
                <w:sz w:val="22"/>
                <w:szCs w:val="22"/>
              </w:rPr>
            </w:pPr>
            <w:r w:rsidRPr="005B5418">
              <w:rPr>
                <w:rFonts w:cs="Arial"/>
                <w:sz w:val="22"/>
                <w:szCs w:val="22"/>
              </w:rPr>
              <w:t xml:space="preserve">The federal entity that is the original lessee and becomes the lessor in the sublease should account for the original lease and the sublease as two separate transactions, as a lessee and a lessor, respectively. Those two separate transactions should not be offset against one another. </w:t>
            </w:r>
          </w:p>
          <w:p w14:paraId="722F7338" w14:textId="77777777" w:rsidR="00A03982" w:rsidRPr="005B5418" w:rsidRDefault="00A03982" w:rsidP="00A03982">
            <w:pPr>
              <w:pStyle w:val="ListParagraph"/>
              <w:numPr>
                <w:ilvl w:val="0"/>
                <w:numId w:val="120"/>
              </w:numPr>
              <w:autoSpaceDE w:val="0"/>
              <w:autoSpaceDN w:val="0"/>
              <w:spacing w:line="240" w:lineRule="auto"/>
              <w:rPr>
                <w:rFonts w:cs="Arial"/>
                <w:sz w:val="22"/>
                <w:szCs w:val="22"/>
              </w:rPr>
            </w:pPr>
            <w:r w:rsidRPr="005B5418">
              <w:rPr>
                <w:rFonts w:cs="Arial"/>
                <w:sz w:val="22"/>
                <w:szCs w:val="22"/>
              </w:rPr>
              <w:t xml:space="preserve">The new lessee should apply the general lessee guidance. </w:t>
            </w:r>
          </w:p>
          <w:p w14:paraId="2164301E" w14:textId="77777777" w:rsidR="00A03982" w:rsidRPr="005B5418" w:rsidRDefault="00A03982" w:rsidP="00A03982">
            <w:pPr>
              <w:autoSpaceDE w:val="0"/>
              <w:autoSpaceDN w:val="0"/>
              <w:spacing w:line="240" w:lineRule="auto"/>
              <w:rPr>
                <w:rFonts w:ascii="Arial" w:hAnsi="Arial" w:cs="Arial"/>
              </w:rPr>
            </w:pPr>
            <w:r w:rsidRPr="005B5418">
              <w:rPr>
                <w:rFonts w:ascii="Arial" w:hAnsi="Arial" w:cs="Arial"/>
              </w:rPr>
              <w:t>(SFFAS 54, para. 87)</w:t>
            </w:r>
          </w:p>
          <w:p w14:paraId="1B96C3A5" w14:textId="2275CAC5" w:rsidR="00A03982" w:rsidRPr="005B5418" w:rsidRDefault="00A03982" w:rsidP="00A03982">
            <w:pPr>
              <w:autoSpaceDE w:val="0"/>
              <w:autoSpaceDN w:val="0"/>
              <w:spacing w:line="240" w:lineRule="auto"/>
              <w:rPr>
                <w:rFonts w:ascii="Arial" w:hAnsi="Arial" w:cs="Arial"/>
              </w:rPr>
            </w:pPr>
            <w:r w:rsidRPr="005B5418">
              <w:rPr>
                <w:rFonts w:ascii="Arial" w:hAnsi="Arial" w:cs="Arial"/>
              </w:rPr>
              <w:t>The requirements in paragraphs 87–88 of SFFAS 54 apply if an entity entering into a lease agreement on behalf of the U.S. government is acting in a principal capacity, where the entity is generally responsible for an original lease with the nonfederal lessor and a sublease with the entity expected to derive the economic benefits and services of the underlying assets. However, if an entity entering into an agreement is acting in an agent capacity (i.e., similar to a broker),</w:t>
            </w:r>
            <w:r w:rsidRPr="005B5418">
              <w:rPr>
                <w:rStyle w:val="FootnoteReference"/>
                <w:rFonts w:ascii="Arial" w:hAnsi="Arial" w:cs="Arial"/>
              </w:rPr>
              <w:footnoteReference w:id="218"/>
            </w:r>
            <w:r w:rsidRPr="005B5418">
              <w:rPr>
                <w:rFonts w:ascii="Arial" w:hAnsi="Arial" w:cs="Arial"/>
              </w:rPr>
              <w:t xml:space="preserve"> the entity would not account for the lease. (</w:t>
            </w:r>
            <w:r w:rsidR="00C140EF" w:rsidRPr="005B5418">
              <w:rPr>
                <w:rFonts w:ascii="Arial" w:hAnsi="Arial" w:cs="Arial"/>
              </w:rPr>
              <w:t>TR 20</w:t>
            </w:r>
            <w:r w:rsidRPr="005B5418">
              <w:rPr>
                <w:rFonts w:ascii="Arial" w:hAnsi="Arial" w:cs="Arial"/>
              </w:rPr>
              <w:t>, para. 91)</w:t>
            </w:r>
          </w:p>
          <w:p w14:paraId="01DC5521" w14:textId="77777777" w:rsidR="00A03982" w:rsidRPr="005B5418" w:rsidRDefault="00A03982" w:rsidP="00A03982">
            <w:pPr>
              <w:autoSpaceDE w:val="0"/>
              <w:autoSpaceDN w:val="0"/>
              <w:spacing w:line="240" w:lineRule="auto"/>
              <w:rPr>
                <w:rFonts w:ascii="Arial" w:hAnsi="Arial" w:cs="Arial"/>
              </w:rPr>
            </w:pPr>
            <w:r w:rsidRPr="005B5418">
              <w:rPr>
                <w:rFonts w:ascii="Arial" w:hAnsi="Arial" w:cs="Arial"/>
              </w:rPr>
              <w:t xml:space="preserve">For entities participating in overseas leasing pools, please also refer to A-136, section II.3.2.4. </w:t>
            </w:r>
          </w:p>
          <w:p w14:paraId="7CBA91B3" w14:textId="1BF0A3A9" w:rsidR="00A03982" w:rsidRPr="005B5418" w:rsidRDefault="00A03982" w:rsidP="00A03982">
            <w:pPr>
              <w:autoSpaceDE w:val="0"/>
              <w:autoSpaceDN w:val="0"/>
              <w:adjustRightInd w:val="0"/>
              <w:spacing w:after="0" w:line="240" w:lineRule="auto"/>
              <w:rPr>
                <w:rFonts w:ascii="Arial" w:hAnsi="Arial" w:cs="Arial"/>
              </w:rPr>
            </w:pPr>
            <w:r w:rsidRPr="005B5418">
              <w:rPr>
                <w:rFonts w:ascii="Arial" w:hAnsi="Arial" w:cs="Arial"/>
              </w:rPr>
              <w:t>The requirements in paragraphs 87–88 of SFFAS 54 also apply to short-term and intragovernmental leases that are part of sublease transactions. (</w:t>
            </w:r>
            <w:r w:rsidR="00C140EF" w:rsidRPr="005B5418">
              <w:rPr>
                <w:rFonts w:ascii="Arial" w:hAnsi="Arial" w:cs="Arial"/>
              </w:rPr>
              <w:t>TR 20</w:t>
            </w:r>
            <w:r w:rsidRPr="005B5418">
              <w:rPr>
                <w:rFonts w:ascii="Arial" w:hAnsi="Arial" w:cs="Arial"/>
              </w:rPr>
              <w:t>, para. 90)</w:t>
            </w:r>
          </w:p>
          <w:p w14:paraId="1875CC6D" w14:textId="77777777" w:rsidR="00A03982" w:rsidRPr="005B5418" w:rsidRDefault="00A03982" w:rsidP="00A03982">
            <w:pPr>
              <w:pStyle w:val="BodyTextIndent"/>
              <w:spacing w:before="60" w:after="60"/>
              <w:rPr>
                <w:rFonts w:cs="Arial"/>
                <w:lang w:val="pt-BR"/>
              </w:rPr>
            </w:pPr>
          </w:p>
        </w:tc>
      </w:tr>
      <w:tr w:rsidR="00A03982" w:rsidRPr="005B5418" w14:paraId="5DCF2F57" w14:textId="77777777" w:rsidTr="00935832">
        <w:trPr>
          <w:trHeight w:val="989"/>
        </w:trPr>
        <w:tc>
          <w:tcPr>
            <w:tcW w:w="5395" w:type="dxa"/>
          </w:tcPr>
          <w:p w14:paraId="7E3FAB52" w14:textId="560BF8F0" w:rsidR="00A03982" w:rsidRPr="005B5418" w:rsidRDefault="00A03982" w:rsidP="005425ED">
            <w:pPr>
              <w:pStyle w:val="FAM-Table-outline"/>
              <w:widowControl/>
              <w:numPr>
                <w:ilvl w:val="0"/>
                <w:numId w:val="126"/>
              </w:numPr>
              <w:adjustRightInd/>
              <w:spacing w:line="240" w:lineRule="auto"/>
              <w:textAlignment w:val="auto"/>
            </w:pPr>
            <w:r w:rsidRPr="005B5418">
              <w:t>Are subleases applicable to the entity’s financial statements? (Answer Y if applicable, N/A if not applicable, or N/S if not significant. If N/A or N/S, skip to the next subtopic.)</w:t>
            </w:r>
          </w:p>
        </w:tc>
        <w:tc>
          <w:tcPr>
            <w:tcW w:w="990" w:type="dxa"/>
          </w:tcPr>
          <w:p w14:paraId="6B9C6398" w14:textId="77777777" w:rsidR="00A03982" w:rsidRPr="005B5418" w:rsidRDefault="00A03982" w:rsidP="00A03982">
            <w:pPr>
              <w:pStyle w:val="Table-Cell-CenterBoldBefore6ptAfter6pt"/>
              <w:spacing w:before="60" w:after="60"/>
              <w:rPr>
                <w:rFonts w:cs="Arial"/>
                <w:lang w:val="pt-BR"/>
              </w:rPr>
            </w:pPr>
          </w:p>
        </w:tc>
        <w:tc>
          <w:tcPr>
            <w:tcW w:w="3330" w:type="dxa"/>
          </w:tcPr>
          <w:p w14:paraId="69A5B354" w14:textId="77777777" w:rsidR="00A03982" w:rsidRPr="005B5418" w:rsidRDefault="00A03982" w:rsidP="00A03982">
            <w:pPr>
              <w:pStyle w:val="BodyTextIndent"/>
              <w:spacing w:before="60" w:after="60"/>
              <w:rPr>
                <w:rFonts w:cs="Arial"/>
                <w:lang w:val="pt-BR"/>
              </w:rPr>
            </w:pPr>
          </w:p>
        </w:tc>
      </w:tr>
      <w:tr w:rsidR="00A03982" w:rsidRPr="005B5418" w14:paraId="3ABF7FA0" w14:textId="77777777" w:rsidTr="00935832">
        <w:trPr>
          <w:trHeight w:val="377"/>
        </w:trPr>
        <w:tc>
          <w:tcPr>
            <w:tcW w:w="9715" w:type="dxa"/>
            <w:gridSpan w:val="3"/>
          </w:tcPr>
          <w:p w14:paraId="2B0D5D42" w14:textId="59910592" w:rsidR="00A03982" w:rsidRPr="005B5418" w:rsidRDefault="00A03982" w:rsidP="00A03982">
            <w:pPr>
              <w:pStyle w:val="BodyTextIndent"/>
              <w:spacing w:before="60" w:after="60"/>
              <w:rPr>
                <w:rFonts w:cs="Arial"/>
                <w:lang w:val="pt-BR"/>
              </w:rPr>
            </w:pPr>
            <w:r w:rsidRPr="005B5418">
              <w:rPr>
                <w:rFonts w:eastAsia="Arial Unicode MS"/>
                <w:b/>
                <w:szCs w:val="22"/>
              </w:rPr>
              <w:t>Accounting</w:t>
            </w:r>
          </w:p>
        </w:tc>
      </w:tr>
      <w:tr w:rsidR="00A03982" w:rsidRPr="005B5418" w14:paraId="1D930513" w14:textId="77777777" w:rsidTr="00935832">
        <w:trPr>
          <w:trHeight w:val="989"/>
        </w:trPr>
        <w:tc>
          <w:tcPr>
            <w:tcW w:w="5395" w:type="dxa"/>
          </w:tcPr>
          <w:p w14:paraId="45372B07" w14:textId="2459E223" w:rsidR="00A03982" w:rsidRPr="005B5418" w:rsidRDefault="00A03982" w:rsidP="005425ED">
            <w:pPr>
              <w:pStyle w:val="FAM-Table-outline"/>
              <w:widowControl/>
              <w:numPr>
                <w:ilvl w:val="0"/>
                <w:numId w:val="126"/>
              </w:numPr>
              <w:adjustRightInd/>
              <w:spacing w:line="240" w:lineRule="auto"/>
              <w:textAlignment w:val="auto"/>
            </w:pPr>
            <w:r w:rsidRPr="005B5418">
              <w:t>If the entity is the original lessee of the original lease, and becomes the lessor in the sublease, does the entity account for the original lease and the sublease as two separate transactions, as a lessee and a lessor, respectively (i.e., the transactions are not offset against one another)? (SFFAS 54, para. 87)</w:t>
            </w:r>
          </w:p>
        </w:tc>
        <w:tc>
          <w:tcPr>
            <w:tcW w:w="990" w:type="dxa"/>
          </w:tcPr>
          <w:p w14:paraId="707A8681" w14:textId="77777777" w:rsidR="00A03982" w:rsidRPr="005B5418" w:rsidRDefault="00A03982" w:rsidP="00A03982">
            <w:pPr>
              <w:pStyle w:val="Table-Cell-CenterBoldBefore6ptAfter6pt"/>
              <w:spacing w:before="60" w:after="60"/>
              <w:rPr>
                <w:rFonts w:cs="Arial"/>
                <w:lang w:val="pt-BR"/>
              </w:rPr>
            </w:pPr>
          </w:p>
        </w:tc>
        <w:tc>
          <w:tcPr>
            <w:tcW w:w="3330" w:type="dxa"/>
          </w:tcPr>
          <w:p w14:paraId="2786F056" w14:textId="77777777" w:rsidR="00A03982" w:rsidRPr="005B5418" w:rsidRDefault="00A03982" w:rsidP="00A03982">
            <w:pPr>
              <w:pStyle w:val="BodyTextIndent"/>
              <w:spacing w:before="60" w:after="60"/>
              <w:rPr>
                <w:rFonts w:cs="Arial"/>
                <w:lang w:val="pt-BR"/>
              </w:rPr>
            </w:pPr>
          </w:p>
        </w:tc>
      </w:tr>
      <w:tr w:rsidR="00A03982" w:rsidRPr="005B5418" w14:paraId="52D6D69C" w14:textId="77777777" w:rsidTr="00935832">
        <w:trPr>
          <w:trHeight w:val="341"/>
        </w:trPr>
        <w:tc>
          <w:tcPr>
            <w:tcW w:w="9715" w:type="dxa"/>
            <w:gridSpan w:val="3"/>
          </w:tcPr>
          <w:p w14:paraId="741132CD" w14:textId="74046E05" w:rsidR="00A03982" w:rsidRPr="005B5418" w:rsidRDefault="00A03982" w:rsidP="00A03982">
            <w:pPr>
              <w:pStyle w:val="BodyTextIndent"/>
              <w:spacing w:before="60" w:after="60"/>
              <w:rPr>
                <w:rFonts w:cs="Arial"/>
                <w:lang w:val="pt-BR"/>
              </w:rPr>
            </w:pPr>
            <w:r w:rsidRPr="005B5418">
              <w:rPr>
                <w:rFonts w:eastAsia="Arial Unicode MS"/>
                <w:b/>
                <w:szCs w:val="22"/>
              </w:rPr>
              <w:t>Disclosure</w:t>
            </w:r>
          </w:p>
        </w:tc>
      </w:tr>
      <w:tr w:rsidR="00A03982" w:rsidRPr="005B5418" w14:paraId="7C95687B" w14:textId="77777777" w:rsidTr="00935832">
        <w:trPr>
          <w:trHeight w:val="989"/>
        </w:trPr>
        <w:tc>
          <w:tcPr>
            <w:tcW w:w="5395" w:type="dxa"/>
          </w:tcPr>
          <w:p w14:paraId="3810BB5F" w14:textId="12CF2862" w:rsidR="00A03982" w:rsidRPr="005B5418" w:rsidRDefault="00A03982" w:rsidP="005425ED">
            <w:pPr>
              <w:pStyle w:val="FAM-Table-outline"/>
              <w:widowControl/>
              <w:numPr>
                <w:ilvl w:val="0"/>
                <w:numId w:val="126"/>
              </w:numPr>
              <w:adjustRightInd/>
              <w:spacing w:line="240" w:lineRule="auto"/>
              <w:textAlignment w:val="auto"/>
            </w:pPr>
            <w:r w:rsidRPr="005B5418">
              <w:lastRenderedPageBreak/>
              <w:t>Does the entity as original lessee/new lessor include the sublease in its disclosure of the general description of lease arrangements? (SFFAS 54, para. 88)</w:t>
            </w:r>
          </w:p>
        </w:tc>
        <w:tc>
          <w:tcPr>
            <w:tcW w:w="990" w:type="dxa"/>
          </w:tcPr>
          <w:p w14:paraId="74F100DA" w14:textId="77777777" w:rsidR="00A03982" w:rsidRPr="005B5418" w:rsidRDefault="00A03982" w:rsidP="00A03982">
            <w:pPr>
              <w:pStyle w:val="Table-Cell-CenterBoldBefore6ptAfter6pt"/>
              <w:spacing w:before="60" w:after="60"/>
              <w:rPr>
                <w:rFonts w:cs="Arial"/>
                <w:lang w:val="pt-BR"/>
              </w:rPr>
            </w:pPr>
          </w:p>
        </w:tc>
        <w:tc>
          <w:tcPr>
            <w:tcW w:w="3330" w:type="dxa"/>
          </w:tcPr>
          <w:p w14:paraId="5CBAA720" w14:textId="77777777" w:rsidR="00A03982" w:rsidRPr="005B5418" w:rsidRDefault="00A03982" w:rsidP="00A03982">
            <w:pPr>
              <w:pStyle w:val="BodyTextIndent"/>
              <w:spacing w:before="60" w:after="60"/>
              <w:rPr>
                <w:rFonts w:cs="Arial"/>
                <w:lang w:val="pt-BR"/>
              </w:rPr>
            </w:pPr>
          </w:p>
        </w:tc>
      </w:tr>
      <w:tr w:rsidR="00A03982" w:rsidRPr="005B5418" w14:paraId="4A374DC2" w14:textId="77777777" w:rsidTr="00935832">
        <w:trPr>
          <w:trHeight w:val="989"/>
        </w:trPr>
        <w:tc>
          <w:tcPr>
            <w:tcW w:w="5395" w:type="dxa"/>
          </w:tcPr>
          <w:p w14:paraId="7C692748" w14:textId="68D02004" w:rsidR="00A03982" w:rsidRPr="005B5418" w:rsidRDefault="00A03982" w:rsidP="005425ED">
            <w:pPr>
              <w:pStyle w:val="FAM-Table-outline"/>
              <w:widowControl/>
              <w:numPr>
                <w:ilvl w:val="0"/>
                <w:numId w:val="126"/>
              </w:numPr>
              <w:adjustRightInd/>
              <w:spacing w:line="240" w:lineRule="auto"/>
              <w:textAlignment w:val="auto"/>
            </w:pPr>
            <w:r w:rsidRPr="005B5418">
              <w:t>Does the entity as original lessee/new lessor disclose lessor transactions related to subleases separately from its lessee transactions related to the original lease? (SFFAS 54, para. 88)</w:t>
            </w:r>
          </w:p>
        </w:tc>
        <w:tc>
          <w:tcPr>
            <w:tcW w:w="990" w:type="dxa"/>
          </w:tcPr>
          <w:p w14:paraId="6915029E" w14:textId="77777777" w:rsidR="00A03982" w:rsidRPr="005B5418" w:rsidRDefault="00A03982" w:rsidP="00A03982">
            <w:pPr>
              <w:pStyle w:val="Table-Cell-CenterBoldBefore6ptAfter6pt"/>
              <w:spacing w:before="60" w:after="60"/>
              <w:rPr>
                <w:rFonts w:cs="Arial"/>
                <w:lang w:val="pt-BR"/>
              </w:rPr>
            </w:pPr>
          </w:p>
        </w:tc>
        <w:tc>
          <w:tcPr>
            <w:tcW w:w="3330" w:type="dxa"/>
          </w:tcPr>
          <w:p w14:paraId="66126533" w14:textId="77777777" w:rsidR="00A03982" w:rsidRPr="005B5418" w:rsidRDefault="00A03982" w:rsidP="00A03982">
            <w:pPr>
              <w:pStyle w:val="BodyTextIndent"/>
              <w:spacing w:before="60" w:after="60"/>
              <w:rPr>
                <w:rFonts w:cs="Arial"/>
                <w:lang w:val="pt-BR"/>
              </w:rPr>
            </w:pPr>
          </w:p>
        </w:tc>
      </w:tr>
      <w:tr w:rsidR="00A03982" w:rsidRPr="005B5418" w14:paraId="569AF9D5" w14:textId="77777777" w:rsidTr="00935832">
        <w:trPr>
          <w:trHeight w:val="341"/>
        </w:trPr>
        <w:tc>
          <w:tcPr>
            <w:tcW w:w="9715" w:type="dxa"/>
            <w:gridSpan w:val="3"/>
          </w:tcPr>
          <w:p w14:paraId="4FD5C2B2" w14:textId="3507E44C" w:rsidR="00A03982" w:rsidRPr="005B5418" w:rsidRDefault="00A03982" w:rsidP="00A03982">
            <w:pPr>
              <w:pStyle w:val="BodyTextIndent"/>
              <w:spacing w:before="60" w:after="60"/>
              <w:rPr>
                <w:rFonts w:cs="Arial"/>
                <w:i/>
                <w:iCs/>
                <w:lang w:val="pt-BR"/>
              </w:rPr>
            </w:pPr>
            <w:r w:rsidRPr="005B5418">
              <w:rPr>
                <w:rFonts w:cs="Arial"/>
                <w:b/>
                <w:i/>
                <w:iCs/>
                <w:lang w:val="pt-BR"/>
              </w:rPr>
              <w:t>Sale-Leaseback</w:t>
            </w:r>
          </w:p>
        </w:tc>
      </w:tr>
      <w:tr w:rsidR="00A03982" w:rsidRPr="005B5418" w14:paraId="5A6CDF32" w14:textId="77777777" w:rsidTr="00935832">
        <w:trPr>
          <w:trHeight w:val="989"/>
        </w:trPr>
        <w:tc>
          <w:tcPr>
            <w:tcW w:w="9715" w:type="dxa"/>
            <w:gridSpan w:val="3"/>
          </w:tcPr>
          <w:p w14:paraId="078D7FCF" w14:textId="27450F1D" w:rsidR="00A03982" w:rsidRPr="005B5418" w:rsidRDefault="00A03982" w:rsidP="00A03982">
            <w:pPr>
              <w:pStyle w:val="BodyTextIndent"/>
              <w:spacing w:before="60" w:after="60"/>
              <w:ind w:left="0"/>
              <w:rPr>
                <w:rFonts w:cs="Arial"/>
                <w:lang w:val="pt-BR"/>
              </w:rPr>
            </w:pPr>
            <w:r w:rsidRPr="005B5418">
              <w:rPr>
                <w:rFonts w:cs="Arial"/>
              </w:rPr>
              <w:t xml:space="preserve">Sale-leaseback transactions involve the sale of an underlying asset by the owner and a lease of the property back to the seller (original owner). A sale-leaseback should include a transaction that qualifies as a sale to be eligible for sale-leaseback accounting. A sale-leaseback transaction that does not include a transaction that qualifies as a sale should be accounted for as a borrowing by both the seller-lessee and the buyer-lessor. (SFFAS 54, para. 89; also see </w:t>
            </w:r>
            <w:r w:rsidR="00C140EF" w:rsidRPr="005B5418">
              <w:rPr>
                <w:rFonts w:cs="Arial"/>
              </w:rPr>
              <w:t>TR 20</w:t>
            </w:r>
            <w:r w:rsidRPr="005B5418">
              <w:rPr>
                <w:rFonts w:cs="Arial"/>
              </w:rPr>
              <w:t>, paras. 92–93) This checklist does not provide questions for sale-leaseback transactions, given their rarity.</w:t>
            </w:r>
          </w:p>
        </w:tc>
      </w:tr>
      <w:tr w:rsidR="00A03982" w:rsidRPr="005B5418" w14:paraId="5123C6B2" w14:textId="77777777" w:rsidTr="00935832">
        <w:trPr>
          <w:trHeight w:val="251"/>
        </w:trPr>
        <w:tc>
          <w:tcPr>
            <w:tcW w:w="9715" w:type="dxa"/>
            <w:gridSpan w:val="3"/>
          </w:tcPr>
          <w:p w14:paraId="5973F8FC" w14:textId="035ED958" w:rsidR="00A03982" w:rsidRPr="005B5418" w:rsidRDefault="00A03982" w:rsidP="00A03982">
            <w:pPr>
              <w:pStyle w:val="BodyTextIndent"/>
              <w:spacing w:before="60" w:after="60"/>
              <w:rPr>
                <w:rFonts w:cs="Arial"/>
                <w:i/>
                <w:iCs/>
                <w:lang w:val="pt-BR"/>
              </w:rPr>
            </w:pPr>
            <w:r w:rsidRPr="005B5418">
              <w:rPr>
                <w:rFonts w:cs="Arial"/>
                <w:b/>
                <w:i/>
                <w:iCs/>
                <w:lang w:val="pt-BR"/>
              </w:rPr>
              <w:t>Lease-Leaseback</w:t>
            </w:r>
          </w:p>
        </w:tc>
      </w:tr>
      <w:tr w:rsidR="00A03982" w:rsidRPr="005B5418" w14:paraId="69E4AE5D" w14:textId="77777777" w:rsidTr="00935832">
        <w:trPr>
          <w:trHeight w:val="629"/>
        </w:trPr>
        <w:tc>
          <w:tcPr>
            <w:tcW w:w="9715" w:type="dxa"/>
            <w:gridSpan w:val="3"/>
          </w:tcPr>
          <w:p w14:paraId="62EE04C2" w14:textId="77777777" w:rsidR="00A03982" w:rsidRPr="005B5418" w:rsidRDefault="00A03982" w:rsidP="00A03982">
            <w:pPr>
              <w:autoSpaceDE w:val="0"/>
              <w:autoSpaceDN w:val="0"/>
              <w:adjustRightInd w:val="0"/>
              <w:rPr>
                <w:rFonts w:ascii="Arial" w:hAnsi="Arial" w:cs="Arial"/>
              </w:rPr>
            </w:pPr>
            <w:r w:rsidRPr="005B5418">
              <w:rPr>
                <w:rFonts w:ascii="Arial" w:hAnsi="Arial" w:cs="Arial"/>
              </w:rPr>
              <w:t xml:space="preserve">In a lease-leaseback transaction, an asset is leased by one party (first party) to another party and then leased back to the first party. The leaseback may involve an additional asset (such as leasing a building that has been constructed by a developer on land owned by and leased back to a federal entity) or only a portion of the original asset (such as leasing back only one floor of a building to the owner). </w:t>
            </w:r>
          </w:p>
          <w:p w14:paraId="5DD25A72" w14:textId="1F61A06E" w:rsidR="00A03982" w:rsidRPr="005B5418" w:rsidRDefault="00A03982" w:rsidP="00A03982">
            <w:pPr>
              <w:autoSpaceDE w:val="0"/>
              <w:autoSpaceDN w:val="0"/>
              <w:adjustRightInd w:val="0"/>
              <w:rPr>
                <w:rFonts w:cs="Arial"/>
              </w:rPr>
            </w:pPr>
            <w:r w:rsidRPr="005B5418">
              <w:rPr>
                <w:rFonts w:ascii="Arial" w:hAnsi="Arial" w:cs="Arial"/>
              </w:rPr>
              <w:t xml:space="preserve">The lease-leaseback transaction should be displayed in the financial statements as a net transaction. The reporting entity’s disclosure should present the lease and leaseback as separate transactions. (SFFAS 54, para. 93; also see </w:t>
            </w:r>
            <w:r w:rsidR="00C140EF" w:rsidRPr="005B5418">
              <w:rPr>
                <w:rFonts w:ascii="Arial" w:hAnsi="Arial" w:cs="Arial"/>
              </w:rPr>
              <w:t>TR 20</w:t>
            </w:r>
            <w:r w:rsidRPr="005B5418">
              <w:rPr>
                <w:rFonts w:ascii="Arial" w:hAnsi="Arial" w:cs="Arial"/>
              </w:rPr>
              <w:t>, paras. 94–96)</w:t>
            </w:r>
          </w:p>
        </w:tc>
      </w:tr>
      <w:tr w:rsidR="00A03982" w:rsidRPr="005B5418" w14:paraId="679F60F1" w14:textId="77777777" w:rsidTr="00935832">
        <w:trPr>
          <w:trHeight w:val="296"/>
        </w:trPr>
        <w:tc>
          <w:tcPr>
            <w:tcW w:w="9715" w:type="dxa"/>
            <w:gridSpan w:val="3"/>
          </w:tcPr>
          <w:p w14:paraId="0B917E1A" w14:textId="04AF34A7" w:rsidR="00A03982" w:rsidRPr="005B5418" w:rsidRDefault="00A03982" w:rsidP="00A03982">
            <w:pPr>
              <w:pStyle w:val="BodyTextIndent"/>
              <w:spacing w:before="60" w:after="60"/>
              <w:rPr>
                <w:rFonts w:cs="Arial"/>
                <w:lang w:val="pt-BR"/>
              </w:rPr>
            </w:pPr>
            <w:r w:rsidRPr="005B5418">
              <w:rPr>
                <w:rFonts w:eastAsia="Arial Unicode MS"/>
                <w:b/>
                <w:szCs w:val="22"/>
              </w:rPr>
              <w:t>Accounting</w:t>
            </w:r>
          </w:p>
        </w:tc>
      </w:tr>
      <w:tr w:rsidR="00A03982" w:rsidRPr="005B5418" w14:paraId="4AB67AA8" w14:textId="77777777" w:rsidTr="00935832">
        <w:trPr>
          <w:trHeight w:val="989"/>
        </w:trPr>
        <w:tc>
          <w:tcPr>
            <w:tcW w:w="5395" w:type="dxa"/>
          </w:tcPr>
          <w:p w14:paraId="5BAEE323" w14:textId="7F546E14" w:rsidR="00A03982" w:rsidRPr="005B5418" w:rsidRDefault="00A03982" w:rsidP="005425ED">
            <w:pPr>
              <w:pStyle w:val="FAM-Table-outline"/>
              <w:widowControl/>
              <w:numPr>
                <w:ilvl w:val="0"/>
                <w:numId w:val="126"/>
              </w:numPr>
              <w:adjustRightInd/>
              <w:spacing w:line="240" w:lineRule="auto"/>
              <w:textAlignment w:val="auto"/>
            </w:pPr>
            <w:r w:rsidRPr="005B5418">
              <w:t>Does the entity display on the financial statements the lease-leaseback transaction as a net transaction? (SFFAS 54, para. 93; TR 20, para. 94)</w:t>
            </w:r>
          </w:p>
        </w:tc>
        <w:tc>
          <w:tcPr>
            <w:tcW w:w="990" w:type="dxa"/>
          </w:tcPr>
          <w:p w14:paraId="5F4CA6C8" w14:textId="77777777" w:rsidR="00A03982" w:rsidRPr="005B5418" w:rsidRDefault="00A03982" w:rsidP="00A03982">
            <w:pPr>
              <w:pStyle w:val="Table-Cell-CenterBoldBefore6ptAfter6pt"/>
              <w:spacing w:before="60" w:after="60"/>
              <w:rPr>
                <w:rFonts w:cs="Arial"/>
                <w:lang w:val="pt-BR"/>
              </w:rPr>
            </w:pPr>
          </w:p>
        </w:tc>
        <w:tc>
          <w:tcPr>
            <w:tcW w:w="3330" w:type="dxa"/>
          </w:tcPr>
          <w:p w14:paraId="1AA7242B" w14:textId="77777777" w:rsidR="00A03982" w:rsidRPr="005B5418" w:rsidRDefault="00A03982" w:rsidP="00A03982">
            <w:pPr>
              <w:pStyle w:val="BodyTextIndent"/>
              <w:spacing w:before="60" w:after="60"/>
              <w:rPr>
                <w:rFonts w:cs="Arial"/>
                <w:lang w:val="pt-BR"/>
              </w:rPr>
            </w:pPr>
          </w:p>
        </w:tc>
      </w:tr>
      <w:tr w:rsidR="00A03982" w:rsidRPr="005B5418" w14:paraId="64A6BBB2" w14:textId="77777777" w:rsidTr="00935832">
        <w:trPr>
          <w:trHeight w:val="242"/>
        </w:trPr>
        <w:tc>
          <w:tcPr>
            <w:tcW w:w="9715" w:type="dxa"/>
            <w:gridSpan w:val="3"/>
          </w:tcPr>
          <w:p w14:paraId="17BDBA74" w14:textId="1A953913" w:rsidR="00A03982" w:rsidRPr="005B5418" w:rsidRDefault="00A03982" w:rsidP="00A03982">
            <w:pPr>
              <w:pStyle w:val="BodyTextIndent"/>
              <w:spacing w:before="60" w:after="60"/>
              <w:rPr>
                <w:rFonts w:cs="Arial"/>
                <w:lang w:val="pt-BR"/>
              </w:rPr>
            </w:pPr>
            <w:r w:rsidRPr="005B5418">
              <w:rPr>
                <w:rFonts w:eastAsia="Arial Unicode MS"/>
                <w:b/>
                <w:szCs w:val="22"/>
              </w:rPr>
              <w:t>Disclosure</w:t>
            </w:r>
          </w:p>
        </w:tc>
      </w:tr>
      <w:tr w:rsidR="00A03982" w:rsidRPr="005B5418" w14:paraId="267BDC58" w14:textId="77777777" w:rsidTr="00935832">
        <w:trPr>
          <w:trHeight w:val="989"/>
        </w:trPr>
        <w:tc>
          <w:tcPr>
            <w:tcW w:w="5395" w:type="dxa"/>
          </w:tcPr>
          <w:p w14:paraId="41EBE9EA" w14:textId="49B4A98E" w:rsidR="00A03982" w:rsidRPr="005B5418" w:rsidRDefault="00A03982" w:rsidP="005425ED">
            <w:pPr>
              <w:pStyle w:val="FAM-Table-outline"/>
              <w:widowControl/>
              <w:numPr>
                <w:ilvl w:val="0"/>
                <w:numId w:val="126"/>
              </w:numPr>
              <w:adjustRightInd/>
              <w:spacing w:line="240" w:lineRule="auto"/>
              <w:textAlignment w:val="auto"/>
            </w:pPr>
            <w:r w:rsidRPr="005B5418">
              <w:t>Does the entity disclose the amounts of the lease and the leaseback separately? (SFFAS 54, para. 93)</w:t>
            </w:r>
            <w:r w:rsidRPr="005B5418">
              <w:rPr>
                <w:rStyle w:val="FootnoteReference"/>
              </w:rPr>
              <w:footnoteReference w:id="219"/>
            </w:r>
          </w:p>
        </w:tc>
        <w:tc>
          <w:tcPr>
            <w:tcW w:w="990" w:type="dxa"/>
          </w:tcPr>
          <w:p w14:paraId="12799F49" w14:textId="77777777" w:rsidR="00A03982" w:rsidRPr="005B5418" w:rsidRDefault="00A03982" w:rsidP="00A03982">
            <w:pPr>
              <w:pStyle w:val="Table-Cell-CenterBoldBefore6ptAfter6pt"/>
              <w:spacing w:before="60" w:after="60"/>
              <w:rPr>
                <w:rFonts w:cs="Arial"/>
                <w:lang w:val="pt-BR"/>
              </w:rPr>
            </w:pPr>
          </w:p>
        </w:tc>
        <w:tc>
          <w:tcPr>
            <w:tcW w:w="3330" w:type="dxa"/>
          </w:tcPr>
          <w:p w14:paraId="5EE06EDC" w14:textId="77777777" w:rsidR="00A03982" w:rsidRPr="005B5418" w:rsidRDefault="00A03982" w:rsidP="00A03982">
            <w:pPr>
              <w:pStyle w:val="BodyTextIndent"/>
              <w:spacing w:before="60" w:after="60"/>
              <w:rPr>
                <w:rFonts w:cs="Arial"/>
                <w:lang w:val="pt-BR"/>
              </w:rPr>
            </w:pPr>
          </w:p>
        </w:tc>
      </w:tr>
      <w:tr w:rsidR="00A03982" w:rsidRPr="005B5418" w14:paraId="2C1506FB" w14:textId="77777777" w:rsidTr="00935832">
        <w:trPr>
          <w:trHeight w:val="422"/>
        </w:trPr>
        <w:tc>
          <w:tcPr>
            <w:tcW w:w="9715" w:type="dxa"/>
            <w:gridSpan w:val="3"/>
          </w:tcPr>
          <w:p w14:paraId="632C0DA9" w14:textId="650FF877" w:rsidR="00A03982" w:rsidRPr="005B5418" w:rsidRDefault="00A03982" w:rsidP="00A03982">
            <w:pPr>
              <w:pStyle w:val="BodyTextIndent"/>
              <w:spacing w:before="60" w:after="60"/>
              <w:jc w:val="center"/>
              <w:rPr>
                <w:rFonts w:cs="Arial"/>
                <w:sz w:val="24"/>
                <w:lang w:val="pt-BR"/>
              </w:rPr>
            </w:pPr>
            <w:r w:rsidRPr="005B5418">
              <w:rPr>
                <w:rFonts w:eastAsia="Arial Unicode MS"/>
                <w:b/>
                <w:sz w:val="24"/>
              </w:rPr>
              <w:lastRenderedPageBreak/>
              <w:t>Nonfederal Leases - Lessee Treatment</w:t>
            </w:r>
          </w:p>
        </w:tc>
      </w:tr>
      <w:tr w:rsidR="00A03982" w:rsidRPr="005B5418" w14:paraId="7BF28985" w14:textId="77777777" w:rsidTr="00935832">
        <w:trPr>
          <w:trHeight w:val="1205"/>
        </w:trPr>
        <w:tc>
          <w:tcPr>
            <w:tcW w:w="5395" w:type="dxa"/>
          </w:tcPr>
          <w:p w14:paraId="3DB984F4" w14:textId="458CF4A1" w:rsidR="00A03982" w:rsidRPr="005B5418" w:rsidRDefault="00A03982" w:rsidP="005425ED">
            <w:pPr>
              <w:pStyle w:val="FAM-Table-outline"/>
              <w:widowControl/>
              <w:numPr>
                <w:ilvl w:val="0"/>
                <w:numId w:val="126"/>
              </w:numPr>
              <w:adjustRightInd/>
              <w:spacing w:line="240" w:lineRule="auto"/>
              <w:textAlignment w:val="auto"/>
            </w:pPr>
            <w:r w:rsidRPr="005B5418">
              <w:t>Is the entity a non</w:t>
            </w:r>
            <w:r w:rsidR="005F653A" w:rsidRPr="005B5418">
              <w:t>-</w:t>
            </w:r>
            <w:r w:rsidRPr="005B5418">
              <w:t>federal lessee? (Answer Y if applicable, N/A if not applicable, or N/S if not significant. If N/A or N/S, skip to the next subtopic.)</w:t>
            </w:r>
          </w:p>
        </w:tc>
        <w:tc>
          <w:tcPr>
            <w:tcW w:w="990" w:type="dxa"/>
          </w:tcPr>
          <w:p w14:paraId="112E6035" w14:textId="77777777" w:rsidR="00A03982" w:rsidRPr="005B5418" w:rsidRDefault="00A03982" w:rsidP="00A03982">
            <w:pPr>
              <w:pStyle w:val="Table-Cell-CenterBoldBefore6ptAfter6pt"/>
              <w:spacing w:before="60" w:after="60"/>
              <w:rPr>
                <w:rFonts w:cs="Arial"/>
                <w:lang w:val="pt-BR"/>
              </w:rPr>
            </w:pPr>
          </w:p>
        </w:tc>
        <w:tc>
          <w:tcPr>
            <w:tcW w:w="3330" w:type="dxa"/>
          </w:tcPr>
          <w:p w14:paraId="3B2D8362" w14:textId="77777777" w:rsidR="00A03982" w:rsidRPr="005B5418" w:rsidRDefault="00A03982" w:rsidP="00A03982">
            <w:pPr>
              <w:pStyle w:val="BodyTextIndent"/>
              <w:spacing w:before="60" w:after="60"/>
              <w:rPr>
                <w:rFonts w:cs="Arial"/>
                <w:lang w:val="pt-BR"/>
              </w:rPr>
            </w:pPr>
          </w:p>
        </w:tc>
      </w:tr>
      <w:tr w:rsidR="00A03982" w:rsidRPr="005B5418" w14:paraId="7C864799" w14:textId="77777777" w:rsidTr="00935832">
        <w:trPr>
          <w:trHeight w:val="449"/>
        </w:trPr>
        <w:tc>
          <w:tcPr>
            <w:tcW w:w="9715" w:type="dxa"/>
            <w:gridSpan w:val="3"/>
          </w:tcPr>
          <w:p w14:paraId="552160AA" w14:textId="77777777" w:rsidR="00A03982" w:rsidRPr="005B5418" w:rsidRDefault="00A03982" w:rsidP="00A03982">
            <w:pPr>
              <w:pStyle w:val="BodyTextIndent"/>
              <w:spacing w:before="60" w:after="60"/>
              <w:rPr>
                <w:rFonts w:cs="Arial"/>
                <w:lang w:val="pt-BR"/>
              </w:rPr>
            </w:pPr>
            <w:r w:rsidRPr="005B5418">
              <w:rPr>
                <w:rFonts w:eastAsia="Arial Unicode MS"/>
                <w:b/>
                <w:szCs w:val="22"/>
              </w:rPr>
              <w:t>Accounting</w:t>
            </w:r>
          </w:p>
        </w:tc>
      </w:tr>
      <w:tr w:rsidR="00A03982" w:rsidRPr="005B5418" w14:paraId="70666920" w14:textId="77777777" w:rsidTr="00935832">
        <w:trPr>
          <w:trHeight w:val="1205"/>
        </w:trPr>
        <w:tc>
          <w:tcPr>
            <w:tcW w:w="5395" w:type="dxa"/>
          </w:tcPr>
          <w:p w14:paraId="4675C3B9" w14:textId="77777777"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recognize a lease liability and a right-to-use lease asset at the commencement of the lease term? (SFFAS 54, para. 39)</w:t>
            </w:r>
          </w:p>
        </w:tc>
        <w:tc>
          <w:tcPr>
            <w:tcW w:w="990" w:type="dxa"/>
          </w:tcPr>
          <w:p w14:paraId="2EE275E3" w14:textId="77777777" w:rsidR="00A03982" w:rsidRPr="005B5418" w:rsidRDefault="00A03982" w:rsidP="00A03982">
            <w:pPr>
              <w:pStyle w:val="Table-Cell-CenterBoldBefore6ptAfter6pt"/>
              <w:spacing w:before="60" w:after="60"/>
              <w:rPr>
                <w:rFonts w:cs="Arial"/>
                <w:lang w:val="pt-BR"/>
              </w:rPr>
            </w:pPr>
          </w:p>
        </w:tc>
        <w:tc>
          <w:tcPr>
            <w:tcW w:w="3330" w:type="dxa"/>
          </w:tcPr>
          <w:p w14:paraId="40D14B99" w14:textId="77777777" w:rsidR="00A03982" w:rsidRPr="005B5418" w:rsidRDefault="00A03982" w:rsidP="00A03982">
            <w:pPr>
              <w:pStyle w:val="BodyTextIndent"/>
              <w:spacing w:before="60" w:after="60"/>
              <w:rPr>
                <w:rFonts w:cs="Arial"/>
                <w:lang w:val="pt-BR"/>
              </w:rPr>
            </w:pPr>
          </w:p>
        </w:tc>
      </w:tr>
      <w:tr w:rsidR="00A03982" w:rsidRPr="005B5418" w14:paraId="7905919F" w14:textId="77777777" w:rsidTr="00935832">
        <w:trPr>
          <w:trHeight w:val="1205"/>
        </w:trPr>
        <w:tc>
          <w:tcPr>
            <w:tcW w:w="5395" w:type="dxa"/>
          </w:tcPr>
          <w:p w14:paraId="24702DE0" w14:textId="77777777"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initially measure the lease liability at the present value of payments expected to be made during the lease term? (SFFAS 54, para. 40)</w:t>
            </w:r>
          </w:p>
        </w:tc>
        <w:tc>
          <w:tcPr>
            <w:tcW w:w="990" w:type="dxa"/>
          </w:tcPr>
          <w:p w14:paraId="7E9CA2CB" w14:textId="77777777" w:rsidR="00A03982" w:rsidRPr="005B5418" w:rsidRDefault="00A03982" w:rsidP="00A03982">
            <w:pPr>
              <w:pStyle w:val="Table-Cell-CenterBoldBefore6ptAfter6pt"/>
              <w:spacing w:before="60" w:after="60"/>
              <w:rPr>
                <w:rFonts w:cs="Arial"/>
                <w:lang w:val="pt-BR"/>
              </w:rPr>
            </w:pPr>
          </w:p>
        </w:tc>
        <w:tc>
          <w:tcPr>
            <w:tcW w:w="3330" w:type="dxa"/>
          </w:tcPr>
          <w:p w14:paraId="5A1E3D55" w14:textId="77777777" w:rsidR="00A03982" w:rsidRPr="005B5418" w:rsidRDefault="00A03982" w:rsidP="00A03982">
            <w:pPr>
              <w:pStyle w:val="BodyTextIndent"/>
              <w:spacing w:before="60" w:after="60"/>
              <w:rPr>
                <w:rFonts w:cs="Arial"/>
                <w:lang w:val="pt-BR"/>
              </w:rPr>
            </w:pPr>
          </w:p>
        </w:tc>
      </w:tr>
      <w:tr w:rsidR="00A03982" w:rsidRPr="005B5418" w14:paraId="58165D2B" w14:textId="77777777" w:rsidTr="00935832">
        <w:trPr>
          <w:trHeight w:val="548"/>
        </w:trPr>
        <w:tc>
          <w:tcPr>
            <w:tcW w:w="5395" w:type="dxa"/>
          </w:tcPr>
          <w:p w14:paraId="56E94E3D" w14:textId="77777777" w:rsidR="00A03982" w:rsidRPr="005B5418" w:rsidRDefault="00A03982" w:rsidP="005425ED">
            <w:pPr>
              <w:pStyle w:val="FAM-Table-outline"/>
              <w:widowControl/>
              <w:numPr>
                <w:ilvl w:val="0"/>
                <w:numId w:val="126"/>
              </w:numPr>
              <w:adjustRightInd/>
              <w:spacing w:line="240" w:lineRule="auto"/>
              <w:textAlignment w:val="auto"/>
            </w:pPr>
            <w:r w:rsidRPr="005B5418">
              <w:t>Does measurement of the lease liability include the following, if required by a lease?</w:t>
            </w:r>
          </w:p>
          <w:p w14:paraId="4F6B6A07" w14:textId="333C43CB" w:rsidR="00A03982" w:rsidRPr="005B5418" w:rsidRDefault="00A03982" w:rsidP="005425ED">
            <w:pPr>
              <w:pStyle w:val="FAM-Table-outline2"/>
              <w:numPr>
                <w:ilvl w:val="1"/>
                <w:numId w:val="65"/>
              </w:numPr>
              <w:spacing w:line="240" w:lineRule="auto"/>
              <w:ind w:left="1140" w:hanging="443"/>
            </w:pPr>
            <w:r w:rsidRPr="005B5418">
              <w:t>Fixed payments</w:t>
            </w:r>
          </w:p>
          <w:p w14:paraId="66CF6FA6" w14:textId="2A0198B1" w:rsidR="00A03982" w:rsidRPr="005B5418" w:rsidRDefault="00A03982" w:rsidP="005425ED">
            <w:pPr>
              <w:pStyle w:val="FAM-Table-outline2"/>
              <w:numPr>
                <w:ilvl w:val="1"/>
                <w:numId w:val="65"/>
              </w:numPr>
              <w:spacing w:line="240" w:lineRule="auto"/>
              <w:ind w:left="1140" w:hanging="443"/>
            </w:pPr>
            <w:r w:rsidRPr="005B5418">
              <w:t>Variable payments that depend on an index or a rate (such as the Consumer Price Index or a market interest rate), initially measured using the index or rate as of the commencement of the lease term</w:t>
            </w:r>
          </w:p>
          <w:p w14:paraId="3EFB1CBB" w14:textId="1A4B7EE4" w:rsidR="00A03982" w:rsidRPr="005B5418" w:rsidRDefault="00A03982" w:rsidP="005425ED">
            <w:pPr>
              <w:pStyle w:val="FAM-Table-outline2"/>
              <w:numPr>
                <w:ilvl w:val="1"/>
                <w:numId w:val="65"/>
              </w:numPr>
              <w:spacing w:line="240" w:lineRule="auto"/>
              <w:ind w:left="1140" w:hanging="443"/>
            </w:pPr>
            <w:r w:rsidRPr="005B5418">
              <w:t xml:space="preserve">Variable payments that are fixed in substance </w:t>
            </w:r>
          </w:p>
          <w:p w14:paraId="4289FB37" w14:textId="5D4FBA55" w:rsidR="00A03982" w:rsidRPr="005B5418" w:rsidRDefault="00A03982" w:rsidP="005425ED">
            <w:pPr>
              <w:pStyle w:val="FAM-Table-outline2"/>
              <w:numPr>
                <w:ilvl w:val="1"/>
                <w:numId w:val="65"/>
              </w:numPr>
              <w:spacing w:line="240" w:lineRule="auto"/>
              <w:ind w:left="1140" w:hanging="443"/>
            </w:pPr>
            <w:r w:rsidRPr="005B5418">
              <w:t>Amounts that are probable of being required to be paid by the lessee under residual value guarantees</w:t>
            </w:r>
          </w:p>
          <w:p w14:paraId="4277392F" w14:textId="56AC2FFC" w:rsidR="00A03982" w:rsidRPr="005B5418" w:rsidRDefault="00A03982" w:rsidP="005425ED">
            <w:pPr>
              <w:pStyle w:val="FAM-Table-outline2"/>
              <w:numPr>
                <w:ilvl w:val="1"/>
                <w:numId w:val="65"/>
              </w:numPr>
              <w:spacing w:line="240" w:lineRule="auto"/>
              <w:ind w:left="1140" w:hanging="443"/>
            </w:pPr>
            <w:r w:rsidRPr="005B5418">
              <w:t>The exercise price of a purchase option if it is probable that the lessee will exercise that option</w:t>
            </w:r>
          </w:p>
          <w:p w14:paraId="72D98F7F" w14:textId="26B9BFF9" w:rsidR="00A03982" w:rsidRPr="005B5418" w:rsidRDefault="00A03982" w:rsidP="005425ED">
            <w:pPr>
              <w:pStyle w:val="FAM-Table-outline2"/>
              <w:numPr>
                <w:ilvl w:val="1"/>
                <w:numId w:val="65"/>
              </w:numPr>
              <w:spacing w:line="240" w:lineRule="auto"/>
              <w:ind w:left="1140" w:hanging="443"/>
            </w:pPr>
            <w:r w:rsidRPr="005B5418">
              <w:t>Payments for penalties for terminating the lease, if the lease term reflects the lessee exercising (1) an option to terminate the lease or (2) an availability or cancellation clause</w:t>
            </w:r>
          </w:p>
          <w:p w14:paraId="1F62E9A9" w14:textId="3F067CBD" w:rsidR="00A03982" w:rsidRPr="005425ED" w:rsidRDefault="00A03982" w:rsidP="005425ED">
            <w:pPr>
              <w:pStyle w:val="FAM-Table-outline2"/>
              <w:numPr>
                <w:ilvl w:val="1"/>
                <w:numId w:val="65"/>
              </w:numPr>
              <w:spacing w:line="240" w:lineRule="auto"/>
              <w:ind w:left="1140" w:hanging="443"/>
            </w:pPr>
            <w:r w:rsidRPr="005B5418">
              <w:t xml:space="preserve">Any lease incentives </w:t>
            </w:r>
            <w:r w:rsidRPr="005425ED">
              <w:t>receivable from the lessor</w:t>
            </w:r>
          </w:p>
          <w:p w14:paraId="30AAA8E0" w14:textId="76EC2ADC" w:rsidR="00A03982" w:rsidRPr="005425ED" w:rsidRDefault="00A03982" w:rsidP="005425ED">
            <w:pPr>
              <w:pStyle w:val="FAM-Table-outline2"/>
              <w:numPr>
                <w:ilvl w:val="1"/>
                <w:numId w:val="65"/>
              </w:numPr>
              <w:spacing w:line="240" w:lineRule="auto"/>
              <w:ind w:left="1140" w:hanging="443"/>
            </w:pPr>
            <w:r w:rsidRPr="005425ED">
              <w:t xml:space="preserve">Any other payments to the lessor that are probable of being required based on an </w:t>
            </w:r>
            <w:r w:rsidRPr="005425ED">
              <w:lastRenderedPageBreak/>
              <w:t>assessment of all relevant factors</w:t>
            </w:r>
          </w:p>
          <w:p w14:paraId="1E1D60DC" w14:textId="3A871D54" w:rsidR="00A03982" w:rsidRPr="005B5418" w:rsidRDefault="00A03982" w:rsidP="005425ED">
            <w:pPr>
              <w:pStyle w:val="FAM-Table-outline2"/>
              <w:numPr>
                <w:ilvl w:val="0"/>
                <w:numId w:val="0"/>
              </w:numPr>
              <w:spacing w:line="240" w:lineRule="auto"/>
              <w:ind w:left="1140"/>
              <w:rPr>
                <w:color w:val="auto"/>
              </w:rPr>
            </w:pPr>
            <w:r w:rsidRPr="005425ED">
              <w:t xml:space="preserve">(SFFAS 54, para. 40; also see </w:t>
            </w:r>
            <w:r w:rsidR="00C140EF" w:rsidRPr="005425ED">
              <w:t>TR 20</w:t>
            </w:r>
            <w:r w:rsidRPr="005425ED">
              <w:t>, paras. 44–50, 75A, and 76)</w:t>
            </w:r>
          </w:p>
        </w:tc>
        <w:tc>
          <w:tcPr>
            <w:tcW w:w="990" w:type="dxa"/>
          </w:tcPr>
          <w:p w14:paraId="68199656" w14:textId="77777777" w:rsidR="00A03982" w:rsidRPr="005B5418" w:rsidRDefault="00A03982" w:rsidP="00A03982">
            <w:pPr>
              <w:pStyle w:val="Table-Cell-CenterBoldBefore6ptAfter6pt"/>
              <w:spacing w:before="60" w:after="60"/>
              <w:rPr>
                <w:rFonts w:cs="Arial"/>
                <w:lang w:val="pt-BR"/>
              </w:rPr>
            </w:pPr>
          </w:p>
        </w:tc>
        <w:tc>
          <w:tcPr>
            <w:tcW w:w="3330" w:type="dxa"/>
          </w:tcPr>
          <w:p w14:paraId="38A946D9" w14:textId="77777777" w:rsidR="00A03982" w:rsidRPr="005B5418" w:rsidRDefault="00A03982" w:rsidP="00A03982">
            <w:pPr>
              <w:pStyle w:val="BodyTextIndent"/>
              <w:spacing w:before="60" w:after="60"/>
              <w:rPr>
                <w:rFonts w:cs="Arial"/>
                <w:lang w:val="pt-BR"/>
              </w:rPr>
            </w:pPr>
          </w:p>
        </w:tc>
      </w:tr>
      <w:tr w:rsidR="00A03982" w:rsidRPr="005B5418" w14:paraId="7BA8C38F" w14:textId="77777777" w:rsidTr="00935832">
        <w:trPr>
          <w:trHeight w:val="1205"/>
        </w:trPr>
        <w:tc>
          <w:tcPr>
            <w:tcW w:w="5395" w:type="dxa"/>
          </w:tcPr>
          <w:p w14:paraId="622C6232" w14:textId="2D8F44CC" w:rsidR="00A03982" w:rsidRPr="005B5418" w:rsidRDefault="00A03982" w:rsidP="005425ED">
            <w:pPr>
              <w:pStyle w:val="FAM-Table-outline"/>
              <w:widowControl/>
              <w:numPr>
                <w:ilvl w:val="0"/>
                <w:numId w:val="126"/>
              </w:numPr>
              <w:adjustRightInd/>
              <w:spacing w:line="240" w:lineRule="auto"/>
              <w:textAlignment w:val="auto"/>
            </w:pPr>
            <w:r w:rsidRPr="005B5418">
              <w:t xml:space="preserve">Aside from fixed in-substance components, does the entity exclude variable payments based on future performance of the lessee or usage of the underlying asset from the lease liability and, rather, recognize these variable payments as an expense in the reporting period in which those payments are incurred? (SFFAS 54, para. 41; also see </w:t>
            </w:r>
            <w:r w:rsidR="00C140EF" w:rsidRPr="005B5418">
              <w:t>TR 20</w:t>
            </w:r>
            <w:r w:rsidRPr="005B5418">
              <w:t>, para. 48)</w:t>
            </w:r>
          </w:p>
          <w:p w14:paraId="5BBFFAD8" w14:textId="77777777" w:rsidR="00A03982" w:rsidRPr="005B5418" w:rsidRDefault="00A03982" w:rsidP="00A03982">
            <w:pPr>
              <w:pStyle w:val="FAM-Table-outline"/>
              <w:widowControl/>
              <w:numPr>
                <w:ilvl w:val="0"/>
                <w:numId w:val="0"/>
              </w:numPr>
              <w:adjustRightInd/>
              <w:spacing w:line="240" w:lineRule="auto"/>
              <w:textAlignment w:val="auto"/>
            </w:pPr>
          </w:p>
        </w:tc>
        <w:tc>
          <w:tcPr>
            <w:tcW w:w="990" w:type="dxa"/>
          </w:tcPr>
          <w:p w14:paraId="6F0712C6" w14:textId="77777777" w:rsidR="00A03982" w:rsidRPr="005B5418" w:rsidRDefault="00A03982" w:rsidP="00A03982">
            <w:pPr>
              <w:pStyle w:val="Table-Cell-CenterBoldBefore6ptAfter6pt"/>
              <w:spacing w:before="60" w:after="60"/>
              <w:rPr>
                <w:rFonts w:cs="Arial"/>
                <w:lang w:val="pt-BR"/>
              </w:rPr>
            </w:pPr>
          </w:p>
        </w:tc>
        <w:tc>
          <w:tcPr>
            <w:tcW w:w="3330" w:type="dxa"/>
          </w:tcPr>
          <w:p w14:paraId="7D681BC1" w14:textId="77777777" w:rsidR="00A03982" w:rsidRPr="005B5418" w:rsidRDefault="00A03982" w:rsidP="00A03982">
            <w:pPr>
              <w:pStyle w:val="BodyTextIndent"/>
              <w:spacing w:before="60" w:after="60"/>
              <w:rPr>
                <w:rFonts w:cs="Arial"/>
                <w:lang w:val="pt-BR"/>
              </w:rPr>
            </w:pPr>
          </w:p>
        </w:tc>
      </w:tr>
      <w:tr w:rsidR="00A03982" w:rsidRPr="005B5418" w14:paraId="73D90DEC" w14:textId="77777777" w:rsidTr="00935832">
        <w:trPr>
          <w:trHeight w:val="440"/>
        </w:trPr>
        <w:tc>
          <w:tcPr>
            <w:tcW w:w="5395" w:type="dxa"/>
          </w:tcPr>
          <w:p w14:paraId="292D6E01" w14:textId="467A74A2" w:rsidR="00A03982" w:rsidRPr="005B5418" w:rsidRDefault="00A03982" w:rsidP="005425ED">
            <w:pPr>
              <w:pStyle w:val="FAM-Table-outline"/>
              <w:widowControl/>
              <w:numPr>
                <w:ilvl w:val="0"/>
                <w:numId w:val="126"/>
              </w:numPr>
              <w:adjustRightInd/>
              <w:spacing w:line="240" w:lineRule="auto"/>
              <w:textAlignment w:val="auto"/>
            </w:pPr>
            <w:r w:rsidRPr="005B5418">
              <w:t xml:space="preserve">If the interest rate is stated in the lease, does the </w:t>
            </w:r>
            <w:r w:rsidRPr="005B5418">
              <w:rPr>
                <w:b/>
                <w:bCs/>
              </w:rPr>
              <w:t>lessee</w:t>
            </w:r>
            <w:r w:rsidRPr="005425ED">
              <w:t xml:space="preserve"> </w:t>
            </w:r>
            <w:r w:rsidRPr="005B5418">
              <w:t>discount the future lease payments using the interest rate the lessor charges the lessee? (SFFAS 54, para. 42)</w:t>
            </w:r>
          </w:p>
        </w:tc>
        <w:tc>
          <w:tcPr>
            <w:tcW w:w="990" w:type="dxa"/>
          </w:tcPr>
          <w:p w14:paraId="4EE1DCA7" w14:textId="77777777" w:rsidR="00A03982" w:rsidRPr="005B5418" w:rsidRDefault="00A03982" w:rsidP="00A03982">
            <w:pPr>
              <w:pStyle w:val="Table-Cell-CenterBoldBefore6ptAfter6pt"/>
              <w:spacing w:before="60" w:after="60"/>
              <w:rPr>
                <w:rFonts w:cs="Arial"/>
                <w:lang w:val="pt-BR"/>
              </w:rPr>
            </w:pPr>
          </w:p>
        </w:tc>
        <w:tc>
          <w:tcPr>
            <w:tcW w:w="3330" w:type="dxa"/>
          </w:tcPr>
          <w:p w14:paraId="49DAC6AA" w14:textId="77777777" w:rsidR="00A03982" w:rsidRPr="005B5418" w:rsidRDefault="00A03982" w:rsidP="00A03982">
            <w:pPr>
              <w:pStyle w:val="BodyTextIndent"/>
              <w:spacing w:before="60" w:after="60"/>
              <w:rPr>
                <w:rFonts w:cs="Arial"/>
                <w:lang w:val="pt-BR"/>
              </w:rPr>
            </w:pPr>
          </w:p>
        </w:tc>
      </w:tr>
      <w:tr w:rsidR="00A03982" w:rsidRPr="005B5418" w14:paraId="3DF6FB72" w14:textId="77777777" w:rsidTr="00935832">
        <w:trPr>
          <w:trHeight w:val="440"/>
        </w:trPr>
        <w:tc>
          <w:tcPr>
            <w:tcW w:w="5395" w:type="dxa"/>
          </w:tcPr>
          <w:p w14:paraId="724A6F6D" w14:textId="11854916" w:rsidR="00A03982" w:rsidRPr="005B5418" w:rsidRDefault="00A03982" w:rsidP="005425ED">
            <w:pPr>
              <w:pStyle w:val="FAM-Table-outline"/>
              <w:widowControl/>
              <w:numPr>
                <w:ilvl w:val="0"/>
                <w:numId w:val="126"/>
              </w:numPr>
              <w:adjustRightInd/>
              <w:spacing w:line="240" w:lineRule="auto"/>
              <w:textAlignment w:val="auto"/>
            </w:pPr>
            <w:r w:rsidRPr="005B5418">
              <w:t xml:space="preserve">If the interest rate is not stated in the lease, does the </w:t>
            </w:r>
            <w:r w:rsidRPr="005425ED">
              <w:rPr>
                <w:b/>
              </w:rPr>
              <w:t>lessee</w:t>
            </w:r>
            <w:r w:rsidRPr="005B5418">
              <w:t xml:space="preserve"> discount the future lease payments using an interest rate on marketable Treasury securities at the commencement of the lease term (or at the subsequent financial reporting date, when the lease liability should be remeasured),</w:t>
            </w:r>
            <w:r w:rsidRPr="005B5418">
              <w:rPr>
                <w:rStyle w:val="FootnoteReference"/>
              </w:rPr>
              <w:footnoteReference w:id="220"/>
            </w:r>
            <w:r w:rsidRPr="005B5418">
              <w:t xml:space="preserve"> with a similar maturity to the term of the lease?</w:t>
            </w:r>
            <w:r w:rsidRPr="005B5418">
              <w:rPr>
                <w:rStyle w:val="FootnoteReference"/>
              </w:rPr>
              <w:footnoteReference w:id="221"/>
            </w:r>
          </w:p>
          <w:p w14:paraId="3D5670D4" w14:textId="1CB216D3" w:rsidR="00A03982" w:rsidRPr="005B5418" w:rsidRDefault="00A03982" w:rsidP="005425ED">
            <w:pPr>
              <w:pStyle w:val="FAM-Table-outline"/>
              <w:widowControl/>
              <w:numPr>
                <w:ilvl w:val="0"/>
                <w:numId w:val="0"/>
              </w:numPr>
              <w:adjustRightInd/>
              <w:spacing w:line="240" w:lineRule="auto"/>
              <w:ind w:left="666"/>
              <w:textAlignment w:val="auto"/>
            </w:pPr>
            <w:r w:rsidRPr="005B5418">
              <w:t>(SFFAS 54, para. 42)</w:t>
            </w:r>
          </w:p>
        </w:tc>
        <w:tc>
          <w:tcPr>
            <w:tcW w:w="990" w:type="dxa"/>
          </w:tcPr>
          <w:p w14:paraId="38333887" w14:textId="77777777" w:rsidR="00A03982" w:rsidRPr="005B5418" w:rsidRDefault="00A03982" w:rsidP="00A03982">
            <w:pPr>
              <w:pStyle w:val="Table-Cell-CenterBoldBefore6ptAfter6pt"/>
              <w:spacing w:before="60" w:after="60"/>
              <w:rPr>
                <w:rFonts w:cs="Arial"/>
                <w:lang w:val="pt-BR"/>
              </w:rPr>
            </w:pPr>
          </w:p>
        </w:tc>
        <w:tc>
          <w:tcPr>
            <w:tcW w:w="3330" w:type="dxa"/>
          </w:tcPr>
          <w:p w14:paraId="200C5FC6" w14:textId="77777777" w:rsidR="00A03982" w:rsidRPr="005B5418" w:rsidRDefault="00A03982" w:rsidP="00A03982">
            <w:pPr>
              <w:pStyle w:val="BodyTextIndent"/>
              <w:spacing w:before="60" w:after="60"/>
              <w:rPr>
                <w:rFonts w:cs="Arial"/>
                <w:lang w:val="pt-BR"/>
              </w:rPr>
            </w:pPr>
          </w:p>
        </w:tc>
      </w:tr>
      <w:tr w:rsidR="00A03982" w:rsidRPr="005B5418" w14:paraId="08930B66" w14:textId="77777777" w:rsidTr="00935832">
        <w:trPr>
          <w:trHeight w:val="440"/>
        </w:trPr>
        <w:tc>
          <w:tcPr>
            <w:tcW w:w="5395" w:type="dxa"/>
          </w:tcPr>
          <w:p w14:paraId="515EC5EA" w14:textId="0F2FC7B0" w:rsidR="00A03982" w:rsidRPr="005B5418" w:rsidRDefault="00A03982" w:rsidP="005425ED">
            <w:pPr>
              <w:pStyle w:val="FAM-Table-outline"/>
              <w:widowControl/>
              <w:numPr>
                <w:ilvl w:val="0"/>
                <w:numId w:val="126"/>
              </w:numPr>
              <w:adjustRightInd/>
              <w:spacing w:line="240" w:lineRule="auto"/>
              <w:textAlignment w:val="auto"/>
            </w:pPr>
            <w:r w:rsidRPr="005B5418">
              <w:t xml:space="preserve">In subsequent financial reporting periods, does the </w:t>
            </w:r>
            <w:r w:rsidRPr="005B5418">
              <w:rPr>
                <w:b/>
                <w:bCs/>
              </w:rPr>
              <w:t>lessee</w:t>
            </w:r>
            <w:r w:rsidRPr="005B5418">
              <w:t xml:space="preserve"> calculate the amortization of the discount on the lease liability and recognize that amount as interest expense for the period? (SFFAS 54, para. 43; also see </w:t>
            </w:r>
            <w:r w:rsidR="00C140EF" w:rsidRPr="005B5418">
              <w:t>TR 20</w:t>
            </w:r>
            <w:r w:rsidRPr="005B5418">
              <w:t>, para. 52A)</w:t>
            </w:r>
          </w:p>
        </w:tc>
        <w:tc>
          <w:tcPr>
            <w:tcW w:w="990" w:type="dxa"/>
          </w:tcPr>
          <w:p w14:paraId="3BDB764D" w14:textId="77777777" w:rsidR="00A03982" w:rsidRPr="005B5418" w:rsidRDefault="00A03982" w:rsidP="00A03982">
            <w:pPr>
              <w:pStyle w:val="Table-Cell-CenterBoldBefore6ptAfter6pt"/>
              <w:spacing w:before="60" w:after="60"/>
              <w:rPr>
                <w:rFonts w:cs="Arial"/>
                <w:lang w:val="pt-BR"/>
              </w:rPr>
            </w:pPr>
          </w:p>
        </w:tc>
        <w:tc>
          <w:tcPr>
            <w:tcW w:w="3330" w:type="dxa"/>
          </w:tcPr>
          <w:p w14:paraId="6D564F12" w14:textId="77777777" w:rsidR="00A03982" w:rsidRPr="005B5418" w:rsidRDefault="00A03982" w:rsidP="00A03982">
            <w:pPr>
              <w:pStyle w:val="BodyTextIndent"/>
              <w:spacing w:before="60" w:after="60"/>
              <w:rPr>
                <w:rFonts w:cs="Arial"/>
                <w:lang w:val="pt-BR"/>
              </w:rPr>
            </w:pPr>
          </w:p>
        </w:tc>
      </w:tr>
      <w:tr w:rsidR="00A03982" w:rsidRPr="005B5418" w14:paraId="280E427A" w14:textId="77777777" w:rsidTr="00935832">
        <w:trPr>
          <w:trHeight w:val="440"/>
        </w:trPr>
        <w:tc>
          <w:tcPr>
            <w:tcW w:w="5395" w:type="dxa"/>
          </w:tcPr>
          <w:p w14:paraId="4603FFE9" w14:textId="77777777" w:rsidR="00A03982" w:rsidRPr="005B5418" w:rsidRDefault="00A03982" w:rsidP="005425ED">
            <w:pPr>
              <w:pStyle w:val="FAM-Table-outline"/>
              <w:widowControl/>
              <w:numPr>
                <w:ilvl w:val="0"/>
                <w:numId w:val="126"/>
              </w:numPr>
              <w:adjustRightInd/>
              <w:spacing w:line="240" w:lineRule="auto"/>
              <w:textAlignment w:val="auto"/>
            </w:pPr>
            <w:r w:rsidRPr="005B5418">
              <w:lastRenderedPageBreak/>
              <w:t xml:space="preserve">Does the </w:t>
            </w:r>
            <w:r w:rsidRPr="005B5418">
              <w:rPr>
                <w:b/>
                <w:bCs/>
              </w:rPr>
              <w:t>lessee</w:t>
            </w:r>
            <w:r w:rsidRPr="005425ED">
              <w:t xml:space="preserve"> </w:t>
            </w:r>
            <w:r w:rsidRPr="005B5418">
              <w:t>first allocate any payments to the accrued interest liability and then to the lease liability? (SFFAS 54, para. 43)</w:t>
            </w:r>
          </w:p>
        </w:tc>
        <w:tc>
          <w:tcPr>
            <w:tcW w:w="990" w:type="dxa"/>
          </w:tcPr>
          <w:p w14:paraId="227D586D" w14:textId="77777777" w:rsidR="00A03982" w:rsidRPr="005B5418" w:rsidRDefault="00A03982" w:rsidP="00A03982">
            <w:pPr>
              <w:pStyle w:val="Table-Cell-CenterBoldBefore6ptAfter6pt"/>
              <w:spacing w:before="60" w:after="60"/>
              <w:rPr>
                <w:rFonts w:cs="Arial"/>
                <w:lang w:val="pt-BR"/>
              </w:rPr>
            </w:pPr>
          </w:p>
        </w:tc>
        <w:tc>
          <w:tcPr>
            <w:tcW w:w="3330" w:type="dxa"/>
          </w:tcPr>
          <w:p w14:paraId="3DB60BB7" w14:textId="77777777" w:rsidR="00A03982" w:rsidRPr="005B5418" w:rsidRDefault="00A03982" w:rsidP="00A03982">
            <w:pPr>
              <w:pStyle w:val="BodyTextIndent"/>
              <w:spacing w:before="60" w:after="60"/>
              <w:rPr>
                <w:rFonts w:cs="Arial"/>
                <w:lang w:val="pt-BR"/>
              </w:rPr>
            </w:pPr>
          </w:p>
        </w:tc>
      </w:tr>
      <w:tr w:rsidR="00A03982" w:rsidRPr="005B5418" w14:paraId="130A3E7D" w14:textId="77777777" w:rsidTr="00935832">
        <w:trPr>
          <w:trHeight w:val="440"/>
        </w:trPr>
        <w:tc>
          <w:tcPr>
            <w:tcW w:w="5395" w:type="dxa"/>
          </w:tcPr>
          <w:p w14:paraId="7FC22843" w14:textId="415195DA"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425ED">
              <w:t xml:space="preserve">lessee </w:t>
            </w:r>
            <w:r w:rsidRPr="005B5418">
              <w:t>remeasure the lease liability at subsequent financial reporting dates if one or more of the following changes have occurred at or before that financial reporting date, based on the most recent lease contract or agreement before the changes, and if the changes, individually or in the aggregate, are expected to significantly affect the amount of the lease liability since the previous measurement?</w:t>
            </w:r>
          </w:p>
          <w:p w14:paraId="568F95C3" w14:textId="5D352FB5" w:rsidR="00A03982" w:rsidRPr="005B5418" w:rsidRDefault="00A03982" w:rsidP="005425ED">
            <w:pPr>
              <w:pStyle w:val="FAM-Table-outline2"/>
              <w:numPr>
                <w:ilvl w:val="1"/>
                <w:numId w:val="65"/>
              </w:numPr>
              <w:spacing w:line="240" w:lineRule="auto"/>
              <w:ind w:left="1140" w:hanging="443"/>
            </w:pPr>
            <w:r w:rsidRPr="005B5418">
              <w:t xml:space="preserve">There is a change in the lease term </w:t>
            </w:r>
          </w:p>
          <w:p w14:paraId="5D714AC1" w14:textId="5C742146" w:rsidR="00A03982" w:rsidRPr="005B5418" w:rsidRDefault="00A03982" w:rsidP="005425ED">
            <w:pPr>
              <w:pStyle w:val="FAM-Table-outline2"/>
              <w:numPr>
                <w:ilvl w:val="1"/>
                <w:numId w:val="65"/>
              </w:numPr>
              <w:spacing w:line="240" w:lineRule="auto"/>
              <w:ind w:left="1140" w:hanging="443"/>
            </w:pPr>
            <w:r w:rsidRPr="005B5418">
              <w:t>An assessment of all relevant factors indicates that the likelihood of a residual value guarantee being required to be paid has changed from probable to not probable or vice versa</w:t>
            </w:r>
          </w:p>
          <w:p w14:paraId="5E4DC40D" w14:textId="6E2D5132" w:rsidR="00A03982" w:rsidRPr="005B5418" w:rsidRDefault="00A03982" w:rsidP="005425ED">
            <w:pPr>
              <w:pStyle w:val="FAM-Table-outline2"/>
              <w:numPr>
                <w:ilvl w:val="1"/>
                <w:numId w:val="65"/>
              </w:numPr>
              <w:spacing w:line="240" w:lineRule="auto"/>
              <w:ind w:left="1140" w:hanging="443"/>
            </w:pPr>
            <w:r w:rsidRPr="005B5418">
              <w:t>An assessment of all relevant factors indicates that the likelihood of a purchase option being exercised has changed from probable to not probable, or vice versa</w:t>
            </w:r>
          </w:p>
          <w:p w14:paraId="6866FCD0" w14:textId="5B90D20A" w:rsidR="00A03982" w:rsidRPr="005B5418" w:rsidRDefault="00A03982" w:rsidP="005425ED">
            <w:pPr>
              <w:pStyle w:val="FAM-Table-outline2"/>
              <w:numPr>
                <w:ilvl w:val="1"/>
                <w:numId w:val="65"/>
              </w:numPr>
              <w:spacing w:line="240" w:lineRule="auto"/>
              <w:ind w:left="1140" w:hanging="443"/>
            </w:pPr>
            <w:r w:rsidRPr="005B5418">
              <w:t>There is a change in the estimated amounts for payments already included in the liability (except as provided in SFFAS 54, para. 45)</w:t>
            </w:r>
          </w:p>
          <w:p w14:paraId="51FDAC73" w14:textId="5DD6B29B" w:rsidR="00A03982" w:rsidRPr="005B5418" w:rsidRDefault="00A03982" w:rsidP="005425ED">
            <w:pPr>
              <w:pStyle w:val="FAM-Table-outline2"/>
              <w:numPr>
                <w:ilvl w:val="1"/>
                <w:numId w:val="65"/>
              </w:numPr>
              <w:spacing w:line="240" w:lineRule="auto"/>
              <w:ind w:left="1140" w:hanging="443"/>
            </w:pPr>
            <w:r w:rsidRPr="005B5418">
              <w:t>There is a change in the interest rate the lessor charges the lessee if used as the initial discount rate.</w:t>
            </w:r>
          </w:p>
          <w:p w14:paraId="0BCD9F68" w14:textId="108ED082" w:rsidR="00A03982" w:rsidRPr="005B5418" w:rsidRDefault="00A03982" w:rsidP="005425ED">
            <w:pPr>
              <w:pStyle w:val="FAM-Table-outline2"/>
              <w:numPr>
                <w:ilvl w:val="1"/>
                <w:numId w:val="65"/>
              </w:numPr>
              <w:spacing w:line="240" w:lineRule="auto"/>
              <w:ind w:left="1140" w:hanging="443"/>
            </w:pPr>
            <w:r w:rsidRPr="005B5418">
              <w:t>A contingency, upon which some or all of the variable payments that will be made over the remainder of the lease term are based, is resolved such that those payments now meet the criteria for measuring the lease liability in SFFAS 54, para. 40</w:t>
            </w:r>
          </w:p>
          <w:p w14:paraId="6A691446" w14:textId="0C438DEA" w:rsidR="00A03982" w:rsidRPr="005B5418" w:rsidRDefault="00A03982" w:rsidP="005425ED">
            <w:pPr>
              <w:pStyle w:val="FAM-Table-outline2"/>
              <w:numPr>
                <w:ilvl w:val="0"/>
                <w:numId w:val="0"/>
              </w:numPr>
              <w:spacing w:line="240" w:lineRule="auto"/>
              <w:ind w:left="1140"/>
            </w:pPr>
            <w:r w:rsidRPr="005B5418">
              <w:t xml:space="preserve">(SFFAS 54, para. 44; also see </w:t>
            </w:r>
            <w:r w:rsidR="00C140EF" w:rsidRPr="005B5418">
              <w:t>TR 20</w:t>
            </w:r>
            <w:r w:rsidRPr="005B5418">
              <w:t>, para. 51)</w:t>
            </w:r>
          </w:p>
        </w:tc>
        <w:tc>
          <w:tcPr>
            <w:tcW w:w="990" w:type="dxa"/>
          </w:tcPr>
          <w:p w14:paraId="5C3BA3CF" w14:textId="77777777" w:rsidR="00A03982" w:rsidRPr="005B5418" w:rsidRDefault="00A03982" w:rsidP="00A03982">
            <w:pPr>
              <w:pStyle w:val="Table-Cell-CenterBoldBefore6ptAfter6pt"/>
              <w:spacing w:before="60" w:after="60"/>
              <w:rPr>
                <w:rFonts w:cs="Arial"/>
                <w:lang w:val="pt-BR"/>
              </w:rPr>
            </w:pPr>
          </w:p>
        </w:tc>
        <w:tc>
          <w:tcPr>
            <w:tcW w:w="3330" w:type="dxa"/>
          </w:tcPr>
          <w:p w14:paraId="770828FE" w14:textId="77777777" w:rsidR="00A03982" w:rsidRPr="005B5418" w:rsidRDefault="00A03982" w:rsidP="00A03982">
            <w:pPr>
              <w:pStyle w:val="BodyTextIndent"/>
              <w:spacing w:before="60" w:after="60"/>
              <w:rPr>
                <w:rFonts w:cs="Arial"/>
                <w:lang w:val="pt-BR"/>
              </w:rPr>
            </w:pPr>
          </w:p>
        </w:tc>
      </w:tr>
      <w:tr w:rsidR="00A03982" w:rsidRPr="005B5418" w14:paraId="3C2C21B6" w14:textId="77777777" w:rsidTr="00935832">
        <w:trPr>
          <w:trHeight w:val="440"/>
        </w:trPr>
        <w:tc>
          <w:tcPr>
            <w:tcW w:w="5395" w:type="dxa"/>
          </w:tcPr>
          <w:p w14:paraId="627FE323" w14:textId="3FA1A428" w:rsidR="00A03982" w:rsidRPr="005B5418" w:rsidRDefault="00A03982" w:rsidP="005425ED">
            <w:pPr>
              <w:pStyle w:val="FAM-Table-outline"/>
              <w:widowControl/>
              <w:numPr>
                <w:ilvl w:val="0"/>
                <w:numId w:val="126"/>
              </w:numPr>
              <w:adjustRightInd/>
              <w:spacing w:line="240" w:lineRule="auto"/>
              <w:textAlignment w:val="auto"/>
            </w:pPr>
            <w:r w:rsidRPr="005B5418">
              <w:t xml:space="preserve">If a lease liability is remeasured for any of the changes in SFFAS 54, para. 44, is the liability also adjusted for any change in an index or </w:t>
            </w:r>
            <w:r w:rsidRPr="005B5418">
              <w:lastRenderedPageBreak/>
              <w:t>rate used to determine variable lease payments if that change in the index or rate is expected to significantly affect the amount of the liability since the previous measurement?</w:t>
            </w:r>
            <w:r w:rsidRPr="005B5418">
              <w:rPr>
                <w:rStyle w:val="FootnoteReference"/>
              </w:rPr>
              <w:footnoteReference w:id="222"/>
            </w:r>
            <w:r w:rsidRPr="005B5418">
              <w:t xml:space="preserve"> (SFFAS 54, para. 45)</w:t>
            </w:r>
          </w:p>
        </w:tc>
        <w:tc>
          <w:tcPr>
            <w:tcW w:w="990" w:type="dxa"/>
          </w:tcPr>
          <w:p w14:paraId="5F399CF7" w14:textId="77777777" w:rsidR="00A03982" w:rsidRPr="005B5418" w:rsidRDefault="00A03982" w:rsidP="00A03982">
            <w:pPr>
              <w:pStyle w:val="Table-Cell-CenterBoldBefore6ptAfter6pt"/>
              <w:spacing w:before="60" w:after="60"/>
              <w:rPr>
                <w:rFonts w:cs="Arial"/>
                <w:lang w:val="pt-BR"/>
              </w:rPr>
            </w:pPr>
          </w:p>
        </w:tc>
        <w:tc>
          <w:tcPr>
            <w:tcW w:w="3330" w:type="dxa"/>
          </w:tcPr>
          <w:p w14:paraId="4047951C" w14:textId="77777777" w:rsidR="00A03982" w:rsidRPr="005B5418" w:rsidRDefault="00A03982" w:rsidP="00A03982">
            <w:pPr>
              <w:pStyle w:val="BodyTextIndent"/>
              <w:spacing w:before="60" w:after="60"/>
              <w:rPr>
                <w:rFonts w:cs="Arial"/>
                <w:lang w:val="pt-BR"/>
              </w:rPr>
            </w:pPr>
          </w:p>
        </w:tc>
      </w:tr>
      <w:tr w:rsidR="00A03982" w:rsidRPr="005B5418" w14:paraId="3366D0FC" w14:textId="77777777" w:rsidTr="00935832">
        <w:trPr>
          <w:trHeight w:val="440"/>
        </w:trPr>
        <w:tc>
          <w:tcPr>
            <w:tcW w:w="5395" w:type="dxa"/>
          </w:tcPr>
          <w:p w14:paraId="72DA0DAA" w14:textId="372355E5"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425ED">
              <w:t xml:space="preserve"> </w:t>
            </w:r>
            <w:r w:rsidRPr="005B5418">
              <w:t>update the discount rate as part of the remeasurement if one or both of the following changes have occurred and the changes, individually or in the aggregate, are expected to significantly affect the amount of the lease liability?</w:t>
            </w:r>
          </w:p>
          <w:p w14:paraId="324B3AAE" w14:textId="51E1C9CA" w:rsidR="00A03982" w:rsidRPr="005B5418" w:rsidRDefault="00A03982" w:rsidP="005425ED">
            <w:pPr>
              <w:pStyle w:val="FAM-Table-outline2"/>
              <w:spacing w:line="240" w:lineRule="auto"/>
              <w:ind w:left="1140" w:hanging="443"/>
            </w:pPr>
            <w:r w:rsidRPr="005B5418">
              <w:t>There is a change in the lease term</w:t>
            </w:r>
          </w:p>
          <w:p w14:paraId="0B16EBDF" w14:textId="5E073DEC" w:rsidR="00A03982" w:rsidRPr="005B5418" w:rsidRDefault="00A03982" w:rsidP="005425ED">
            <w:pPr>
              <w:pStyle w:val="FAM-Table-outline2"/>
              <w:spacing w:line="240" w:lineRule="auto"/>
              <w:ind w:left="1140" w:hanging="443"/>
            </w:pPr>
            <w:r w:rsidRPr="005B5418">
              <w:t>An assessment of all relevant factors indicates that the likelihood of a purchase option being exercised has changed from probable to not probable, or vice versa</w:t>
            </w:r>
          </w:p>
          <w:p w14:paraId="09638881" w14:textId="77777777" w:rsidR="00A03982" w:rsidRPr="005B5418" w:rsidRDefault="00A03982" w:rsidP="005425ED">
            <w:pPr>
              <w:pStyle w:val="FAM-Table-outline2"/>
              <w:numPr>
                <w:ilvl w:val="0"/>
                <w:numId w:val="0"/>
              </w:numPr>
              <w:spacing w:line="240" w:lineRule="auto"/>
              <w:ind w:left="1140"/>
            </w:pPr>
            <w:r w:rsidRPr="005B5418">
              <w:t>(SFFAS 54, para. 46)</w:t>
            </w:r>
          </w:p>
        </w:tc>
        <w:tc>
          <w:tcPr>
            <w:tcW w:w="990" w:type="dxa"/>
          </w:tcPr>
          <w:p w14:paraId="4A788312" w14:textId="77777777" w:rsidR="00A03982" w:rsidRPr="005B5418" w:rsidRDefault="00A03982" w:rsidP="00A03982">
            <w:pPr>
              <w:pStyle w:val="Table-Cell-CenterBoldBefore6ptAfter6pt"/>
              <w:spacing w:before="60" w:after="60"/>
              <w:rPr>
                <w:rFonts w:cs="Arial"/>
                <w:lang w:val="pt-BR"/>
              </w:rPr>
            </w:pPr>
          </w:p>
        </w:tc>
        <w:tc>
          <w:tcPr>
            <w:tcW w:w="3330" w:type="dxa"/>
          </w:tcPr>
          <w:p w14:paraId="0C492AF3" w14:textId="77777777" w:rsidR="00A03982" w:rsidRPr="005B5418" w:rsidRDefault="00A03982" w:rsidP="00A03982">
            <w:pPr>
              <w:pStyle w:val="BodyTextIndent"/>
              <w:spacing w:before="60" w:after="60"/>
              <w:rPr>
                <w:rFonts w:cs="Arial"/>
                <w:lang w:val="pt-BR"/>
              </w:rPr>
            </w:pPr>
          </w:p>
        </w:tc>
      </w:tr>
      <w:tr w:rsidR="00A03982" w:rsidRPr="005B5418" w14:paraId="0A7B1D82" w14:textId="77777777" w:rsidTr="00935832">
        <w:trPr>
          <w:trHeight w:val="440"/>
        </w:trPr>
        <w:tc>
          <w:tcPr>
            <w:tcW w:w="5395" w:type="dxa"/>
          </w:tcPr>
          <w:p w14:paraId="4686B7FE" w14:textId="43BD9E8F" w:rsidR="00A03982" w:rsidRPr="005B5418" w:rsidRDefault="00A03982" w:rsidP="005425ED">
            <w:pPr>
              <w:pStyle w:val="FAM-Table-outline"/>
              <w:widowControl/>
              <w:numPr>
                <w:ilvl w:val="0"/>
                <w:numId w:val="126"/>
              </w:numPr>
              <w:adjustRightInd/>
              <w:spacing w:line="240" w:lineRule="auto"/>
              <w:textAlignment w:val="auto"/>
            </w:pPr>
            <w:r w:rsidRPr="005B5418">
              <w:t>If the discount rate is required to be updated based on the provisions in SFFAS 54, para. 46, is the discount rate based on the revised interest rate the lessor charges the lessee at the time the discount rate is updated? (SFFAS 54, para. 48)</w:t>
            </w:r>
          </w:p>
        </w:tc>
        <w:tc>
          <w:tcPr>
            <w:tcW w:w="990" w:type="dxa"/>
          </w:tcPr>
          <w:p w14:paraId="394D5920" w14:textId="77777777" w:rsidR="00A03982" w:rsidRPr="005B5418" w:rsidRDefault="00A03982" w:rsidP="00A03982">
            <w:pPr>
              <w:pStyle w:val="Table-Cell-CenterBoldBefore6ptAfter6pt"/>
              <w:spacing w:before="60" w:after="60"/>
              <w:rPr>
                <w:rFonts w:cs="Arial"/>
                <w:lang w:val="pt-BR"/>
              </w:rPr>
            </w:pPr>
          </w:p>
        </w:tc>
        <w:tc>
          <w:tcPr>
            <w:tcW w:w="3330" w:type="dxa"/>
          </w:tcPr>
          <w:p w14:paraId="6760EFE6" w14:textId="77777777" w:rsidR="00A03982" w:rsidRPr="005B5418" w:rsidRDefault="00A03982" w:rsidP="00A03982">
            <w:pPr>
              <w:pStyle w:val="BodyTextIndent"/>
              <w:spacing w:before="60" w:after="60"/>
              <w:rPr>
                <w:rFonts w:cs="Arial"/>
                <w:lang w:val="pt-BR"/>
              </w:rPr>
            </w:pPr>
          </w:p>
        </w:tc>
      </w:tr>
      <w:tr w:rsidR="00A03982" w:rsidRPr="005B5418" w14:paraId="22074249" w14:textId="77777777" w:rsidTr="00935832">
        <w:trPr>
          <w:trHeight w:val="440"/>
        </w:trPr>
        <w:tc>
          <w:tcPr>
            <w:tcW w:w="5395" w:type="dxa"/>
          </w:tcPr>
          <w:p w14:paraId="0EE3BCBA" w14:textId="668A420C" w:rsidR="00A03982" w:rsidRPr="005B5418" w:rsidRDefault="00A03982" w:rsidP="005425ED">
            <w:pPr>
              <w:pStyle w:val="FAM-Table-outline"/>
              <w:widowControl/>
              <w:numPr>
                <w:ilvl w:val="0"/>
                <w:numId w:val="126"/>
              </w:numPr>
              <w:adjustRightInd/>
              <w:spacing w:line="240" w:lineRule="auto"/>
              <w:textAlignment w:val="auto"/>
            </w:pPr>
            <w:r w:rsidRPr="005B5418">
              <w:t xml:space="preserve">If the interest rate the lessor charges the lessee at the time the discount rate is updated cannot be readily determined, does the </w:t>
            </w:r>
            <w:r w:rsidRPr="005B5418">
              <w:rPr>
                <w:b/>
                <w:bCs/>
              </w:rPr>
              <w:t>lessee</w:t>
            </w:r>
            <w:r w:rsidRPr="005B5418">
              <w:t xml:space="preserve"> use the interest rate on marketable Treasury securities with a similar maturity to the term of the lease at the time the discount rate is updated? (SFFAS 54, para. 48)</w:t>
            </w:r>
          </w:p>
        </w:tc>
        <w:tc>
          <w:tcPr>
            <w:tcW w:w="990" w:type="dxa"/>
          </w:tcPr>
          <w:p w14:paraId="51CBEB55" w14:textId="77777777" w:rsidR="00A03982" w:rsidRPr="005B5418" w:rsidRDefault="00A03982" w:rsidP="00A03982">
            <w:pPr>
              <w:pStyle w:val="Table-Cell-CenterBoldBefore6ptAfter6pt"/>
              <w:spacing w:before="60" w:after="60"/>
              <w:rPr>
                <w:rFonts w:cs="Arial"/>
                <w:lang w:val="pt-BR"/>
              </w:rPr>
            </w:pPr>
          </w:p>
        </w:tc>
        <w:tc>
          <w:tcPr>
            <w:tcW w:w="3330" w:type="dxa"/>
          </w:tcPr>
          <w:p w14:paraId="17100BD3" w14:textId="77777777" w:rsidR="00A03982" w:rsidRPr="005B5418" w:rsidRDefault="00A03982" w:rsidP="00A03982">
            <w:pPr>
              <w:pStyle w:val="BodyTextIndent"/>
              <w:spacing w:before="60" w:after="60"/>
              <w:rPr>
                <w:rFonts w:cs="Arial"/>
                <w:lang w:val="pt-BR"/>
              </w:rPr>
            </w:pPr>
          </w:p>
        </w:tc>
      </w:tr>
      <w:tr w:rsidR="00A03982" w:rsidRPr="005B5418" w14:paraId="3445BE3F" w14:textId="77777777" w:rsidTr="00935832">
        <w:trPr>
          <w:trHeight w:val="359"/>
        </w:trPr>
        <w:tc>
          <w:tcPr>
            <w:tcW w:w="5395" w:type="dxa"/>
          </w:tcPr>
          <w:p w14:paraId="39315817" w14:textId="19DB694D"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425ED">
              <w:t xml:space="preserve"> </w:t>
            </w:r>
            <w:r w:rsidRPr="005B5418">
              <w:t>recognize lease incentives received before the commencement of the lease term as advances received (liability)? (</w:t>
            </w:r>
            <w:r w:rsidR="00C140EF" w:rsidRPr="005B5418">
              <w:t>TR 20</w:t>
            </w:r>
            <w:r w:rsidRPr="005B5418">
              <w:t>, para. 74)</w:t>
            </w:r>
          </w:p>
        </w:tc>
        <w:tc>
          <w:tcPr>
            <w:tcW w:w="990" w:type="dxa"/>
          </w:tcPr>
          <w:p w14:paraId="350D3403" w14:textId="77777777" w:rsidR="00A03982" w:rsidRPr="005B5418" w:rsidRDefault="00A03982" w:rsidP="00A03982">
            <w:pPr>
              <w:pStyle w:val="Table-Cell-CenterBoldBefore6ptAfter6pt"/>
              <w:spacing w:before="60" w:after="60"/>
              <w:rPr>
                <w:rFonts w:cs="Arial"/>
                <w:lang w:val="pt-BR"/>
              </w:rPr>
            </w:pPr>
          </w:p>
        </w:tc>
        <w:tc>
          <w:tcPr>
            <w:tcW w:w="3330" w:type="dxa"/>
          </w:tcPr>
          <w:p w14:paraId="56911FC5" w14:textId="77777777" w:rsidR="00A03982" w:rsidRPr="005B5418" w:rsidRDefault="00A03982" w:rsidP="00A03982">
            <w:pPr>
              <w:pStyle w:val="BodyTextIndent"/>
              <w:spacing w:before="60" w:after="60"/>
              <w:rPr>
                <w:rFonts w:cs="Arial"/>
                <w:lang w:val="pt-BR"/>
              </w:rPr>
            </w:pPr>
          </w:p>
        </w:tc>
      </w:tr>
      <w:tr w:rsidR="00A03982" w:rsidRPr="005B5418" w14:paraId="6BA83D6C" w14:textId="77777777" w:rsidTr="00935832">
        <w:trPr>
          <w:trHeight w:val="1205"/>
        </w:trPr>
        <w:tc>
          <w:tcPr>
            <w:tcW w:w="5395" w:type="dxa"/>
          </w:tcPr>
          <w:p w14:paraId="0188F4C9" w14:textId="5C78A518"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425ED">
              <w:t xml:space="preserve"> </w:t>
            </w:r>
            <w:r w:rsidRPr="005B5418">
              <w:t xml:space="preserve">include lease incentive and lease concession payments to be received after the commencement of the lease term in initial measurement and any remeasurement </w:t>
            </w:r>
            <w:r w:rsidRPr="005B5418">
              <w:lastRenderedPageBreak/>
              <w:t>of lease liability if they are fixed or fixed in substance? (SFFAS 54, para. 71)</w:t>
            </w:r>
          </w:p>
        </w:tc>
        <w:tc>
          <w:tcPr>
            <w:tcW w:w="990" w:type="dxa"/>
          </w:tcPr>
          <w:p w14:paraId="7E2361D0" w14:textId="77777777" w:rsidR="00A03982" w:rsidRPr="005B5418" w:rsidRDefault="00A03982" w:rsidP="00A03982">
            <w:pPr>
              <w:pStyle w:val="Table-Cell-CenterBoldBefore6ptAfter6pt"/>
              <w:spacing w:before="60" w:after="60"/>
              <w:rPr>
                <w:rFonts w:cs="Arial"/>
                <w:lang w:val="pt-BR"/>
              </w:rPr>
            </w:pPr>
          </w:p>
        </w:tc>
        <w:tc>
          <w:tcPr>
            <w:tcW w:w="3330" w:type="dxa"/>
          </w:tcPr>
          <w:p w14:paraId="2E6C5B81" w14:textId="77777777" w:rsidR="00A03982" w:rsidRPr="005B5418" w:rsidRDefault="00A03982" w:rsidP="00A03982">
            <w:pPr>
              <w:pStyle w:val="BodyTextIndent"/>
              <w:spacing w:before="60" w:after="60"/>
              <w:rPr>
                <w:rFonts w:cs="Arial"/>
                <w:lang w:val="pt-BR"/>
              </w:rPr>
            </w:pPr>
          </w:p>
        </w:tc>
      </w:tr>
      <w:tr w:rsidR="00A03982" w:rsidRPr="005B5418" w14:paraId="3D3E5E21" w14:textId="77777777" w:rsidTr="00935832">
        <w:trPr>
          <w:trHeight w:val="1205"/>
        </w:trPr>
        <w:tc>
          <w:tcPr>
            <w:tcW w:w="5395" w:type="dxa"/>
          </w:tcPr>
          <w:p w14:paraId="35EEDCB4" w14:textId="1A760568"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exclude variable or contingent lease incentive or lease concession payments from initial measurement of lease liability? (SFFAS 54, para. 71)</w:t>
            </w:r>
          </w:p>
        </w:tc>
        <w:tc>
          <w:tcPr>
            <w:tcW w:w="990" w:type="dxa"/>
          </w:tcPr>
          <w:p w14:paraId="2795B9D6" w14:textId="77777777" w:rsidR="00A03982" w:rsidRPr="005B5418" w:rsidRDefault="00A03982" w:rsidP="00A03982">
            <w:pPr>
              <w:pStyle w:val="Table-Cell-CenterBoldBefore6ptAfter6pt"/>
              <w:spacing w:before="60" w:after="60"/>
              <w:rPr>
                <w:rFonts w:cs="Arial"/>
                <w:lang w:val="pt-BR"/>
              </w:rPr>
            </w:pPr>
          </w:p>
        </w:tc>
        <w:tc>
          <w:tcPr>
            <w:tcW w:w="3330" w:type="dxa"/>
          </w:tcPr>
          <w:p w14:paraId="3607156B" w14:textId="77777777" w:rsidR="00A03982" w:rsidRPr="005B5418" w:rsidRDefault="00A03982" w:rsidP="00A03982">
            <w:pPr>
              <w:pStyle w:val="BodyTextIndent"/>
              <w:spacing w:before="60" w:after="60"/>
              <w:rPr>
                <w:rFonts w:cs="Arial"/>
                <w:lang w:val="pt-BR"/>
              </w:rPr>
            </w:pPr>
          </w:p>
        </w:tc>
      </w:tr>
      <w:tr w:rsidR="00A03982" w:rsidRPr="005B5418" w14:paraId="49E07E8F" w14:textId="77777777" w:rsidTr="00935832">
        <w:trPr>
          <w:trHeight w:val="602"/>
        </w:trPr>
        <w:tc>
          <w:tcPr>
            <w:tcW w:w="9715" w:type="dxa"/>
            <w:gridSpan w:val="3"/>
          </w:tcPr>
          <w:p w14:paraId="204D2065" w14:textId="56DF6405" w:rsidR="00A03982" w:rsidRPr="005B5418" w:rsidRDefault="00A03982" w:rsidP="00A03982">
            <w:pPr>
              <w:pStyle w:val="BodyTextIndent"/>
              <w:spacing w:before="60" w:after="60"/>
              <w:ind w:left="0"/>
              <w:rPr>
                <w:rFonts w:cs="Arial"/>
                <w:lang w:val="pt-BR"/>
              </w:rPr>
            </w:pPr>
            <w:r w:rsidRPr="005B5418">
              <w:rPr>
                <w:rFonts w:cs="Arial"/>
                <w:b/>
                <w:lang w:val="pt-BR"/>
              </w:rPr>
              <w:t>Lessee Disclosure for Non</w:t>
            </w:r>
            <w:r w:rsidR="00A77E85" w:rsidRPr="005B5418">
              <w:rPr>
                <w:rFonts w:cs="Arial"/>
                <w:b/>
                <w:lang w:val="pt-BR"/>
              </w:rPr>
              <w:t>-</w:t>
            </w:r>
            <w:r w:rsidR="007B677C">
              <w:rPr>
                <w:rFonts w:cs="Arial"/>
                <w:b/>
                <w:lang w:val="pt-BR"/>
              </w:rPr>
              <w:t>Federal</w:t>
            </w:r>
            <w:r w:rsidRPr="005B5418">
              <w:rPr>
                <w:rFonts w:cs="Arial"/>
                <w:b/>
                <w:lang w:val="pt-BR"/>
              </w:rPr>
              <w:t xml:space="preserve"> Leases</w:t>
            </w:r>
          </w:p>
        </w:tc>
      </w:tr>
      <w:tr w:rsidR="00A03982" w:rsidRPr="005B5418" w14:paraId="7DE1C0D8" w14:textId="77777777" w:rsidTr="00935832">
        <w:trPr>
          <w:trHeight w:val="64"/>
        </w:trPr>
        <w:tc>
          <w:tcPr>
            <w:tcW w:w="5395" w:type="dxa"/>
          </w:tcPr>
          <w:p w14:paraId="446412CF" w14:textId="2CB12729"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lessee</w:t>
            </w:r>
            <w:r w:rsidRPr="005B5418">
              <w:t xml:space="preserve"> disclose the following regarding lease activities (which may be grouped for purposes of disclosure)?</w:t>
            </w:r>
            <w:r w:rsidRPr="005B5418">
              <w:rPr>
                <w:rStyle w:val="FootnoteReference"/>
              </w:rPr>
              <w:footnoteReference w:id="223"/>
            </w:r>
          </w:p>
          <w:p w14:paraId="4E326764" w14:textId="530CF320" w:rsidR="00A03982" w:rsidRPr="005B5418" w:rsidRDefault="00A03982" w:rsidP="005425ED">
            <w:pPr>
              <w:pStyle w:val="FAM-Table-outline2"/>
              <w:numPr>
                <w:ilvl w:val="1"/>
                <w:numId w:val="65"/>
              </w:numPr>
              <w:spacing w:line="240" w:lineRule="auto"/>
              <w:ind w:left="1140" w:hanging="443"/>
            </w:pPr>
            <w:r w:rsidRPr="005B5418">
              <w:t>A general description of its leasing arrangements, including the basis, terms, and conditions on which variable lease payments not included in the lease liability are determined</w:t>
            </w:r>
          </w:p>
          <w:p w14:paraId="7EB53925" w14:textId="32D7EE43" w:rsidR="00A03982" w:rsidRPr="005B5418" w:rsidRDefault="00A03982" w:rsidP="005425ED">
            <w:pPr>
              <w:pStyle w:val="FAM-Table-outline2"/>
              <w:numPr>
                <w:ilvl w:val="1"/>
                <w:numId w:val="65"/>
              </w:numPr>
              <w:spacing w:line="240" w:lineRule="auto"/>
              <w:ind w:left="1140" w:hanging="443"/>
            </w:pPr>
            <w:r w:rsidRPr="005B5418">
              <w:t>The total amount of the right-to-use lease assets and the related accumulated amortization, to be disclosed separately from other PP&amp;E assets</w:t>
            </w:r>
            <w:r w:rsidRPr="005B5418">
              <w:rPr>
                <w:rStyle w:val="FootnoteReference"/>
              </w:rPr>
              <w:footnoteReference w:id="224"/>
            </w:r>
          </w:p>
          <w:p w14:paraId="095E4E22" w14:textId="20DC5FCD" w:rsidR="00A03982" w:rsidRPr="005B5418" w:rsidRDefault="00A03982" w:rsidP="005425ED">
            <w:pPr>
              <w:pStyle w:val="FAM-Table-outline2"/>
              <w:numPr>
                <w:ilvl w:val="1"/>
                <w:numId w:val="65"/>
              </w:numPr>
              <w:spacing w:line="240" w:lineRule="auto"/>
              <w:ind w:left="1140" w:hanging="443"/>
            </w:pPr>
            <w:r w:rsidRPr="005B5418">
              <w:t xml:space="preserve">The amount of lease expense recognized for the reporting period for variable lease payments not previously included in the lease liability </w:t>
            </w:r>
          </w:p>
          <w:p w14:paraId="01E8346A" w14:textId="4153FEAF" w:rsidR="00A03982" w:rsidRPr="005B5418" w:rsidRDefault="00A03982" w:rsidP="005425ED">
            <w:pPr>
              <w:pStyle w:val="FAM-Table-outline2"/>
              <w:numPr>
                <w:ilvl w:val="1"/>
                <w:numId w:val="65"/>
              </w:numPr>
              <w:spacing w:line="240" w:lineRule="auto"/>
              <w:ind w:left="1140" w:hanging="443"/>
            </w:pPr>
            <w:r w:rsidRPr="005B5418">
              <w:t>Principal and interest requirements to the end of the lease term, presented separately, for the lease liability for each of the 5 subsequent years and in 5-year increments thereafter</w:t>
            </w:r>
          </w:p>
          <w:p w14:paraId="442F739D" w14:textId="4E5E56CA" w:rsidR="00A03982" w:rsidRPr="005B5418" w:rsidRDefault="00A03982" w:rsidP="005425ED">
            <w:pPr>
              <w:pStyle w:val="FAM-Table-outline2"/>
              <w:numPr>
                <w:ilvl w:val="1"/>
                <w:numId w:val="65"/>
              </w:numPr>
              <w:spacing w:line="240" w:lineRule="auto"/>
              <w:ind w:left="1140" w:hanging="443"/>
            </w:pPr>
            <w:r w:rsidRPr="005B5418">
              <w:t>The amount of the annual lease expense and the discount rate used to calculate the lease liability</w:t>
            </w:r>
          </w:p>
          <w:p w14:paraId="6B733536" w14:textId="3D5B0F0E" w:rsidR="00A03982" w:rsidRPr="005B5418" w:rsidRDefault="00A03982" w:rsidP="005425ED">
            <w:pPr>
              <w:pStyle w:val="FAM-Table-outline2"/>
              <w:numPr>
                <w:ilvl w:val="0"/>
                <w:numId w:val="0"/>
              </w:numPr>
              <w:spacing w:line="240" w:lineRule="auto"/>
              <w:ind w:left="1140"/>
            </w:pPr>
            <w:r w:rsidRPr="005B5418">
              <w:br/>
              <w:t xml:space="preserve">(SFFAS 54, para. 54; also see </w:t>
            </w:r>
            <w:r w:rsidR="00C140EF" w:rsidRPr="005B5418">
              <w:t>TR 20</w:t>
            </w:r>
            <w:r w:rsidRPr="005B5418">
              <w:t xml:space="preserve">, </w:t>
            </w:r>
            <w:r w:rsidRPr="005B5418">
              <w:lastRenderedPageBreak/>
              <w:t>paras. 17, 61–62)</w:t>
            </w:r>
          </w:p>
        </w:tc>
        <w:tc>
          <w:tcPr>
            <w:tcW w:w="990" w:type="dxa"/>
          </w:tcPr>
          <w:p w14:paraId="3DCD4E08" w14:textId="77777777" w:rsidR="00A03982" w:rsidRPr="005B5418" w:rsidRDefault="00A03982" w:rsidP="00A03982">
            <w:pPr>
              <w:pStyle w:val="Table-Cell-CenterBoldBefore6ptAfter6pt"/>
              <w:spacing w:before="60" w:after="60"/>
              <w:rPr>
                <w:rFonts w:cs="Arial"/>
                <w:lang w:val="pt-BR"/>
              </w:rPr>
            </w:pPr>
          </w:p>
        </w:tc>
        <w:tc>
          <w:tcPr>
            <w:tcW w:w="3330" w:type="dxa"/>
          </w:tcPr>
          <w:p w14:paraId="083754AA" w14:textId="77777777" w:rsidR="00A03982" w:rsidRPr="005B5418" w:rsidRDefault="00A03982" w:rsidP="00A03982">
            <w:pPr>
              <w:pStyle w:val="BodyTextIndent"/>
              <w:spacing w:before="60" w:after="60"/>
              <w:rPr>
                <w:rFonts w:cs="Arial"/>
                <w:lang w:val="pt-BR"/>
              </w:rPr>
            </w:pPr>
          </w:p>
        </w:tc>
      </w:tr>
      <w:tr w:rsidR="00A03982" w:rsidRPr="005B5418" w14:paraId="2FC97B36" w14:textId="77777777" w:rsidTr="00935832">
        <w:trPr>
          <w:trHeight w:val="458"/>
        </w:trPr>
        <w:tc>
          <w:tcPr>
            <w:tcW w:w="9715" w:type="dxa"/>
            <w:gridSpan w:val="3"/>
          </w:tcPr>
          <w:p w14:paraId="19035466" w14:textId="14346DB6" w:rsidR="00A03982" w:rsidRPr="005B5418" w:rsidRDefault="00A03982" w:rsidP="00A03982">
            <w:pPr>
              <w:pStyle w:val="BodyTextIndent"/>
              <w:spacing w:before="60" w:after="60"/>
              <w:jc w:val="center"/>
              <w:rPr>
                <w:rFonts w:cs="Arial"/>
                <w:lang w:val="pt-BR"/>
              </w:rPr>
            </w:pPr>
            <w:r w:rsidRPr="005B5418">
              <w:rPr>
                <w:rFonts w:eastAsia="Arial Unicode MS"/>
                <w:b/>
                <w:sz w:val="24"/>
              </w:rPr>
              <w:t>Non-</w:t>
            </w:r>
            <w:r w:rsidR="004F6B8A">
              <w:rPr>
                <w:rFonts w:eastAsia="Arial Unicode MS"/>
                <w:b/>
                <w:sz w:val="24"/>
              </w:rPr>
              <w:t>F</w:t>
            </w:r>
            <w:r w:rsidR="004F6B8A" w:rsidRPr="005B5418">
              <w:rPr>
                <w:rFonts w:eastAsia="Arial Unicode MS"/>
                <w:b/>
                <w:sz w:val="24"/>
              </w:rPr>
              <w:t xml:space="preserve">ederal </w:t>
            </w:r>
            <w:r w:rsidRPr="005B5418">
              <w:rPr>
                <w:rFonts w:eastAsia="Arial Unicode MS"/>
                <w:b/>
                <w:sz w:val="24"/>
              </w:rPr>
              <w:t>Leases - Lessor Treatment</w:t>
            </w:r>
          </w:p>
        </w:tc>
      </w:tr>
      <w:tr w:rsidR="00A03982" w:rsidRPr="005B5418" w14:paraId="65921BF5" w14:textId="77777777" w:rsidTr="00935832">
        <w:trPr>
          <w:trHeight w:val="1205"/>
        </w:trPr>
        <w:tc>
          <w:tcPr>
            <w:tcW w:w="5395" w:type="dxa"/>
          </w:tcPr>
          <w:p w14:paraId="5F889C42" w14:textId="050376BF" w:rsidR="00A03982" w:rsidRPr="005B5418" w:rsidRDefault="00A03982" w:rsidP="005425ED">
            <w:pPr>
              <w:pStyle w:val="FAM-Table-outline"/>
              <w:widowControl/>
              <w:numPr>
                <w:ilvl w:val="0"/>
                <w:numId w:val="126"/>
              </w:numPr>
              <w:adjustRightInd/>
              <w:spacing w:line="240" w:lineRule="auto"/>
              <w:textAlignment w:val="auto"/>
            </w:pPr>
            <w:r w:rsidRPr="005B5418">
              <w:t>Is the entity a non-federal lessor? (Answer Y if applicable, N/A if not applicable, or N/S if not significant. If N/A or N/S, skip to the next subtopic.)</w:t>
            </w:r>
          </w:p>
        </w:tc>
        <w:tc>
          <w:tcPr>
            <w:tcW w:w="990" w:type="dxa"/>
          </w:tcPr>
          <w:p w14:paraId="16DF816C" w14:textId="77777777" w:rsidR="00A03982" w:rsidRPr="005B5418" w:rsidRDefault="00A03982" w:rsidP="00A03982">
            <w:pPr>
              <w:pStyle w:val="Table-Cell-CenterBoldBefore6ptAfter6pt"/>
              <w:spacing w:before="60" w:after="60"/>
              <w:rPr>
                <w:rFonts w:cs="Arial"/>
                <w:lang w:val="pt-BR"/>
              </w:rPr>
            </w:pPr>
          </w:p>
        </w:tc>
        <w:tc>
          <w:tcPr>
            <w:tcW w:w="3330" w:type="dxa"/>
          </w:tcPr>
          <w:p w14:paraId="1774BFDD" w14:textId="77777777" w:rsidR="00A03982" w:rsidRPr="005B5418" w:rsidRDefault="00A03982" w:rsidP="00A03982">
            <w:pPr>
              <w:pStyle w:val="BodyTextIndent"/>
              <w:spacing w:before="60" w:after="60"/>
              <w:rPr>
                <w:rFonts w:cs="Arial"/>
                <w:lang w:val="pt-BR"/>
              </w:rPr>
            </w:pPr>
          </w:p>
        </w:tc>
      </w:tr>
      <w:tr w:rsidR="00A03982" w:rsidRPr="005B5418" w14:paraId="12D5CAA3" w14:textId="77777777" w:rsidTr="00935832">
        <w:trPr>
          <w:trHeight w:val="440"/>
        </w:trPr>
        <w:tc>
          <w:tcPr>
            <w:tcW w:w="9715" w:type="dxa"/>
            <w:gridSpan w:val="3"/>
          </w:tcPr>
          <w:p w14:paraId="655F448D" w14:textId="77777777" w:rsidR="00A03982" w:rsidRPr="005425ED" w:rsidRDefault="00A03982" w:rsidP="00465586">
            <w:pPr>
              <w:pStyle w:val="BodyTextIndent"/>
              <w:spacing w:before="60" w:after="60"/>
              <w:rPr>
                <w:i/>
              </w:rPr>
            </w:pPr>
            <w:r w:rsidRPr="005B5418">
              <w:rPr>
                <w:rFonts w:eastAsia="Arial Unicode MS"/>
                <w:b/>
                <w:szCs w:val="22"/>
              </w:rPr>
              <w:t>Accounting</w:t>
            </w:r>
          </w:p>
        </w:tc>
      </w:tr>
      <w:tr w:rsidR="00A03982" w:rsidRPr="005B5418" w14:paraId="0F0334B6" w14:textId="77777777" w:rsidTr="007A7A92">
        <w:trPr>
          <w:trHeight w:val="1097"/>
        </w:trPr>
        <w:tc>
          <w:tcPr>
            <w:tcW w:w="5395" w:type="dxa"/>
          </w:tcPr>
          <w:p w14:paraId="2ECB9AE5" w14:textId="77777777" w:rsidR="00A03982" w:rsidRPr="005B5418" w:rsidRDefault="00A03982" w:rsidP="005425ED">
            <w:pPr>
              <w:pStyle w:val="FAM-Table-outline"/>
              <w:widowControl/>
              <w:numPr>
                <w:ilvl w:val="0"/>
                <w:numId w:val="126"/>
              </w:numPr>
              <w:adjustRightInd/>
              <w:spacing w:line="240" w:lineRule="auto"/>
              <w:textAlignment w:val="auto"/>
            </w:pPr>
            <w:r w:rsidRPr="005B5418">
              <w:t>At the commencement of the lease term, did the</w:t>
            </w:r>
            <w:r w:rsidRPr="005425ED">
              <w:t xml:space="preserve"> </w:t>
            </w:r>
            <w:r w:rsidRPr="005B5418">
              <w:rPr>
                <w:b/>
                <w:bCs/>
              </w:rPr>
              <w:t>lessor</w:t>
            </w:r>
            <w:r w:rsidRPr="005B5418">
              <w:t xml:space="preserve"> recognize a lease receivable and unearned revenue? (SFFAS 54, para. 55)</w:t>
            </w:r>
          </w:p>
        </w:tc>
        <w:tc>
          <w:tcPr>
            <w:tcW w:w="990" w:type="dxa"/>
          </w:tcPr>
          <w:p w14:paraId="54020833" w14:textId="77777777" w:rsidR="00A03982" w:rsidRPr="005B5418" w:rsidRDefault="00A03982" w:rsidP="00A03982">
            <w:pPr>
              <w:pStyle w:val="Table-Cell-CenterBoldBefore6ptAfter6pt"/>
              <w:spacing w:before="60" w:after="60"/>
              <w:rPr>
                <w:rFonts w:cs="Arial"/>
                <w:lang w:val="pt-BR"/>
              </w:rPr>
            </w:pPr>
          </w:p>
        </w:tc>
        <w:tc>
          <w:tcPr>
            <w:tcW w:w="3330" w:type="dxa"/>
          </w:tcPr>
          <w:p w14:paraId="6D017187" w14:textId="77777777" w:rsidR="00A03982" w:rsidRPr="005B5418" w:rsidRDefault="00A03982" w:rsidP="00A03982">
            <w:pPr>
              <w:pStyle w:val="BodyTextIndent"/>
              <w:spacing w:before="60" w:after="60"/>
              <w:rPr>
                <w:rFonts w:cs="Arial"/>
                <w:lang w:val="pt-BR"/>
              </w:rPr>
            </w:pPr>
          </w:p>
        </w:tc>
      </w:tr>
      <w:tr w:rsidR="00A03982" w:rsidRPr="005B5418" w14:paraId="01520F97" w14:textId="77777777" w:rsidTr="00935832">
        <w:trPr>
          <w:trHeight w:val="908"/>
        </w:trPr>
        <w:tc>
          <w:tcPr>
            <w:tcW w:w="5395" w:type="dxa"/>
          </w:tcPr>
          <w:p w14:paraId="599EF476" w14:textId="77777777" w:rsidR="00A03982" w:rsidRPr="005B5418" w:rsidRDefault="00A03982" w:rsidP="005425ED">
            <w:pPr>
              <w:pStyle w:val="FAM-Table-outline"/>
              <w:widowControl/>
              <w:numPr>
                <w:ilvl w:val="0"/>
                <w:numId w:val="126"/>
              </w:numPr>
              <w:adjustRightInd/>
              <w:spacing w:line="240" w:lineRule="auto"/>
              <w:textAlignment w:val="auto"/>
            </w:pPr>
            <w:r w:rsidRPr="005B5418">
              <w:t>At the commencement of the lease term, did the</w:t>
            </w:r>
            <w:r w:rsidRPr="005425ED">
              <w:t xml:space="preserve"> </w:t>
            </w:r>
            <w:r w:rsidRPr="005B5418">
              <w:rPr>
                <w:b/>
                <w:bCs/>
              </w:rPr>
              <w:t>lessor</w:t>
            </w:r>
            <w:r w:rsidRPr="005B5418">
              <w:t xml:space="preserve"> recognize any initial direct lease costs</w:t>
            </w:r>
            <w:r w:rsidRPr="00675EA9">
              <w:rPr>
                <w:rStyle w:val="FootnoteReference"/>
              </w:rPr>
              <w:footnoteReference w:id="225"/>
            </w:r>
            <w:r w:rsidRPr="005B5418">
              <w:t xml:space="preserve"> incurred by the lessor as an expense of the period? (SFFAS 54, para. 55)</w:t>
            </w:r>
          </w:p>
        </w:tc>
        <w:tc>
          <w:tcPr>
            <w:tcW w:w="990" w:type="dxa"/>
          </w:tcPr>
          <w:p w14:paraId="42153998" w14:textId="77777777" w:rsidR="00A03982" w:rsidRPr="005B5418" w:rsidRDefault="00A03982" w:rsidP="00A03982">
            <w:pPr>
              <w:pStyle w:val="Table-Cell-CenterBoldBefore6ptAfter6pt"/>
              <w:spacing w:before="60" w:after="60"/>
              <w:rPr>
                <w:rFonts w:cs="Arial"/>
                <w:lang w:val="pt-BR"/>
              </w:rPr>
            </w:pPr>
          </w:p>
        </w:tc>
        <w:tc>
          <w:tcPr>
            <w:tcW w:w="3330" w:type="dxa"/>
          </w:tcPr>
          <w:p w14:paraId="434F572F" w14:textId="77777777" w:rsidR="00A03982" w:rsidRPr="005B5418" w:rsidRDefault="00A03982" w:rsidP="00A03982">
            <w:pPr>
              <w:pStyle w:val="BodyTextIndent"/>
              <w:spacing w:before="60" w:after="60"/>
              <w:rPr>
                <w:rFonts w:cs="Arial"/>
                <w:lang w:val="pt-BR"/>
              </w:rPr>
            </w:pPr>
          </w:p>
        </w:tc>
      </w:tr>
      <w:tr w:rsidR="00A03982" w:rsidRPr="005B5418" w14:paraId="4357FABE" w14:textId="77777777" w:rsidTr="00935832">
        <w:trPr>
          <w:trHeight w:val="440"/>
        </w:trPr>
        <w:tc>
          <w:tcPr>
            <w:tcW w:w="9715" w:type="dxa"/>
            <w:gridSpan w:val="3"/>
          </w:tcPr>
          <w:p w14:paraId="724B06FD" w14:textId="0C7AEC72" w:rsidR="00A03982" w:rsidRPr="005B5418" w:rsidRDefault="00A03982" w:rsidP="00A03982">
            <w:pPr>
              <w:pStyle w:val="BodyTextIndent"/>
              <w:spacing w:before="60" w:after="60"/>
              <w:rPr>
                <w:rFonts w:cs="Arial"/>
                <w:i/>
                <w:iCs/>
                <w:lang w:val="pt-BR"/>
              </w:rPr>
            </w:pPr>
            <w:r w:rsidRPr="005B5418">
              <w:rPr>
                <w:rFonts w:cs="Arial"/>
                <w:i/>
                <w:iCs/>
                <w:lang w:val="pt-BR"/>
              </w:rPr>
              <w:t>Lease Receivable</w:t>
            </w:r>
          </w:p>
        </w:tc>
      </w:tr>
      <w:tr w:rsidR="00A03982" w:rsidRPr="005B5418" w14:paraId="15BFDA16" w14:textId="77777777" w:rsidTr="00935832">
        <w:trPr>
          <w:trHeight w:val="908"/>
        </w:trPr>
        <w:tc>
          <w:tcPr>
            <w:tcW w:w="5395" w:type="dxa"/>
          </w:tcPr>
          <w:p w14:paraId="37F96603" w14:textId="77777777" w:rsidR="00A03982" w:rsidRPr="005B5418" w:rsidRDefault="00A03982" w:rsidP="005425ED">
            <w:pPr>
              <w:pStyle w:val="FAM-Table-outline"/>
              <w:widowControl/>
              <w:numPr>
                <w:ilvl w:val="0"/>
                <w:numId w:val="126"/>
              </w:numPr>
              <w:adjustRightInd/>
              <w:spacing w:line="240" w:lineRule="auto"/>
              <w:textAlignment w:val="auto"/>
            </w:pPr>
            <w:r w:rsidRPr="005B5418">
              <w:t>Did the</w:t>
            </w:r>
            <w:r w:rsidRPr="005425ED">
              <w:t xml:space="preserve"> </w:t>
            </w:r>
            <w:r w:rsidRPr="005B5418">
              <w:rPr>
                <w:b/>
                <w:bCs/>
              </w:rPr>
              <w:t>lessor</w:t>
            </w:r>
            <w:r w:rsidRPr="005B5418">
              <w:t xml:space="preserve"> initially measure the lease receivable at the present value of lease payments to be received for the lease term, reduced by any provision for uncollectible amounts, and include the following types of payments required by the lease: </w:t>
            </w:r>
          </w:p>
          <w:p w14:paraId="75CB54EF" w14:textId="3A6188EE" w:rsidR="00A03982" w:rsidRPr="005B5418" w:rsidRDefault="00A03982" w:rsidP="005425ED">
            <w:pPr>
              <w:pStyle w:val="FAM-Table-outline2"/>
              <w:numPr>
                <w:ilvl w:val="1"/>
                <w:numId w:val="65"/>
              </w:numPr>
              <w:spacing w:line="240" w:lineRule="auto"/>
              <w:ind w:left="1140" w:hanging="443"/>
            </w:pPr>
            <w:r w:rsidRPr="005B5418">
              <w:t>fixed payments;</w:t>
            </w:r>
          </w:p>
          <w:p w14:paraId="1486387B" w14:textId="4ACED393" w:rsidR="00A03982" w:rsidRPr="005B5418" w:rsidRDefault="00A03982" w:rsidP="005425ED">
            <w:pPr>
              <w:pStyle w:val="FAM-Table-outline2"/>
              <w:spacing w:line="240" w:lineRule="auto"/>
              <w:ind w:left="1140" w:hanging="443"/>
            </w:pPr>
            <w:r w:rsidRPr="005B5418">
              <w:t>variable payments that depend on an index or a rate (such as the Consumer Price Index or a market interest rate), initially measured using the index or rate as of the commencement of the lease term;</w:t>
            </w:r>
          </w:p>
          <w:p w14:paraId="7C3190A2" w14:textId="7B978252" w:rsidR="00A03982" w:rsidRPr="005B5418" w:rsidRDefault="00A03982" w:rsidP="005425ED">
            <w:pPr>
              <w:pStyle w:val="FAM-Table-outline2"/>
              <w:spacing w:line="240" w:lineRule="auto"/>
              <w:ind w:left="1140" w:hanging="443"/>
            </w:pPr>
            <w:r w:rsidRPr="005B5418">
              <w:t>variable lease payments that are fixed in substance;</w:t>
            </w:r>
          </w:p>
          <w:p w14:paraId="1486A1C6" w14:textId="7E6F6E69" w:rsidR="00A03982" w:rsidRPr="005B5418" w:rsidRDefault="00A03982" w:rsidP="005425ED">
            <w:pPr>
              <w:pStyle w:val="FAM-Table-outline2"/>
              <w:spacing w:line="240" w:lineRule="auto"/>
              <w:ind w:left="1140" w:hanging="443"/>
            </w:pPr>
            <w:r w:rsidRPr="005B5418">
              <w:t>residual value guarantees that are fixed payments in substance; and</w:t>
            </w:r>
          </w:p>
          <w:p w14:paraId="0BF8D36B" w14:textId="13EB9E45" w:rsidR="00A03982" w:rsidRPr="005B5418" w:rsidRDefault="00A03982" w:rsidP="005425ED">
            <w:pPr>
              <w:pStyle w:val="FAM-Table-outline2"/>
              <w:spacing w:line="240" w:lineRule="auto"/>
              <w:ind w:left="1140" w:hanging="443"/>
            </w:pPr>
            <w:r w:rsidRPr="005B5418">
              <w:t xml:space="preserve">any lease incentives payable to the lessee? </w:t>
            </w:r>
          </w:p>
          <w:p w14:paraId="63D362F8" w14:textId="77777777" w:rsidR="00A03982" w:rsidRPr="005B5418" w:rsidRDefault="00A03982" w:rsidP="005425ED">
            <w:pPr>
              <w:pStyle w:val="FAM-Table-outline2"/>
              <w:numPr>
                <w:ilvl w:val="0"/>
                <w:numId w:val="0"/>
              </w:numPr>
              <w:spacing w:line="240" w:lineRule="auto"/>
              <w:ind w:left="1140"/>
              <w:rPr>
                <w:rFonts w:eastAsia="Arial Unicode MS" w:cs="Arial"/>
                <w:szCs w:val="22"/>
              </w:rPr>
            </w:pPr>
            <w:r w:rsidRPr="005B5418">
              <w:t>(SFFAS 54, para. 56)</w:t>
            </w:r>
          </w:p>
        </w:tc>
        <w:tc>
          <w:tcPr>
            <w:tcW w:w="990" w:type="dxa"/>
          </w:tcPr>
          <w:p w14:paraId="3F88BFA7" w14:textId="77777777" w:rsidR="00A03982" w:rsidRPr="005B5418" w:rsidRDefault="00A03982" w:rsidP="00A03982">
            <w:pPr>
              <w:pStyle w:val="Table-Cell-CenterBoldBefore6ptAfter6pt"/>
              <w:spacing w:before="60" w:after="60"/>
              <w:rPr>
                <w:rFonts w:cs="Arial"/>
                <w:lang w:val="pt-BR"/>
              </w:rPr>
            </w:pPr>
          </w:p>
        </w:tc>
        <w:tc>
          <w:tcPr>
            <w:tcW w:w="3330" w:type="dxa"/>
          </w:tcPr>
          <w:p w14:paraId="7C2D314C" w14:textId="77777777" w:rsidR="00A03982" w:rsidRPr="005B5418" w:rsidRDefault="00A03982" w:rsidP="00A03982">
            <w:pPr>
              <w:pStyle w:val="BodyTextIndent"/>
              <w:spacing w:before="60" w:after="60"/>
              <w:rPr>
                <w:rFonts w:cs="Arial"/>
                <w:lang w:val="pt-BR"/>
              </w:rPr>
            </w:pPr>
          </w:p>
        </w:tc>
      </w:tr>
      <w:tr w:rsidR="00A03982" w:rsidRPr="005B5418" w14:paraId="4B42C3F0" w14:textId="77777777" w:rsidTr="00935832">
        <w:trPr>
          <w:trHeight w:val="440"/>
        </w:trPr>
        <w:tc>
          <w:tcPr>
            <w:tcW w:w="5395" w:type="dxa"/>
          </w:tcPr>
          <w:p w14:paraId="7B5D0496" w14:textId="6EFEC2BB" w:rsidR="00A03982" w:rsidRPr="005B5418" w:rsidRDefault="00A03982" w:rsidP="005425ED">
            <w:pPr>
              <w:pStyle w:val="FAM-Table-outline"/>
              <w:widowControl/>
              <w:numPr>
                <w:ilvl w:val="0"/>
                <w:numId w:val="126"/>
              </w:numPr>
              <w:adjustRightInd/>
              <w:spacing w:line="240" w:lineRule="auto"/>
              <w:textAlignment w:val="auto"/>
              <w:rPr>
                <w:rFonts w:eastAsia="Arial Unicode MS" w:cs="Arial"/>
                <w:szCs w:val="22"/>
              </w:rPr>
            </w:pPr>
            <w:r w:rsidRPr="005B5418">
              <w:lastRenderedPageBreak/>
              <w:t xml:space="preserve">Aside from any component that is fixed in substance, does the </w:t>
            </w:r>
            <w:r w:rsidRPr="005B5418">
              <w:rPr>
                <w:b/>
                <w:bCs/>
              </w:rPr>
              <w:t>lessor</w:t>
            </w:r>
            <w:r w:rsidRPr="005B5418">
              <w:t xml:space="preserve"> recognize variable payments based on future performance of the lessee or usage of the underlying asset as revenue in the reporting period to which those payments relate, rather than include them in the measurement of the lease receivable? (SFFAS 54, para. 57; also see </w:t>
            </w:r>
            <w:r w:rsidR="00C140EF" w:rsidRPr="005B5418">
              <w:t>TR 20</w:t>
            </w:r>
            <w:r w:rsidRPr="005B5418">
              <w:t>, para. 66)</w:t>
            </w:r>
          </w:p>
        </w:tc>
        <w:tc>
          <w:tcPr>
            <w:tcW w:w="990" w:type="dxa"/>
          </w:tcPr>
          <w:p w14:paraId="3A85DBD0" w14:textId="77777777" w:rsidR="00A03982" w:rsidRPr="005B5418" w:rsidRDefault="00A03982" w:rsidP="00A03982">
            <w:pPr>
              <w:pStyle w:val="Table-Cell-CenterBoldBefore6ptAfter6pt"/>
              <w:spacing w:before="60" w:after="60"/>
              <w:rPr>
                <w:rFonts w:cs="Arial"/>
                <w:lang w:val="pt-BR"/>
              </w:rPr>
            </w:pPr>
          </w:p>
        </w:tc>
        <w:tc>
          <w:tcPr>
            <w:tcW w:w="3330" w:type="dxa"/>
          </w:tcPr>
          <w:p w14:paraId="3C4E9500" w14:textId="77777777" w:rsidR="00A03982" w:rsidRPr="005B5418" w:rsidRDefault="00A03982" w:rsidP="00A03982">
            <w:pPr>
              <w:pStyle w:val="BodyTextIndent"/>
              <w:spacing w:before="60" w:after="60"/>
              <w:rPr>
                <w:rFonts w:cs="Arial"/>
                <w:lang w:val="pt-BR"/>
              </w:rPr>
            </w:pPr>
          </w:p>
        </w:tc>
      </w:tr>
      <w:tr w:rsidR="00A03982" w:rsidRPr="005B5418" w14:paraId="21BEE859" w14:textId="77777777" w:rsidTr="00935832">
        <w:trPr>
          <w:trHeight w:val="440"/>
        </w:trPr>
        <w:tc>
          <w:tcPr>
            <w:tcW w:w="5395" w:type="dxa"/>
          </w:tcPr>
          <w:p w14:paraId="61236BDE" w14:textId="4C9F5D05"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include any component of variable payments based on future performance of the lessee or usage of the underlying asset that is fixed in substance in the measurement of the lease receivable? (SFFAS 54, para. 57; also see </w:t>
            </w:r>
            <w:r w:rsidR="00C140EF" w:rsidRPr="005B5418">
              <w:t>TR 20</w:t>
            </w:r>
            <w:r w:rsidRPr="005B5418">
              <w:t>, para. 65)</w:t>
            </w:r>
          </w:p>
        </w:tc>
        <w:tc>
          <w:tcPr>
            <w:tcW w:w="990" w:type="dxa"/>
          </w:tcPr>
          <w:p w14:paraId="26EE1B3C" w14:textId="77777777" w:rsidR="00A03982" w:rsidRPr="005B5418" w:rsidRDefault="00A03982" w:rsidP="00A03982">
            <w:pPr>
              <w:pStyle w:val="Table-Cell-CenterBoldBefore6ptAfter6pt"/>
              <w:spacing w:before="60" w:after="60"/>
              <w:rPr>
                <w:rFonts w:cs="Arial"/>
                <w:lang w:val="pt-BR"/>
              </w:rPr>
            </w:pPr>
          </w:p>
        </w:tc>
        <w:tc>
          <w:tcPr>
            <w:tcW w:w="3330" w:type="dxa"/>
          </w:tcPr>
          <w:p w14:paraId="1797A2BE" w14:textId="77777777" w:rsidR="00A03982" w:rsidRPr="005B5418" w:rsidRDefault="00A03982" w:rsidP="00A03982">
            <w:pPr>
              <w:pStyle w:val="BodyTextIndent"/>
              <w:spacing w:before="60" w:after="60"/>
              <w:rPr>
                <w:rFonts w:cs="Arial"/>
                <w:lang w:val="pt-BR"/>
              </w:rPr>
            </w:pPr>
          </w:p>
        </w:tc>
      </w:tr>
      <w:tr w:rsidR="00A03982" w:rsidRPr="005B5418" w14:paraId="3DEFBA10" w14:textId="77777777" w:rsidTr="00935832">
        <w:trPr>
          <w:trHeight w:val="440"/>
        </w:trPr>
        <w:tc>
          <w:tcPr>
            <w:tcW w:w="5395" w:type="dxa"/>
          </w:tcPr>
          <w:p w14:paraId="6E3C378A" w14:textId="77777777" w:rsidR="00A03982" w:rsidRPr="005B5418" w:rsidRDefault="00A03982" w:rsidP="005425ED">
            <w:pPr>
              <w:pStyle w:val="FAM-Table-outline"/>
              <w:widowControl/>
              <w:numPr>
                <w:ilvl w:val="0"/>
                <w:numId w:val="126"/>
              </w:numPr>
              <w:adjustRightInd/>
              <w:spacing w:line="240" w:lineRule="auto"/>
              <w:textAlignment w:val="auto"/>
            </w:pPr>
            <w:r w:rsidRPr="005B5418">
              <w:t>Does the</w:t>
            </w:r>
            <w:r w:rsidRPr="005425ED">
              <w:t xml:space="preserve"> </w:t>
            </w:r>
            <w:r w:rsidRPr="005B5418">
              <w:rPr>
                <w:b/>
                <w:bCs/>
              </w:rPr>
              <w:t>lessor</w:t>
            </w:r>
            <w:r w:rsidRPr="005425ED">
              <w:t xml:space="preserve"> </w:t>
            </w:r>
            <w:r w:rsidRPr="005B5418">
              <w:t>recognize amounts to be received under residual value guarantees (that are not fixed in substance) as a receivable and revenue when (a) a guarantee payment is required (as agreed to by the lessee and lessor) and (b) the amount can be reasonably estimated? (SFFAS 54, para. 58)</w:t>
            </w:r>
          </w:p>
        </w:tc>
        <w:tc>
          <w:tcPr>
            <w:tcW w:w="990" w:type="dxa"/>
          </w:tcPr>
          <w:p w14:paraId="172B8A3E" w14:textId="77777777" w:rsidR="00A03982" w:rsidRPr="005B5418" w:rsidRDefault="00A03982" w:rsidP="00A03982">
            <w:pPr>
              <w:pStyle w:val="Table-Cell-CenterBoldBefore6ptAfter6pt"/>
              <w:spacing w:before="60" w:after="60"/>
              <w:rPr>
                <w:rFonts w:cs="Arial"/>
                <w:lang w:val="pt-BR"/>
              </w:rPr>
            </w:pPr>
          </w:p>
        </w:tc>
        <w:tc>
          <w:tcPr>
            <w:tcW w:w="3330" w:type="dxa"/>
          </w:tcPr>
          <w:p w14:paraId="7C632F95" w14:textId="77777777" w:rsidR="00A03982" w:rsidRPr="005B5418" w:rsidRDefault="00A03982" w:rsidP="00A03982">
            <w:pPr>
              <w:pStyle w:val="BodyTextIndent"/>
              <w:spacing w:before="60" w:after="60"/>
              <w:rPr>
                <w:rFonts w:cs="Arial"/>
                <w:lang w:val="pt-BR"/>
              </w:rPr>
            </w:pPr>
          </w:p>
        </w:tc>
      </w:tr>
      <w:tr w:rsidR="00A03982" w:rsidRPr="005B5418" w14:paraId="4D211329" w14:textId="77777777" w:rsidTr="00935832">
        <w:trPr>
          <w:trHeight w:val="440"/>
        </w:trPr>
        <w:tc>
          <w:tcPr>
            <w:tcW w:w="5395" w:type="dxa"/>
          </w:tcPr>
          <w:p w14:paraId="277EB649" w14:textId="066B9151" w:rsidR="00A03982" w:rsidRPr="005B5418" w:rsidRDefault="00A03982" w:rsidP="005425ED">
            <w:pPr>
              <w:pStyle w:val="FAM-Table-outline"/>
              <w:widowControl/>
              <w:numPr>
                <w:ilvl w:val="0"/>
                <w:numId w:val="126"/>
              </w:numPr>
              <w:adjustRightInd/>
              <w:spacing w:line="240" w:lineRule="auto"/>
              <w:textAlignment w:val="auto"/>
            </w:pPr>
            <w:r w:rsidRPr="005B5418">
              <w:t>Does the</w:t>
            </w:r>
            <w:r w:rsidRPr="005425ED">
              <w:t xml:space="preserve"> </w:t>
            </w:r>
            <w:r w:rsidRPr="005B5418">
              <w:rPr>
                <w:b/>
                <w:bCs/>
              </w:rPr>
              <w:t>lessor</w:t>
            </w:r>
            <w:r w:rsidRPr="005B5418">
              <w:t xml:space="preserve"> recognize amounts to be received for the exercise price of a purchase option or penalty for lease termination as a receivable and revenue when those options are exercised? (SFFAS 54, para. 58; also see </w:t>
            </w:r>
            <w:r w:rsidR="00C140EF" w:rsidRPr="005B5418">
              <w:t>TR 20</w:t>
            </w:r>
            <w:r w:rsidRPr="005B5418">
              <w:t>, para. 71)</w:t>
            </w:r>
          </w:p>
        </w:tc>
        <w:tc>
          <w:tcPr>
            <w:tcW w:w="990" w:type="dxa"/>
          </w:tcPr>
          <w:p w14:paraId="4323C584" w14:textId="77777777" w:rsidR="00A03982" w:rsidRPr="005B5418" w:rsidRDefault="00A03982" w:rsidP="00A03982">
            <w:pPr>
              <w:pStyle w:val="Table-Cell-CenterBoldBefore6ptAfter6pt"/>
              <w:spacing w:before="60" w:after="60"/>
              <w:rPr>
                <w:rFonts w:cs="Arial"/>
                <w:lang w:val="pt-BR"/>
              </w:rPr>
            </w:pPr>
          </w:p>
        </w:tc>
        <w:tc>
          <w:tcPr>
            <w:tcW w:w="3330" w:type="dxa"/>
          </w:tcPr>
          <w:p w14:paraId="4E5D3F3B" w14:textId="77777777" w:rsidR="00A03982" w:rsidRPr="005B5418" w:rsidRDefault="00A03982" w:rsidP="00A03982">
            <w:pPr>
              <w:pStyle w:val="BodyTextIndent"/>
              <w:spacing w:before="60" w:after="60"/>
              <w:rPr>
                <w:rFonts w:cs="Arial"/>
                <w:lang w:val="pt-BR"/>
              </w:rPr>
            </w:pPr>
          </w:p>
        </w:tc>
      </w:tr>
      <w:tr w:rsidR="00A03982" w:rsidRPr="005B5418" w14:paraId="4A3D3A69" w14:textId="77777777" w:rsidTr="00935832">
        <w:trPr>
          <w:trHeight w:val="440"/>
        </w:trPr>
        <w:tc>
          <w:tcPr>
            <w:tcW w:w="5395" w:type="dxa"/>
          </w:tcPr>
          <w:p w14:paraId="099EF71D" w14:textId="77777777" w:rsidR="00A03982" w:rsidRPr="005B5418" w:rsidRDefault="00A03982" w:rsidP="005425ED">
            <w:pPr>
              <w:pStyle w:val="FAM-Table-outline"/>
              <w:widowControl/>
              <w:numPr>
                <w:ilvl w:val="0"/>
                <w:numId w:val="126"/>
              </w:numPr>
              <w:adjustRightInd/>
              <w:spacing w:line="240" w:lineRule="auto"/>
              <w:textAlignment w:val="auto"/>
            </w:pPr>
            <w:r w:rsidRPr="005B5418">
              <w:t>Does the</w:t>
            </w:r>
            <w:r w:rsidRPr="005425ED">
              <w:t xml:space="preserve"> </w:t>
            </w:r>
            <w:r w:rsidRPr="005B5418">
              <w:rPr>
                <w:b/>
                <w:bCs/>
              </w:rPr>
              <w:t>lessor</w:t>
            </w:r>
            <w:r w:rsidRPr="005B5418">
              <w:t xml:space="preserve"> discount future lease payments to be received using the interest rate the lessor charges the lessee stated in the lease? (SFFAS 54, para. 59)</w:t>
            </w:r>
          </w:p>
        </w:tc>
        <w:tc>
          <w:tcPr>
            <w:tcW w:w="990" w:type="dxa"/>
          </w:tcPr>
          <w:p w14:paraId="327AD33A" w14:textId="77777777" w:rsidR="00A03982" w:rsidRPr="005B5418" w:rsidRDefault="00A03982" w:rsidP="00A03982">
            <w:pPr>
              <w:pStyle w:val="Table-Cell-CenterBoldBefore6ptAfter6pt"/>
              <w:spacing w:before="60" w:after="60"/>
              <w:rPr>
                <w:rFonts w:cs="Arial"/>
                <w:lang w:val="pt-BR"/>
              </w:rPr>
            </w:pPr>
          </w:p>
        </w:tc>
        <w:tc>
          <w:tcPr>
            <w:tcW w:w="3330" w:type="dxa"/>
          </w:tcPr>
          <w:p w14:paraId="2D061AAF" w14:textId="77777777" w:rsidR="00A03982" w:rsidRPr="005B5418" w:rsidRDefault="00A03982" w:rsidP="00A03982">
            <w:pPr>
              <w:pStyle w:val="BodyTextIndent"/>
              <w:spacing w:before="60" w:after="60"/>
              <w:rPr>
                <w:rFonts w:cs="Arial"/>
                <w:lang w:val="pt-BR"/>
              </w:rPr>
            </w:pPr>
          </w:p>
        </w:tc>
      </w:tr>
      <w:tr w:rsidR="00A03982" w:rsidRPr="005B5418" w14:paraId="36CA5E7E" w14:textId="77777777" w:rsidTr="00935832">
        <w:trPr>
          <w:trHeight w:val="440"/>
        </w:trPr>
        <w:tc>
          <w:tcPr>
            <w:tcW w:w="5395" w:type="dxa"/>
          </w:tcPr>
          <w:p w14:paraId="5D6AC60D" w14:textId="66171A28" w:rsidR="00A03982" w:rsidRPr="005B5418" w:rsidRDefault="00A03982" w:rsidP="005425ED">
            <w:pPr>
              <w:pStyle w:val="FAM-Table-outline"/>
              <w:widowControl/>
              <w:numPr>
                <w:ilvl w:val="0"/>
                <w:numId w:val="126"/>
              </w:numPr>
              <w:adjustRightInd/>
              <w:spacing w:line="240" w:lineRule="auto"/>
              <w:textAlignment w:val="auto"/>
            </w:pPr>
            <w:r w:rsidRPr="005B5418">
              <w:t xml:space="preserve">If the interest rate is not stated in the lease, does the </w:t>
            </w:r>
            <w:r w:rsidRPr="005425ED">
              <w:rPr>
                <w:b/>
              </w:rPr>
              <w:t>lessor</w:t>
            </w:r>
            <w:r w:rsidRPr="005B5418">
              <w:t xml:space="preserve"> discount the future lease payments to be received using an interest rate on marketable Treasury securities at the commencement of the lease term (or at the subsequent financial reporting date, when the </w:t>
            </w:r>
            <w:r w:rsidRPr="005B5418">
              <w:lastRenderedPageBreak/>
              <w:t>lease receivable should be remeasured),</w:t>
            </w:r>
            <w:r w:rsidRPr="005B5418">
              <w:rPr>
                <w:rStyle w:val="FootnoteReference"/>
              </w:rPr>
              <w:footnoteReference w:id="226"/>
            </w:r>
            <w:r w:rsidRPr="005B5418">
              <w:t xml:space="preserve"> with a similar maturity to the term of the lease?</w:t>
            </w:r>
            <w:r w:rsidRPr="005B5418">
              <w:rPr>
                <w:rStyle w:val="FootnoteReference"/>
              </w:rPr>
              <w:footnoteReference w:id="227"/>
            </w:r>
          </w:p>
          <w:p w14:paraId="4373A224" w14:textId="185FAD2D" w:rsidR="00A03982" w:rsidRPr="005B5418" w:rsidRDefault="00A03982" w:rsidP="005425ED">
            <w:pPr>
              <w:pStyle w:val="FAM-Table-outline"/>
              <w:widowControl/>
              <w:numPr>
                <w:ilvl w:val="0"/>
                <w:numId w:val="0"/>
              </w:numPr>
              <w:adjustRightInd/>
              <w:spacing w:line="240" w:lineRule="auto"/>
              <w:ind w:left="666"/>
              <w:textAlignment w:val="auto"/>
              <w:rPr>
                <w:rFonts w:eastAsia="Arial Unicode MS" w:cs="Arial"/>
                <w:szCs w:val="22"/>
              </w:rPr>
            </w:pPr>
            <w:r w:rsidRPr="005B5418">
              <w:t>(SFFAS 54, para. 59)</w:t>
            </w:r>
          </w:p>
        </w:tc>
        <w:tc>
          <w:tcPr>
            <w:tcW w:w="990" w:type="dxa"/>
          </w:tcPr>
          <w:p w14:paraId="46200A15" w14:textId="77777777" w:rsidR="00A03982" w:rsidRPr="005B5418" w:rsidRDefault="00A03982" w:rsidP="00A03982">
            <w:pPr>
              <w:pStyle w:val="Table-Cell-CenterBoldBefore6ptAfter6pt"/>
              <w:spacing w:before="60" w:after="60"/>
              <w:rPr>
                <w:rFonts w:cs="Arial"/>
                <w:lang w:val="pt-BR"/>
              </w:rPr>
            </w:pPr>
          </w:p>
        </w:tc>
        <w:tc>
          <w:tcPr>
            <w:tcW w:w="3330" w:type="dxa"/>
          </w:tcPr>
          <w:p w14:paraId="562F9AA6" w14:textId="77777777" w:rsidR="00A03982" w:rsidRPr="005B5418" w:rsidRDefault="00A03982" w:rsidP="00A03982">
            <w:pPr>
              <w:pStyle w:val="BodyTextIndent"/>
              <w:spacing w:before="60" w:after="60"/>
              <w:rPr>
                <w:rFonts w:cs="Arial"/>
                <w:lang w:val="pt-BR"/>
              </w:rPr>
            </w:pPr>
          </w:p>
        </w:tc>
      </w:tr>
      <w:tr w:rsidR="00A03982" w:rsidRPr="005B5418" w14:paraId="37BF82E8" w14:textId="77777777" w:rsidTr="00935832">
        <w:trPr>
          <w:trHeight w:val="440"/>
        </w:trPr>
        <w:tc>
          <w:tcPr>
            <w:tcW w:w="5395" w:type="dxa"/>
          </w:tcPr>
          <w:p w14:paraId="409C0C03" w14:textId="5A36F4A8" w:rsidR="00A03982" w:rsidRPr="005B5418" w:rsidRDefault="00A03982" w:rsidP="005425ED">
            <w:pPr>
              <w:pStyle w:val="FAM-Table-outline"/>
              <w:widowControl/>
              <w:numPr>
                <w:ilvl w:val="0"/>
                <w:numId w:val="126"/>
              </w:numPr>
              <w:adjustRightInd/>
              <w:spacing w:line="240" w:lineRule="auto"/>
              <w:textAlignment w:val="auto"/>
            </w:pPr>
            <w:r w:rsidRPr="005B5418">
              <w:t xml:space="preserve">In subsequent financial reporting periods, does the </w:t>
            </w:r>
            <w:r w:rsidRPr="005B5418">
              <w:rPr>
                <w:b/>
                <w:bCs/>
              </w:rPr>
              <w:t>lessor</w:t>
            </w:r>
            <w:r w:rsidRPr="005B5418">
              <w:t xml:space="preserve"> calculate the amortization of the discount on the receivable</w:t>
            </w:r>
            <w:r w:rsidRPr="005B5418">
              <w:rPr>
                <w:rStyle w:val="FootnoteReference"/>
              </w:rPr>
              <w:footnoteReference w:id="228"/>
            </w:r>
            <w:r w:rsidRPr="005B5418">
              <w:t xml:space="preserve"> and account for that amount as interest revenue for the period? (SFFAS 54, para. 60)</w:t>
            </w:r>
          </w:p>
        </w:tc>
        <w:tc>
          <w:tcPr>
            <w:tcW w:w="990" w:type="dxa"/>
          </w:tcPr>
          <w:p w14:paraId="3D85A0D6" w14:textId="77777777" w:rsidR="00A03982" w:rsidRPr="005B5418" w:rsidRDefault="00A03982" w:rsidP="00A03982">
            <w:pPr>
              <w:pStyle w:val="Table-Cell-CenterBoldBefore6ptAfter6pt"/>
              <w:spacing w:before="60" w:after="60"/>
              <w:rPr>
                <w:rFonts w:cs="Arial"/>
                <w:lang w:val="pt-BR"/>
              </w:rPr>
            </w:pPr>
          </w:p>
        </w:tc>
        <w:tc>
          <w:tcPr>
            <w:tcW w:w="3330" w:type="dxa"/>
          </w:tcPr>
          <w:p w14:paraId="4A78121A" w14:textId="77777777" w:rsidR="00A03982" w:rsidRPr="005B5418" w:rsidRDefault="00A03982" w:rsidP="00A03982">
            <w:pPr>
              <w:pStyle w:val="BodyTextIndent"/>
              <w:spacing w:before="60" w:after="60"/>
              <w:rPr>
                <w:rFonts w:cs="Arial"/>
                <w:lang w:val="pt-BR"/>
              </w:rPr>
            </w:pPr>
          </w:p>
        </w:tc>
      </w:tr>
      <w:tr w:rsidR="00A03982" w:rsidRPr="005B5418" w14:paraId="10B59A67" w14:textId="77777777" w:rsidTr="00935832">
        <w:trPr>
          <w:trHeight w:val="440"/>
        </w:trPr>
        <w:tc>
          <w:tcPr>
            <w:tcW w:w="5395" w:type="dxa"/>
          </w:tcPr>
          <w:p w14:paraId="75BBA259" w14:textId="77777777" w:rsidR="00A03982" w:rsidRPr="005B5418" w:rsidRDefault="00A03982" w:rsidP="005425ED">
            <w:pPr>
              <w:pStyle w:val="FAM-Table-outline"/>
              <w:widowControl/>
              <w:numPr>
                <w:ilvl w:val="0"/>
                <w:numId w:val="126"/>
              </w:numPr>
              <w:adjustRightInd/>
              <w:spacing w:line="240" w:lineRule="auto"/>
              <w:textAlignment w:val="auto"/>
            </w:pPr>
            <w:r w:rsidRPr="005B5418">
              <w:t>Does the</w:t>
            </w:r>
            <w:r w:rsidRPr="005425ED">
              <w:t xml:space="preserve"> </w:t>
            </w:r>
            <w:r w:rsidRPr="005B5418">
              <w:rPr>
                <w:b/>
                <w:bCs/>
              </w:rPr>
              <w:t>lessor</w:t>
            </w:r>
            <w:r w:rsidRPr="005B5418">
              <w:t xml:space="preserve"> first allocate any payments received to the accrued interest receivable and then to the lease receivable? (SFFAS 54, para. 60)</w:t>
            </w:r>
          </w:p>
        </w:tc>
        <w:tc>
          <w:tcPr>
            <w:tcW w:w="990" w:type="dxa"/>
          </w:tcPr>
          <w:p w14:paraId="3A501F27" w14:textId="77777777" w:rsidR="00A03982" w:rsidRPr="005B5418" w:rsidRDefault="00A03982" w:rsidP="00A03982">
            <w:pPr>
              <w:pStyle w:val="Table-Cell-CenterBoldBefore6ptAfter6pt"/>
              <w:spacing w:before="60" w:after="60"/>
              <w:rPr>
                <w:rFonts w:cs="Arial"/>
                <w:lang w:val="pt-BR"/>
              </w:rPr>
            </w:pPr>
          </w:p>
        </w:tc>
        <w:tc>
          <w:tcPr>
            <w:tcW w:w="3330" w:type="dxa"/>
          </w:tcPr>
          <w:p w14:paraId="2EC7E785" w14:textId="77777777" w:rsidR="00A03982" w:rsidRPr="005B5418" w:rsidRDefault="00A03982" w:rsidP="00A03982">
            <w:pPr>
              <w:pStyle w:val="BodyTextIndent"/>
              <w:spacing w:before="60" w:after="60"/>
              <w:rPr>
                <w:rFonts w:cs="Arial"/>
                <w:lang w:val="pt-BR"/>
              </w:rPr>
            </w:pPr>
          </w:p>
        </w:tc>
      </w:tr>
      <w:tr w:rsidR="00A03982" w:rsidRPr="005B5418" w14:paraId="524682E3" w14:textId="77777777" w:rsidTr="00935832">
        <w:trPr>
          <w:trHeight w:val="440"/>
        </w:trPr>
        <w:tc>
          <w:tcPr>
            <w:tcW w:w="5395" w:type="dxa"/>
          </w:tcPr>
          <w:p w14:paraId="7DB1F11F" w14:textId="1F535995"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remeasure the lease receivable at subsequent financial reporting dates if one or more of the following changes have occurred at or before that financial reporting date, based on the most recent lease contract or agreement before the changes, and the changes individually or in the aggregate, are expected to significantly affect the amount of the lease receivable since the previous measurement?</w:t>
            </w:r>
          </w:p>
          <w:p w14:paraId="2E7C3025" w14:textId="512374BD" w:rsidR="00A03982" w:rsidRPr="005B5418" w:rsidRDefault="00A03982" w:rsidP="005425ED">
            <w:pPr>
              <w:pStyle w:val="FAM-Table-outline2"/>
              <w:numPr>
                <w:ilvl w:val="1"/>
                <w:numId w:val="65"/>
              </w:numPr>
              <w:spacing w:line="240" w:lineRule="auto"/>
              <w:ind w:left="1140" w:hanging="443"/>
            </w:pPr>
            <w:r w:rsidRPr="005B5418">
              <w:t>There is a change in the lease term</w:t>
            </w:r>
            <w:r w:rsidR="004F6B8A">
              <w:t>.</w:t>
            </w:r>
          </w:p>
          <w:p w14:paraId="6D4FB4E9" w14:textId="58424EED" w:rsidR="00A03982" w:rsidRPr="005B5418" w:rsidRDefault="00A03982" w:rsidP="005425ED">
            <w:pPr>
              <w:pStyle w:val="FAM-Table-outline2"/>
              <w:numPr>
                <w:ilvl w:val="1"/>
                <w:numId w:val="65"/>
              </w:numPr>
              <w:spacing w:line="240" w:lineRule="auto"/>
              <w:ind w:left="1140" w:hanging="443"/>
            </w:pPr>
            <w:r w:rsidRPr="005B5418">
              <w:t>There is a change in the interest rate the lessor charges the lessee.</w:t>
            </w:r>
          </w:p>
          <w:p w14:paraId="25DC34B3" w14:textId="02DAB2E4" w:rsidR="00A03982" w:rsidRPr="005B5418" w:rsidRDefault="00A03982" w:rsidP="005425ED">
            <w:pPr>
              <w:pStyle w:val="FAM-Table-outline2"/>
              <w:numPr>
                <w:ilvl w:val="1"/>
                <w:numId w:val="65"/>
              </w:numPr>
              <w:spacing w:line="240" w:lineRule="auto"/>
              <w:ind w:left="1140" w:hanging="443"/>
            </w:pPr>
            <w:r w:rsidRPr="005B5418">
              <w:t xml:space="preserve">A contingency, upon which some or all of the variable payments that will be received over the remainder of the lease term are based, is resolved such that those payments now meet the criteria for </w:t>
            </w:r>
            <w:r w:rsidRPr="005B5418">
              <w:lastRenderedPageBreak/>
              <w:t>measuring the lease receivable in SFFAS 54, para. 56</w:t>
            </w:r>
            <w:r w:rsidR="004F6B8A">
              <w:t>.</w:t>
            </w:r>
            <w:r w:rsidRPr="005B5418">
              <w:t xml:space="preserve"> </w:t>
            </w:r>
          </w:p>
          <w:p w14:paraId="0BDE79CB" w14:textId="77777777" w:rsidR="00A03982" w:rsidRPr="005B5418" w:rsidRDefault="00A03982" w:rsidP="005425ED">
            <w:pPr>
              <w:pStyle w:val="FAM-Table-outline2"/>
              <w:numPr>
                <w:ilvl w:val="0"/>
                <w:numId w:val="0"/>
              </w:numPr>
              <w:spacing w:line="240" w:lineRule="auto"/>
              <w:ind w:left="1140"/>
              <w:rPr>
                <w:rFonts w:eastAsia="Arial Unicode MS" w:cs="Arial"/>
                <w:szCs w:val="22"/>
              </w:rPr>
            </w:pPr>
            <w:r w:rsidRPr="005B5418">
              <w:t xml:space="preserve">(SFFAS 54, para. 61) </w:t>
            </w:r>
          </w:p>
        </w:tc>
        <w:tc>
          <w:tcPr>
            <w:tcW w:w="990" w:type="dxa"/>
          </w:tcPr>
          <w:p w14:paraId="70F30E26" w14:textId="77777777" w:rsidR="00A03982" w:rsidRPr="005B5418" w:rsidRDefault="00A03982" w:rsidP="00A03982">
            <w:pPr>
              <w:pStyle w:val="Table-Cell-CenterBoldBefore6ptAfter6pt"/>
              <w:spacing w:before="60" w:after="60"/>
              <w:rPr>
                <w:rFonts w:cs="Arial"/>
                <w:lang w:val="pt-BR"/>
              </w:rPr>
            </w:pPr>
          </w:p>
        </w:tc>
        <w:tc>
          <w:tcPr>
            <w:tcW w:w="3330" w:type="dxa"/>
          </w:tcPr>
          <w:p w14:paraId="3772CADB" w14:textId="77777777" w:rsidR="00A03982" w:rsidRPr="005B5418" w:rsidRDefault="00A03982" w:rsidP="00A03982">
            <w:pPr>
              <w:pStyle w:val="BodyTextIndent"/>
              <w:spacing w:before="60" w:after="60"/>
              <w:rPr>
                <w:rFonts w:cs="Arial"/>
                <w:lang w:val="pt-BR"/>
              </w:rPr>
            </w:pPr>
          </w:p>
        </w:tc>
      </w:tr>
      <w:tr w:rsidR="00A03982" w:rsidRPr="005B5418" w14:paraId="2D4A9575" w14:textId="77777777" w:rsidTr="00935832">
        <w:trPr>
          <w:trHeight w:val="440"/>
        </w:trPr>
        <w:tc>
          <w:tcPr>
            <w:tcW w:w="5395" w:type="dxa"/>
          </w:tcPr>
          <w:p w14:paraId="3E91A829" w14:textId="45F5177C" w:rsidR="00A03982" w:rsidRPr="005B5418" w:rsidRDefault="00A03982" w:rsidP="005425ED">
            <w:pPr>
              <w:pStyle w:val="FAM-Table-outline"/>
              <w:widowControl/>
              <w:numPr>
                <w:ilvl w:val="0"/>
                <w:numId w:val="126"/>
              </w:numPr>
              <w:adjustRightInd/>
              <w:spacing w:line="240" w:lineRule="auto"/>
              <w:textAlignment w:val="auto"/>
              <w:rPr>
                <w:rFonts w:eastAsia="Arial Unicode MS" w:cs="Arial"/>
                <w:szCs w:val="22"/>
              </w:rPr>
            </w:pPr>
            <w:r w:rsidRPr="005B5418">
              <w:t xml:space="preserve">If a lease receivable is remeasured for any of the changes in SFFAS 54, para. 61, does the </w:t>
            </w:r>
            <w:r w:rsidRPr="005B5418">
              <w:rPr>
                <w:b/>
                <w:bCs/>
              </w:rPr>
              <w:t>lessor</w:t>
            </w:r>
            <w:r w:rsidRPr="005425ED">
              <w:t xml:space="preserve"> </w:t>
            </w:r>
            <w:r w:rsidRPr="005B5418">
              <w:t>adjust the receivable for any change in an index or rate used to determine variable lease payments if that change in the index or rate is expected to significantly affect the amount of the receivable since the previous measurement?</w:t>
            </w:r>
            <w:r w:rsidRPr="005B5418">
              <w:rPr>
                <w:rStyle w:val="FootnoteReference"/>
              </w:rPr>
              <w:footnoteReference w:id="229"/>
            </w:r>
            <w:r w:rsidRPr="005B5418">
              <w:t xml:space="preserve"> (SFFAS 54, para. 62)</w:t>
            </w:r>
          </w:p>
        </w:tc>
        <w:tc>
          <w:tcPr>
            <w:tcW w:w="990" w:type="dxa"/>
          </w:tcPr>
          <w:p w14:paraId="74ED053B" w14:textId="77777777" w:rsidR="00A03982" w:rsidRPr="005B5418" w:rsidRDefault="00A03982" w:rsidP="00A03982">
            <w:pPr>
              <w:pStyle w:val="Table-Cell-CenterBoldBefore6ptAfter6pt"/>
              <w:spacing w:before="60" w:after="60"/>
              <w:rPr>
                <w:rFonts w:cs="Arial"/>
                <w:lang w:val="pt-BR"/>
              </w:rPr>
            </w:pPr>
          </w:p>
        </w:tc>
        <w:tc>
          <w:tcPr>
            <w:tcW w:w="3330" w:type="dxa"/>
          </w:tcPr>
          <w:p w14:paraId="43EEAE8E" w14:textId="77777777" w:rsidR="00A03982" w:rsidRPr="005B5418" w:rsidRDefault="00A03982" w:rsidP="00A03982">
            <w:pPr>
              <w:pStyle w:val="BodyTextIndent"/>
              <w:spacing w:before="60" w:after="60"/>
              <w:rPr>
                <w:rFonts w:cs="Arial"/>
                <w:lang w:val="pt-BR"/>
              </w:rPr>
            </w:pPr>
          </w:p>
        </w:tc>
      </w:tr>
      <w:tr w:rsidR="00A03982" w:rsidRPr="005B5418" w14:paraId="3B09287A" w14:textId="77777777" w:rsidTr="00935832">
        <w:trPr>
          <w:trHeight w:val="440"/>
        </w:trPr>
        <w:tc>
          <w:tcPr>
            <w:tcW w:w="5395" w:type="dxa"/>
          </w:tcPr>
          <w:p w14:paraId="6714B8F5" w14:textId="35D90C45"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425ED">
              <w:t xml:space="preserve"> </w:t>
            </w:r>
            <w:r w:rsidRPr="005B5418">
              <w:t>update the discount rate as part of the remeasurement if one or both of the following changes have occurred and the changes individually or in the aggregate are expected to significantly affect the amount of the lease receivable?</w:t>
            </w:r>
          </w:p>
          <w:p w14:paraId="21087296" w14:textId="1B0D91AC" w:rsidR="00A03982" w:rsidRPr="005B5418" w:rsidRDefault="00A03982" w:rsidP="005425ED">
            <w:pPr>
              <w:pStyle w:val="FAM-Table-outline2"/>
              <w:numPr>
                <w:ilvl w:val="1"/>
                <w:numId w:val="65"/>
              </w:numPr>
              <w:spacing w:line="240" w:lineRule="auto"/>
              <w:ind w:left="1140" w:hanging="443"/>
            </w:pPr>
            <w:r w:rsidRPr="005B5418">
              <w:t>There is a change in the lease term</w:t>
            </w:r>
          </w:p>
          <w:p w14:paraId="5C20A754" w14:textId="729A39D7" w:rsidR="00A03982" w:rsidRPr="005B5418" w:rsidRDefault="00A03982" w:rsidP="005425ED">
            <w:pPr>
              <w:pStyle w:val="FAM-Table-outline2"/>
              <w:numPr>
                <w:ilvl w:val="1"/>
                <w:numId w:val="65"/>
              </w:numPr>
              <w:spacing w:line="240" w:lineRule="auto"/>
              <w:ind w:left="1140" w:hanging="443"/>
              <w:rPr>
                <w:rFonts w:eastAsia="Arial Unicode MS" w:cs="Arial"/>
                <w:szCs w:val="22"/>
              </w:rPr>
            </w:pPr>
            <w:r w:rsidRPr="005B5418">
              <w:t>There is a change in the interest rate the lessor charges the lessee (SFFAS 54, para. 63)</w:t>
            </w:r>
          </w:p>
        </w:tc>
        <w:tc>
          <w:tcPr>
            <w:tcW w:w="990" w:type="dxa"/>
          </w:tcPr>
          <w:p w14:paraId="6BC01C40" w14:textId="77777777" w:rsidR="00A03982" w:rsidRPr="005B5418" w:rsidRDefault="00A03982" w:rsidP="00A03982">
            <w:pPr>
              <w:pStyle w:val="Table-Cell-CenterBoldBefore6ptAfter6pt"/>
              <w:spacing w:before="60" w:after="60"/>
              <w:rPr>
                <w:rFonts w:cs="Arial"/>
                <w:lang w:val="pt-BR"/>
              </w:rPr>
            </w:pPr>
          </w:p>
        </w:tc>
        <w:tc>
          <w:tcPr>
            <w:tcW w:w="3330" w:type="dxa"/>
          </w:tcPr>
          <w:p w14:paraId="4408C22E" w14:textId="77777777" w:rsidR="00A03982" w:rsidRPr="005B5418" w:rsidRDefault="00A03982" w:rsidP="00A03982">
            <w:pPr>
              <w:pStyle w:val="BodyTextIndent"/>
              <w:spacing w:before="60" w:after="60"/>
              <w:rPr>
                <w:rFonts w:cs="Arial"/>
                <w:lang w:val="pt-BR"/>
              </w:rPr>
            </w:pPr>
          </w:p>
        </w:tc>
      </w:tr>
      <w:tr w:rsidR="00A03982" w:rsidRPr="005B5418" w14:paraId="74FD1B44" w14:textId="77777777" w:rsidTr="00935832">
        <w:trPr>
          <w:trHeight w:val="440"/>
        </w:trPr>
        <w:tc>
          <w:tcPr>
            <w:tcW w:w="5395" w:type="dxa"/>
          </w:tcPr>
          <w:p w14:paraId="7DE75E8C" w14:textId="4F74591B" w:rsidR="00A03982" w:rsidRPr="005B5418" w:rsidRDefault="00A03982" w:rsidP="005425ED">
            <w:pPr>
              <w:pStyle w:val="FAM-Table-outline"/>
              <w:widowControl/>
              <w:numPr>
                <w:ilvl w:val="0"/>
                <w:numId w:val="126"/>
              </w:numPr>
              <w:adjustRightInd/>
              <w:spacing w:line="240" w:lineRule="auto"/>
              <w:textAlignment w:val="auto"/>
            </w:pPr>
            <w:r w:rsidRPr="005B5418">
              <w:t xml:space="preserve">If the criteria to update the discount rate are met in SFFAS 54, para. 63, does the </w:t>
            </w:r>
            <w:r w:rsidRPr="005B5418">
              <w:rPr>
                <w:b/>
                <w:bCs/>
              </w:rPr>
              <w:t>lessor</w:t>
            </w:r>
            <w:r w:rsidRPr="005425ED">
              <w:t xml:space="preserve"> </w:t>
            </w:r>
            <w:r w:rsidRPr="005B5418">
              <w:t>remeasure the lease receivable using the revised discount rate? (</w:t>
            </w:r>
            <w:r w:rsidR="00C140EF" w:rsidRPr="005B5418">
              <w:t>TR 20</w:t>
            </w:r>
            <w:r w:rsidRPr="005B5418">
              <w:t>, para. 68)</w:t>
            </w:r>
          </w:p>
        </w:tc>
        <w:tc>
          <w:tcPr>
            <w:tcW w:w="990" w:type="dxa"/>
          </w:tcPr>
          <w:p w14:paraId="30232D34" w14:textId="77777777" w:rsidR="00A03982" w:rsidRPr="005B5418" w:rsidRDefault="00A03982" w:rsidP="00A03982">
            <w:pPr>
              <w:pStyle w:val="Table-Cell-CenterBoldBefore6ptAfter6pt"/>
              <w:spacing w:before="60" w:after="60"/>
              <w:rPr>
                <w:rFonts w:cs="Arial"/>
                <w:lang w:val="pt-BR"/>
              </w:rPr>
            </w:pPr>
          </w:p>
        </w:tc>
        <w:tc>
          <w:tcPr>
            <w:tcW w:w="3330" w:type="dxa"/>
          </w:tcPr>
          <w:p w14:paraId="5089DF9C" w14:textId="77777777" w:rsidR="00A03982" w:rsidRPr="005B5418" w:rsidRDefault="00A03982" w:rsidP="00A03982">
            <w:pPr>
              <w:pStyle w:val="BodyTextIndent"/>
              <w:spacing w:before="60" w:after="60"/>
              <w:rPr>
                <w:rFonts w:cs="Arial"/>
                <w:lang w:val="pt-BR"/>
              </w:rPr>
            </w:pPr>
          </w:p>
        </w:tc>
      </w:tr>
      <w:tr w:rsidR="00A03982" w:rsidRPr="005B5418" w14:paraId="0EC969D1" w14:textId="77777777" w:rsidTr="00935832">
        <w:trPr>
          <w:trHeight w:val="809"/>
        </w:trPr>
        <w:tc>
          <w:tcPr>
            <w:tcW w:w="5395" w:type="dxa"/>
          </w:tcPr>
          <w:p w14:paraId="3D728BA7" w14:textId="1CBEA0F7"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include lease incentive and lease concession payments to be provided after the commencement of the lease term in initial measurement and any remeasurement of lease receivable if they are fixed or fixed in substance? (SFFAS 54, para. 71)</w:t>
            </w:r>
          </w:p>
        </w:tc>
        <w:tc>
          <w:tcPr>
            <w:tcW w:w="990" w:type="dxa"/>
          </w:tcPr>
          <w:p w14:paraId="6E6456BD" w14:textId="77777777" w:rsidR="00A03982" w:rsidRPr="005B5418" w:rsidRDefault="00A03982" w:rsidP="00A03982">
            <w:pPr>
              <w:pStyle w:val="Table-Cell-CenterBoldBefore6ptAfter6pt"/>
              <w:spacing w:before="60" w:after="60"/>
              <w:rPr>
                <w:rFonts w:cs="Arial"/>
                <w:lang w:val="pt-BR"/>
              </w:rPr>
            </w:pPr>
          </w:p>
        </w:tc>
        <w:tc>
          <w:tcPr>
            <w:tcW w:w="3330" w:type="dxa"/>
          </w:tcPr>
          <w:p w14:paraId="1A607F08" w14:textId="77777777" w:rsidR="00A03982" w:rsidRPr="005B5418" w:rsidRDefault="00A03982" w:rsidP="00A03982">
            <w:pPr>
              <w:pStyle w:val="BodyTextIndent"/>
              <w:spacing w:before="60" w:after="60"/>
              <w:rPr>
                <w:rFonts w:cs="Arial"/>
                <w:lang w:val="pt-BR"/>
              </w:rPr>
            </w:pPr>
          </w:p>
        </w:tc>
      </w:tr>
      <w:tr w:rsidR="00A03982" w:rsidRPr="005B5418" w14:paraId="3918460C" w14:textId="77777777" w:rsidTr="00935832">
        <w:trPr>
          <w:trHeight w:val="2015"/>
        </w:trPr>
        <w:tc>
          <w:tcPr>
            <w:tcW w:w="5395" w:type="dxa"/>
          </w:tcPr>
          <w:p w14:paraId="3708E149" w14:textId="77777777" w:rsidR="00A03982" w:rsidRPr="005B5418" w:rsidRDefault="00A03982" w:rsidP="005425ED">
            <w:pPr>
              <w:pStyle w:val="FAM-Table-outline"/>
              <w:widowControl/>
              <w:numPr>
                <w:ilvl w:val="0"/>
                <w:numId w:val="126"/>
              </w:numPr>
              <w:adjustRightInd/>
              <w:spacing w:line="240" w:lineRule="auto"/>
              <w:textAlignment w:val="auto"/>
            </w:pPr>
            <w:r w:rsidRPr="005B5418">
              <w:t>Does the</w:t>
            </w:r>
            <w:r w:rsidRPr="005425ED">
              <w:t xml:space="preserve"> </w:t>
            </w:r>
            <w:r w:rsidRPr="005B5418">
              <w:rPr>
                <w:b/>
                <w:bCs/>
              </w:rPr>
              <w:t>lessor</w:t>
            </w:r>
            <w:r w:rsidRPr="005B5418">
              <w:t xml:space="preserve"> exclude variable or contingent lease incentive or lease concession payments from initial measurement of lease receivable? (SFFAS 54, para. 71)</w:t>
            </w:r>
          </w:p>
        </w:tc>
        <w:tc>
          <w:tcPr>
            <w:tcW w:w="990" w:type="dxa"/>
          </w:tcPr>
          <w:p w14:paraId="6AB7918D" w14:textId="77777777" w:rsidR="00A03982" w:rsidRPr="005B5418" w:rsidRDefault="00A03982" w:rsidP="00A03982">
            <w:pPr>
              <w:pStyle w:val="Table-Cell-CenterBoldBefore6ptAfter6pt"/>
              <w:spacing w:before="60" w:after="60"/>
              <w:rPr>
                <w:rFonts w:cs="Arial"/>
                <w:lang w:val="pt-BR"/>
              </w:rPr>
            </w:pPr>
          </w:p>
        </w:tc>
        <w:tc>
          <w:tcPr>
            <w:tcW w:w="3330" w:type="dxa"/>
          </w:tcPr>
          <w:p w14:paraId="1F57AB83" w14:textId="77777777" w:rsidR="00A03982" w:rsidRPr="005B5418" w:rsidRDefault="00A03982" w:rsidP="00A03982">
            <w:pPr>
              <w:pStyle w:val="BodyTextIndent"/>
              <w:spacing w:before="60" w:after="60"/>
              <w:rPr>
                <w:rFonts w:cs="Arial"/>
                <w:lang w:val="pt-BR"/>
              </w:rPr>
            </w:pPr>
          </w:p>
        </w:tc>
      </w:tr>
      <w:tr w:rsidR="00A03982" w:rsidRPr="005B5418" w14:paraId="2142B2E6" w14:textId="77777777" w:rsidTr="00935832">
        <w:trPr>
          <w:trHeight w:val="440"/>
        </w:trPr>
        <w:tc>
          <w:tcPr>
            <w:tcW w:w="9715" w:type="dxa"/>
            <w:gridSpan w:val="3"/>
          </w:tcPr>
          <w:p w14:paraId="38B20A52" w14:textId="58E0E878" w:rsidR="00A03982" w:rsidRPr="005B5418" w:rsidRDefault="00A03982" w:rsidP="00A03982">
            <w:pPr>
              <w:pStyle w:val="BodyTextIndent"/>
              <w:spacing w:before="60" w:after="60"/>
              <w:rPr>
                <w:rFonts w:cs="Arial"/>
                <w:i/>
                <w:iCs/>
                <w:lang w:val="pt-BR"/>
              </w:rPr>
            </w:pPr>
            <w:r w:rsidRPr="005B5418">
              <w:rPr>
                <w:rFonts w:cs="Arial"/>
                <w:i/>
                <w:iCs/>
                <w:lang w:val="pt-BR"/>
              </w:rPr>
              <w:t>Unearned Revenue</w:t>
            </w:r>
          </w:p>
        </w:tc>
      </w:tr>
      <w:tr w:rsidR="00A03982" w:rsidRPr="005B5418" w14:paraId="4B611D50" w14:textId="77777777" w:rsidTr="00935832">
        <w:trPr>
          <w:trHeight w:val="467"/>
        </w:trPr>
        <w:tc>
          <w:tcPr>
            <w:tcW w:w="5395" w:type="dxa"/>
          </w:tcPr>
          <w:p w14:paraId="2D525869" w14:textId="5831DAE0" w:rsidR="00A03982" w:rsidRPr="005B5418" w:rsidRDefault="00A03982" w:rsidP="005425ED">
            <w:pPr>
              <w:pStyle w:val="FAM-Table-outline"/>
              <w:widowControl/>
              <w:numPr>
                <w:ilvl w:val="0"/>
                <w:numId w:val="126"/>
              </w:numPr>
              <w:adjustRightInd/>
              <w:spacing w:line="240" w:lineRule="auto"/>
              <w:textAlignment w:val="auto"/>
            </w:pPr>
            <w:r w:rsidRPr="005B5418">
              <w:lastRenderedPageBreak/>
              <w:t xml:space="preserve">Does the </w:t>
            </w:r>
            <w:r w:rsidRPr="005B5418">
              <w:rPr>
                <w:b/>
                <w:bCs/>
              </w:rPr>
              <w:t>lessor</w:t>
            </w:r>
            <w:r w:rsidRPr="005B5418">
              <w:t xml:space="preserve"> initially measure the unearned revenue to include the following?</w:t>
            </w:r>
          </w:p>
          <w:p w14:paraId="4B166D3E" w14:textId="21A9F374" w:rsidR="00A03982" w:rsidRPr="005B5418" w:rsidRDefault="00A03982" w:rsidP="005425ED">
            <w:pPr>
              <w:pStyle w:val="FAM-Table-outline2"/>
              <w:spacing w:line="240" w:lineRule="auto"/>
              <w:ind w:left="1140" w:hanging="443"/>
            </w:pPr>
            <w:r w:rsidRPr="005B5418">
              <w:t>The amount of the initial measurement of the lease receivable (SFFAS 54, para. 56)</w:t>
            </w:r>
          </w:p>
          <w:p w14:paraId="3669B23D" w14:textId="0FED76D8" w:rsidR="00A03982" w:rsidRPr="005B5418" w:rsidRDefault="00A03982" w:rsidP="005425ED">
            <w:pPr>
              <w:pStyle w:val="FAM-Table-outline2"/>
              <w:spacing w:line="240" w:lineRule="auto"/>
              <w:ind w:left="1140" w:hanging="443"/>
            </w:pPr>
            <w:r w:rsidRPr="005B5418">
              <w:t>Lease payments received from the lessee at or before the commencement of the lease term that relate to future periods (for example, the final month's rent), less any lease incentives (SFFAS 54, paras. 70–71) paid to, or on behalf of, the lessee at or before the commencement of the lease term</w:t>
            </w:r>
            <w:r w:rsidRPr="005B5418">
              <w:rPr>
                <w:rStyle w:val="FootnoteReference"/>
              </w:rPr>
              <w:footnoteReference w:id="230"/>
            </w:r>
            <w:r w:rsidRPr="005B5418">
              <w:t xml:space="preserve"> </w:t>
            </w:r>
          </w:p>
          <w:p w14:paraId="0FE78DB4" w14:textId="24EED255" w:rsidR="00A03982" w:rsidRPr="005B5418" w:rsidRDefault="00A03982" w:rsidP="005425ED">
            <w:pPr>
              <w:pStyle w:val="FAM-Table-outline2"/>
              <w:numPr>
                <w:ilvl w:val="0"/>
                <w:numId w:val="0"/>
              </w:numPr>
              <w:spacing w:line="240" w:lineRule="auto"/>
              <w:ind w:left="1140"/>
            </w:pPr>
            <w:r w:rsidRPr="005B5418">
              <w:t xml:space="preserve">(SFFAS 54, para. 64; also see </w:t>
            </w:r>
            <w:r w:rsidR="00C140EF" w:rsidRPr="005B5418">
              <w:t>TR 20</w:t>
            </w:r>
            <w:r w:rsidRPr="005B5418">
              <w:t>, para. 75)</w:t>
            </w:r>
          </w:p>
          <w:p w14:paraId="4133E711" w14:textId="77777777" w:rsidR="00A03982" w:rsidRPr="005B5418" w:rsidRDefault="00A03982" w:rsidP="00A03982">
            <w:pPr>
              <w:pStyle w:val="FAM-Table-outline2"/>
              <w:widowControl/>
              <w:numPr>
                <w:ilvl w:val="0"/>
                <w:numId w:val="0"/>
              </w:numPr>
              <w:adjustRightInd/>
              <w:spacing w:line="240" w:lineRule="auto"/>
              <w:ind w:left="1620"/>
              <w:textAlignment w:val="auto"/>
            </w:pPr>
          </w:p>
        </w:tc>
        <w:tc>
          <w:tcPr>
            <w:tcW w:w="990" w:type="dxa"/>
          </w:tcPr>
          <w:p w14:paraId="7F34453F" w14:textId="77777777" w:rsidR="00A03982" w:rsidRPr="005B5418" w:rsidRDefault="00A03982" w:rsidP="00A03982">
            <w:pPr>
              <w:pStyle w:val="Table-Cell-CenterBoldBefore6ptAfter6pt"/>
              <w:spacing w:before="60" w:after="60"/>
              <w:rPr>
                <w:rFonts w:cs="Arial"/>
                <w:lang w:val="pt-BR"/>
              </w:rPr>
            </w:pPr>
          </w:p>
        </w:tc>
        <w:tc>
          <w:tcPr>
            <w:tcW w:w="3330" w:type="dxa"/>
          </w:tcPr>
          <w:p w14:paraId="13518C6F" w14:textId="77777777" w:rsidR="00A03982" w:rsidRPr="005B5418" w:rsidRDefault="00A03982" w:rsidP="00A03982">
            <w:pPr>
              <w:pStyle w:val="BodyTextIndent"/>
              <w:spacing w:before="60" w:after="60"/>
              <w:rPr>
                <w:rFonts w:cs="Arial"/>
                <w:lang w:val="pt-BR"/>
              </w:rPr>
            </w:pPr>
          </w:p>
        </w:tc>
      </w:tr>
      <w:tr w:rsidR="00A03982" w:rsidRPr="005B5418" w14:paraId="57123A85" w14:textId="77777777" w:rsidTr="00935832">
        <w:trPr>
          <w:trHeight w:val="1205"/>
        </w:trPr>
        <w:tc>
          <w:tcPr>
            <w:tcW w:w="5395" w:type="dxa"/>
          </w:tcPr>
          <w:p w14:paraId="21FFA0B7" w14:textId="77777777"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subsequently amortize the unearned revenue, recognizing it as earned revenue, in a systematic and rational manner over the term of the lease?</w:t>
            </w:r>
          </w:p>
          <w:p w14:paraId="66C563EB" w14:textId="77777777" w:rsidR="00A03982" w:rsidRPr="005B5418" w:rsidRDefault="00A03982" w:rsidP="005425ED">
            <w:pPr>
              <w:pStyle w:val="FAM-Table-outline"/>
              <w:widowControl/>
              <w:numPr>
                <w:ilvl w:val="0"/>
                <w:numId w:val="0"/>
              </w:numPr>
              <w:adjustRightInd/>
              <w:spacing w:line="240" w:lineRule="auto"/>
              <w:ind w:left="666"/>
              <w:textAlignment w:val="auto"/>
            </w:pPr>
            <w:r w:rsidRPr="005B5418">
              <w:tab/>
              <w:t>(SFFAS 54, para. 65)</w:t>
            </w:r>
          </w:p>
        </w:tc>
        <w:tc>
          <w:tcPr>
            <w:tcW w:w="990" w:type="dxa"/>
          </w:tcPr>
          <w:p w14:paraId="3D972D9A" w14:textId="77777777" w:rsidR="00A03982" w:rsidRPr="005B5418" w:rsidRDefault="00A03982" w:rsidP="00A03982">
            <w:pPr>
              <w:pStyle w:val="Table-Cell-CenterBoldBefore6ptAfter6pt"/>
              <w:spacing w:before="60" w:after="60"/>
              <w:rPr>
                <w:rFonts w:cs="Arial"/>
                <w:lang w:val="pt-BR"/>
              </w:rPr>
            </w:pPr>
          </w:p>
        </w:tc>
        <w:tc>
          <w:tcPr>
            <w:tcW w:w="3330" w:type="dxa"/>
          </w:tcPr>
          <w:p w14:paraId="6BBD30C1" w14:textId="77777777" w:rsidR="00A03982" w:rsidRPr="005B5418" w:rsidRDefault="00A03982" w:rsidP="00A03982">
            <w:pPr>
              <w:pStyle w:val="BodyTextIndent"/>
              <w:spacing w:before="60" w:after="60"/>
              <w:rPr>
                <w:rFonts w:cs="Arial"/>
                <w:lang w:val="pt-BR"/>
              </w:rPr>
            </w:pPr>
          </w:p>
        </w:tc>
      </w:tr>
      <w:tr w:rsidR="00A03982" w:rsidRPr="005B5418" w14:paraId="2E90D716" w14:textId="77777777" w:rsidTr="00935832">
        <w:trPr>
          <w:trHeight w:val="1205"/>
        </w:trPr>
        <w:tc>
          <w:tcPr>
            <w:tcW w:w="5395" w:type="dxa"/>
          </w:tcPr>
          <w:p w14:paraId="42CCE9D6" w14:textId="7D923191" w:rsidR="00A03982" w:rsidRPr="005B5418" w:rsidRDefault="00A03982" w:rsidP="005425ED">
            <w:pPr>
              <w:pStyle w:val="FAM-Table-outline"/>
              <w:widowControl/>
              <w:numPr>
                <w:ilvl w:val="0"/>
                <w:numId w:val="126"/>
              </w:numPr>
              <w:adjustRightInd/>
              <w:spacing w:line="240" w:lineRule="auto"/>
              <w:textAlignment w:val="auto"/>
            </w:pPr>
            <w:r w:rsidRPr="005B5418">
              <w:t xml:space="preserve">Does </w:t>
            </w:r>
            <w:r w:rsidRPr="005425ED">
              <w:t>the</w:t>
            </w:r>
            <w:r w:rsidRPr="005B5418">
              <w:t xml:space="preserve"> </w:t>
            </w:r>
            <w:r w:rsidRPr="005B5418">
              <w:rPr>
                <w:b/>
                <w:bCs/>
              </w:rPr>
              <w:t>lessor</w:t>
            </w:r>
            <w:r w:rsidRPr="005B5418">
              <w:t xml:space="preserve"> generally adjust the unearned revenue using the same amount as the change resulting from the remeasurement of the lease receivable, as discussed in SFFAS 54, paras. 61–63?</w:t>
            </w:r>
          </w:p>
          <w:p w14:paraId="4A3389EA" w14:textId="79F2FEF8" w:rsidR="00A03982" w:rsidRPr="005B5418" w:rsidRDefault="00A03982" w:rsidP="005425ED">
            <w:pPr>
              <w:pStyle w:val="FAM-Table-outline"/>
              <w:widowControl/>
              <w:numPr>
                <w:ilvl w:val="0"/>
                <w:numId w:val="0"/>
              </w:numPr>
              <w:adjustRightInd/>
              <w:spacing w:line="240" w:lineRule="auto"/>
              <w:ind w:left="666"/>
              <w:textAlignment w:val="auto"/>
            </w:pPr>
            <w:r w:rsidRPr="005B5418">
              <w:t xml:space="preserve">(SFFAS 54, para. 65; also see </w:t>
            </w:r>
            <w:r w:rsidR="00C140EF" w:rsidRPr="005B5418">
              <w:t>TR 20</w:t>
            </w:r>
            <w:r w:rsidRPr="005B5418">
              <w:t>, para. 70)</w:t>
            </w:r>
          </w:p>
        </w:tc>
        <w:tc>
          <w:tcPr>
            <w:tcW w:w="990" w:type="dxa"/>
          </w:tcPr>
          <w:p w14:paraId="363EA150" w14:textId="77777777" w:rsidR="00A03982" w:rsidRPr="005B5418" w:rsidRDefault="00A03982" w:rsidP="00A03982">
            <w:pPr>
              <w:pStyle w:val="Table-Cell-CenterBoldBefore6ptAfter6pt"/>
              <w:spacing w:before="60" w:after="60"/>
              <w:rPr>
                <w:rFonts w:cs="Arial"/>
                <w:lang w:val="pt-BR"/>
              </w:rPr>
            </w:pPr>
          </w:p>
        </w:tc>
        <w:tc>
          <w:tcPr>
            <w:tcW w:w="3330" w:type="dxa"/>
          </w:tcPr>
          <w:p w14:paraId="1BBF4298" w14:textId="77777777" w:rsidR="00A03982" w:rsidRPr="005B5418" w:rsidRDefault="00A03982" w:rsidP="00A03982">
            <w:pPr>
              <w:pStyle w:val="BodyTextIndent"/>
              <w:spacing w:before="60" w:after="60"/>
              <w:rPr>
                <w:rFonts w:cs="Arial"/>
                <w:lang w:val="pt-BR"/>
              </w:rPr>
            </w:pPr>
          </w:p>
        </w:tc>
      </w:tr>
      <w:tr w:rsidR="00A03982" w:rsidRPr="005B5418" w14:paraId="416B8030" w14:textId="77777777" w:rsidTr="00935832">
        <w:trPr>
          <w:trHeight w:val="368"/>
        </w:trPr>
        <w:tc>
          <w:tcPr>
            <w:tcW w:w="5395" w:type="dxa"/>
          </w:tcPr>
          <w:p w14:paraId="7ACE6B80" w14:textId="2D695495" w:rsidR="00A03982" w:rsidRPr="005B5418" w:rsidRDefault="00A03982" w:rsidP="005425ED">
            <w:pPr>
              <w:pStyle w:val="FAM-Table-outline"/>
              <w:widowControl/>
              <w:numPr>
                <w:ilvl w:val="0"/>
                <w:numId w:val="126"/>
              </w:numPr>
              <w:adjustRightInd/>
              <w:spacing w:line="240" w:lineRule="auto"/>
              <w:textAlignment w:val="auto"/>
            </w:pPr>
            <w:r w:rsidRPr="005B5418">
              <w:t xml:space="preserve">If the remeasurement change reduces the carrying value of the unearned revenue to zero, does </w:t>
            </w:r>
            <w:r w:rsidRPr="005425ED">
              <w:t>the</w:t>
            </w:r>
            <w:r w:rsidRPr="005B5418">
              <w:t xml:space="preserve"> </w:t>
            </w:r>
            <w:r w:rsidRPr="005B5418">
              <w:rPr>
                <w:b/>
                <w:bCs/>
              </w:rPr>
              <w:t>lessor</w:t>
            </w:r>
            <w:r w:rsidRPr="005B5418">
              <w:t xml:space="preserve"> recognize any remaining amount in the statement of net cost as a loss? </w:t>
            </w:r>
          </w:p>
          <w:p w14:paraId="5BFEF845" w14:textId="2207C509" w:rsidR="00A03982" w:rsidRPr="005B5418" w:rsidRDefault="00A03982" w:rsidP="005425ED">
            <w:pPr>
              <w:pStyle w:val="FAM-Table-outline"/>
              <w:widowControl/>
              <w:numPr>
                <w:ilvl w:val="0"/>
                <w:numId w:val="0"/>
              </w:numPr>
              <w:adjustRightInd/>
              <w:spacing w:line="240" w:lineRule="auto"/>
              <w:ind w:left="666"/>
              <w:textAlignment w:val="auto"/>
            </w:pPr>
            <w:r w:rsidRPr="005B5418">
              <w:t xml:space="preserve">(SFFAS 54, para. 65; also see </w:t>
            </w:r>
            <w:r w:rsidR="00C140EF" w:rsidRPr="005B5418">
              <w:t>TR 20</w:t>
            </w:r>
            <w:r w:rsidRPr="005B5418">
              <w:t>, para. 70)</w:t>
            </w:r>
          </w:p>
        </w:tc>
        <w:tc>
          <w:tcPr>
            <w:tcW w:w="990" w:type="dxa"/>
          </w:tcPr>
          <w:p w14:paraId="5F87691F" w14:textId="77777777" w:rsidR="00A03982" w:rsidRPr="005B5418" w:rsidRDefault="00A03982" w:rsidP="00A03982">
            <w:pPr>
              <w:pStyle w:val="Table-Cell-CenterBoldBefore6ptAfter6pt"/>
              <w:spacing w:before="60" w:after="60"/>
              <w:rPr>
                <w:rFonts w:cs="Arial"/>
                <w:lang w:val="pt-BR"/>
              </w:rPr>
            </w:pPr>
          </w:p>
        </w:tc>
        <w:tc>
          <w:tcPr>
            <w:tcW w:w="3330" w:type="dxa"/>
          </w:tcPr>
          <w:p w14:paraId="68D8C657" w14:textId="77777777" w:rsidR="00A03982" w:rsidRPr="005B5418" w:rsidRDefault="00A03982" w:rsidP="00A03982">
            <w:pPr>
              <w:pStyle w:val="BodyTextIndent"/>
              <w:spacing w:before="60" w:after="60"/>
              <w:rPr>
                <w:rFonts w:cs="Arial"/>
                <w:lang w:val="pt-BR"/>
              </w:rPr>
            </w:pPr>
          </w:p>
        </w:tc>
      </w:tr>
      <w:tr w:rsidR="00A03982" w:rsidRPr="005B5418" w14:paraId="3C76E7CB" w14:textId="77777777" w:rsidTr="00935832">
        <w:trPr>
          <w:trHeight w:val="377"/>
        </w:trPr>
        <w:tc>
          <w:tcPr>
            <w:tcW w:w="9715" w:type="dxa"/>
            <w:gridSpan w:val="3"/>
          </w:tcPr>
          <w:p w14:paraId="2334D25C" w14:textId="2E96ECB2" w:rsidR="00A03982" w:rsidRPr="005B5418" w:rsidRDefault="00A03982" w:rsidP="00A03982">
            <w:pPr>
              <w:pStyle w:val="BodyTextIndent"/>
              <w:spacing w:before="60" w:after="60"/>
              <w:rPr>
                <w:rFonts w:cs="Arial"/>
                <w:i/>
                <w:iCs/>
                <w:lang w:val="pt-BR"/>
              </w:rPr>
            </w:pPr>
            <w:r w:rsidRPr="005B5418">
              <w:rPr>
                <w:rFonts w:cs="Arial"/>
                <w:i/>
                <w:iCs/>
                <w:lang w:val="pt-BR"/>
              </w:rPr>
              <w:t>Underlying PP&amp;E Asset</w:t>
            </w:r>
          </w:p>
        </w:tc>
      </w:tr>
      <w:tr w:rsidR="00A03982" w:rsidRPr="005B5418" w14:paraId="1C8C0B8A" w14:textId="77777777" w:rsidTr="00935832">
        <w:trPr>
          <w:trHeight w:val="1205"/>
        </w:trPr>
        <w:tc>
          <w:tcPr>
            <w:tcW w:w="5395" w:type="dxa"/>
          </w:tcPr>
          <w:p w14:paraId="662D9F52" w14:textId="6C848D0C" w:rsidR="00A03982" w:rsidRPr="005B5418" w:rsidRDefault="00A03982" w:rsidP="005425ED">
            <w:pPr>
              <w:pStyle w:val="FAM-Table-outline"/>
              <w:widowControl/>
              <w:numPr>
                <w:ilvl w:val="0"/>
                <w:numId w:val="126"/>
              </w:numPr>
              <w:adjustRightInd/>
              <w:spacing w:line="240" w:lineRule="auto"/>
              <w:textAlignment w:val="auto"/>
            </w:pPr>
            <w:r w:rsidRPr="005B5418">
              <w:lastRenderedPageBreak/>
              <w:t xml:space="preserve">Does </w:t>
            </w:r>
            <w:r w:rsidRPr="005425ED">
              <w:t>the</w:t>
            </w:r>
            <w:r w:rsidRPr="005B5418">
              <w:t xml:space="preserve"> </w:t>
            </w:r>
            <w:r w:rsidRPr="005B5418">
              <w:rPr>
                <w:b/>
                <w:bCs/>
              </w:rPr>
              <w:t>lessor</w:t>
            </w:r>
            <w:r w:rsidRPr="005B5418">
              <w:t xml:space="preserve"> abstain from derecognizing the asset underlying the lease and continue to apply other applicable guidance to the underlying asset, including depreciation and impairment?</w:t>
            </w:r>
            <w:r w:rsidRPr="005B5418">
              <w:rPr>
                <w:rStyle w:val="FootnoteReference"/>
              </w:rPr>
              <w:footnoteReference w:id="231"/>
            </w:r>
            <w:r w:rsidRPr="005B5418">
              <w:t xml:space="preserve"> (SFFAS 54, para. 66)</w:t>
            </w:r>
          </w:p>
        </w:tc>
        <w:tc>
          <w:tcPr>
            <w:tcW w:w="990" w:type="dxa"/>
          </w:tcPr>
          <w:p w14:paraId="7F45ECC5" w14:textId="77777777" w:rsidR="00A03982" w:rsidRPr="005B5418" w:rsidRDefault="00A03982" w:rsidP="00A03982">
            <w:pPr>
              <w:pStyle w:val="Table-Cell-CenterBoldBefore6ptAfter6pt"/>
              <w:spacing w:before="60" w:after="60"/>
              <w:rPr>
                <w:rFonts w:cs="Arial"/>
                <w:lang w:val="pt-BR"/>
              </w:rPr>
            </w:pPr>
          </w:p>
        </w:tc>
        <w:tc>
          <w:tcPr>
            <w:tcW w:w="3330" w:type="dxa"/>
          </w:tcPr>
          <w:p w14:paraId="3899358E" w14:textId="77777777" w:rsidR="00A03982" w:rsidRPr="005B5418" w:rsidRDefault="00A03982" w:rsidP="00A03982">
            <w:pPr>
              <w:pStyle w:val="BodyTextIndent"/>
              <w:spacing w:before="60" w:after="60"/>
              <w:rPr>
                <w:rFonts w:cs="Arial"/>
                <w:lang w:val="pt-BR"/>
              </w:rPr>
            </w:pPr>
          </w:p>
        </w:tc>
      </w:tr>
      <w:tr w:rsidR="00A03982" w:rsidRPr="005B5418" w14:paraId="5C804398" w14:textId="77777777" w:rsidTr="00935832">
        <w:trPr>
          <w:trHeight w:val="1205"/>
        </w:trPr>
        <w:tc>
          <w:tcPr>
            <w:tcW w:w="5395" w:type="dxa"/>
          </w:tcPr>
          <w:p w14:paraId="1FDD3560" w14:textId="77777777" w:rsidR="00A03982" w:rsidRPr="005B5418" w:rsidRDefault="00A03982" w:rsidP="005425ED">
            <w:pPr>
              <w:pStyle w:val="FAM-Table-outline"/>
              <w:widowControl/>
              <w:numPr>
                <w:ilvl w:val="0"/>
                <w:numId w:val="126"/>
              </w:numPr>
              <w:adjustRightInd/>
              <w:spacing w:line="240" w:lineRule="auto"/>
              <w:textAlignment w:val="auto"/>
            </w:pPr>
            <w:r w:rsidRPr="005B5418">
              <w:t>If the lease contract or agreement requires the lessee to return the underlying asset in its original or enhanced condition, does the</w:t>
            </w:r>
            <w:r w:rsidRPr="005425ED">
              <w:t xml:space="preserve"> </w:t>
            </w:r>
            <w:r w:rsidRPr="005B5418">
              <w:rPr>
                <w:b/>
                <w:bCs/>
              </w:rPr>
              <w:t>lessor</w:t>
            </w:r>
            <w:r w:rsidRPr="005B5418">
              <w:t xml:space="preserve"> refrain from depreciating the asset during the lease term? </w:t>
            </w:r>
          </w:p>
          <w:p w14:paraId="04555B67" w14:textId="77777777" w:rsidR="00A03982" w:rsidRPr="005B5418" w:rsidRDefault="00A03982" w:rsidP="005425ED">
            <w:pPr>
              <w:pStyle w:val="FAM-Table-outline"/>
              <w:widowControl/>
              <w:numPr>
                <w:ilvl w:val="0"/>
                <w:numId w:val="0"/>
              </w:numPr>
              <w:adjustRightInd/>
              <w:spacing w:line="240" w:lineRule="auto"/>
              <w:ind w:left="666"/>
              <w:textAlignment w:val="auto"/>
            </w:pPr>
            <w:r w:rsidRPr="005B5418">
              <w:t>(SFFAS 54, para. 66)</w:t>
            </w:r>
          </w:p>
        </w:tc>
        <w:tc>
          <w:tcPr>
            <w:tcW w:w="990" w:type="dxa"/>
          </w:tcPr>
          <w:p w14:paraId="59A02262" w14:textId="77777777" w:rsidR="00A03982" w:rsidRPr="005B5418" w:rsidRDefault="00A03982" w:rsidP="00A03982">
            <w:pPr>
              <w:pStyle w:val="Table-Cell-CenterBoldBefore6ptAfter6pt"/>
              <w:spacing w:before="60" w:after="60"/>
              <w:rPr>
                <w:rFonts w:cs="Arial"/>
                <w:lang w:val="pt-BR"/>
              </w:rPr>
            </w:pPr>
          </w:p>
        </w:tc>
        <w:tc>
          <w:tcPr>
            <w:tcW w:w="3330" w:type="dxa"/>
          </w:tcPr>
          <w:p w14:paraId="6F53EAA2" w14:textId="77777777" w:rsidR="00A03982" w:rsidRPr="005B5418" w:rsidRDefault="00A03982" w:rsidP="00A03982">
            <w:pPr>
              <w:pStyle w:val="BodyTextIndent"/>
              <w:spacing w:before="60" w:after="60"/>
              <w:rPr>
                <w:rFonts w:cs="Arial"/>
                <w:lang w:val="pt-BR"/>
              </w:rPr>
            </w:pPr>
          </w:p>
        </w:tc>
      </w:tr>
      <w:tr w:rsidR="00A03982" w:rsidRPr="005B5418" w14:paraId="0B47C805" w14:textId="77777777" w:rsidTr="00935832">
        <w:trPr>
          <w:trHeight w:val="458"/>
        </w:trPr>
        <w:tc>
          <w:tcPr>
            <w:tcW w:w="9715" w:type="dxa"/>
            <w:gridSpan w:val="3"/>
          </w:tcPr>
          <w:p w14:paraId="6E53433F" w14:textId="3423EB7D" w:rsidR="00A03982" w:rsidRPr="005B5418" w:rsidRDefault="00A03982" w:rsidP="00A03982">
            <w:pPr>
              <w:pStyle w:val="BodyTextIndent"/>
              <w:spacing w:before="60" w:after="60"/>
              <w:ind w:left="0"/>
              <w:rPr>
                <w:rFonts w:cs="Arial"/>
                <w:lang w:val="pt-BR"/>
              </w:rPr>
            </w:pPr>
            <w:r w:rsidRPr="005B5418">
              <w:rPr>
                <w:rFonts w:cs="Arial"/>
                <w:b/>
                <w:lang w:val="pt-BR"/>
              </w:rPr>
              <w:t>Lessor Disclosure for Non-federal Leases</w:t>
            </w:r>
          </w:p>
        </w:tc>
      </w:tr>
      <w:tr w:rsidR="00A03982" w:rsidRPr="005B5418" w14:paraId="55EDCBC8" w14:textId="77777777" w:rsidTr="00935832">
        <w:trPr>
          <w:trHeight w:val="1205"/>
        </w:trPr>
        <w:tc>
          <w:tcPr>
            <w:tcW w:w="5395" w:type="dxa"/>
          </w:tcPr>
          <w:p w14:paraId="5BD117B2" w14:textId="6CF328DB" w:rsidR="00A03982" w:rsidRPr="005B5418" w:rsidRDefault="00A03982" w:rsidP="005425ED">
            <w:pPr>
              <w:pStyle w:val="FAM-Table-outline"/>
              <w:widowControl/>
              <w:numPr>
                <w:ilvl w:val="0"/>
                <w:numId w:val="126"/>
              </w:numPr>
              <w:adjustRightInd/>
              <w:spacing w:line="240" w:lineRule="auto"/>
              <w:textAlignment w:val="auto"/>
            </w:pPr>
            <w:r w:rsidRPr="005B5418">
              <w:t xml:space="preserve">Does the </w:t>
            </w:r>
            <w:r w:rsidRPr="005B5418">
              <w:rPr>
                <w:b/>
                <w:bCs/>
              </w:rPr>
              <w:t>lessor</w:t>
            </w:r>
            <w:r w:rsidRPr="005B5418">
              <w:t xml:space="preserve"> disclose the following regarding lease activities (which may be grouped for purposes of disclosure)?</w:t>
            </w:r>
            <w:r w:rsidRPr="005B5418">
              <w:rPr>
                <w:rStyle w:val="FootnoteReference"/>
              </w:rPr>
              <w:footnoteReference w:id="232"/>
            </w:r>
          </w:p>
          <w:p w14:paraId="7F86E41F" w14:textId="23F4FDCF" w:rsidR="00A03982" w:rsidRPr="005B5418" w:rsidRDefault="00A03982" w:rsidP="005425ED">
            <w:pPr>
              <w:pStyle w:val="FAM-Table-outline2"/>
              <w:numPr>
                <w:ilvl w:val="1"/>
                <w:numId w:val="65"/>
              </w:numPr>
              <w:spacing w:line="240" w:lineRule="auto"/>
              <w:ind w:left="1140" w:hanging="443"/>
            </w:pPr>
            <w:r w:rsidRPr="005B5418">
              <w:t>A general description of its leasing arrangements, including the basis, terms, and conditions on which any variable lease payments not included in the lease receivable are determined</w:t>
            </w:r>
          </w:p>
          <w:p w14:paraId="74EA7F01" w14:textId="08B9B0AA" w:rsidR="00A03982" w:rsidRPr="005B5418" w:rsidRDefault="00A03982" w:rsidP="005425ED">
            <w:pPr>
              <w:pStyle w:val="FAM-Table-outline2"/>
              <w:numPr>
                <w:ilvl w:val="1"/>
                <w:numId w:val="65"/>
              </w:numPr>
              <w:spacing w:line="240" w:lineRule="auto"/>
              <w:ind w:left="1140" w:hanging="443"/>
            </w:pPr>
            <w:r w:rsidRPr="005B5418">
              <w:t>The carrying amount of assets on lease by major classes of assets, and the amount of related accumulated depreciation (within the PP&amp;E note)</w:t>
            </w:r>
          </w:p>
          <w:p w14:paraId="63175268" w14:textId="56BB21A7" w:rsidR="00A03982" w:rsidRPr="005B5418" w:rsidRDefault="00A03982" w:rsidP="005425ED">
            <w:pPr>
              <w:pStyle w:val="FAM-Table-outline2"/>
              <w:numPr>
                <w:ilvl w:val="1"/>
                <w:numId w:val="65"/>
              </w:numPr>
              <w:spacing w:line="240" w:lineRule="auto"/>
              <w:ind w:left="1140" w:hanging="443"/>
            </w:pPr>
            <w:r w:rsidRPr="005B5418">
              <w:t>The total amount of revenue (for example, lease revenue, interest revenue, and any other lease-related revenue) recognized in the reporting period from leases</w:t>
            </w:r>
          </w:p>
          <w:p w14:paraId="10C1422A" w14:textId="6406F0D6" w:rsidR="00A03982" w:rsidRPr="005B5418" w:rsidRDefault="00A03982" w:rsidP="005425ED">
            <w:pPr>
              <w:pStyle w:val="FAM-Table-outline2"/>
              <w:numPr>
                <w:ilvl w:val="1"/>
                <w:numId w:val="65"/>
              </w:numPr>
              <w:spacing w:line="240" w:lineRule="auto"/>
              <w:ind w:left="1140" w:hanging="443"/>
            </w:pPr>
            <w:r w:rsidRPr="005B5418">
              <w:t>The amount of revenue recognized in the reporting period for variable lease payments and other payments not previously included in the lease receivable, including revenue related to residual value guarantees and termination penalties</w:t>
            </w:r>
          </w:p>
          <w:p w14:paraId="61140BB0" w14:textId="77777777" w:rsidR="00A03982" w:rsidRPr="005B5418" w:rsidRDefault="00A03982" w:rsidP="005425ED">
            <w:pPr>
              <w:pStyle w:val="FAM-Table-outline2"/>
              <w:numPr>
                <w:ilvl w:val="0"/>
                <w:numId w:val="0"/>
              </w:numPr>
              <w:spacing w:line="240" w:lineRule="auto"/>
              <w:ind w:left="1140"/>
            </w:pPr>
            <w:r w:rsidRPr="005B5418">
              <w:t>(SFFAS 54, para. 67)</w:t>
            </w:r>
          </w:p>
        </w:tc>
        <w:tc>
          <w:tcPr>
            <w:tcW w:w="990" w:type="dxa"/>
          </w:tcPr>
          <w:p w14:paraId="59115540" w14:textId="77777777" w:rsidR="00A03982" w:rsidRPr="005B5418" w:rsidRDefault="00A03982" w:rsidP="00A03982">
            <w:pPr>
              <w:pStyle w:val="Table-Cell-CenterBoldBefore6ptAfter6pt"/>
              <w:spacing w:before="60" w:after="60"/>
              <w:rPr>
                <w:rFonts w:cs="Arial"/>
                <w:lang w:val="pt-BR"/>
              </w:rPr>
            </w:pPr>
          </w:p>
        </w:tc>
        <w:tc>
          <w:tcPr>
            <w:tcW w:w="3330" w:type="dxa"/>
          </w:tcPr>
          <w:p w14:paraId="09004AD3" w14:textId="77777777" w:rsidR="00A03982" w:rsidRPr="005B5418" w:rsidRDefault="00A03982" w:rsidP="00A03982">
            <w:pPr>
              <w:pStyle w:val="BodyTextIndent"/>
              <w:spacing w:before="60" w:after="60"/>
              <w:rPr>
                <w:rFonts w:cs="Arial"/>
                <w:lang w:val="pt-BR"/>
              </w:rPr>
            </w:pPr>
          </w:p>
        </w:tc>
      </w:tr>
      <w:tr w:rsidR="00A03982" w:rsidRPr="005B5418" w14:paraId="7424E53A" w14:textId="77777777" w:rsidTr="00935832">
        <w:trPr>
          <w:trHeight w:val="1205"/>
        </w:trPr>
        <w:tc>
          <w:tcPr>
            <w:tcW w:w="5395" w:type="dxa"/>
          </w:tcPr>
          <w:p w14:paraId="0D2ADC8B" w14:textId="2AA15521" w:rsidR="00A03982" w:rsidRPr="005B5418" w:rsidRDefault="00A03982" w:rsidP="005425ED">
            <w:pPr>
              <w:pStyle w:val="FAM-Table-outline"/>
              <w:widowControl/>
              <w:numPr>
                <w:ilvl w:val="0"/>
                <w:numId w:val="126"/>
              </w:numPr>
              <w:adjustRightInd/>
              <w:spacing w:line="240" w:lineRule="auto"/>
              <w:textAlignment w:val="auto"/>
            </w:pPr>
            <w:r w:rsidRPr="005B5418">
              <w:lastRenderedPageBreak/>
              <w:t xml:space="preserve">If a federal entity’s principal ongoing operations includes leasing assets through the use of non-federal leases, does the </w:t>
            </w:r>
            <w:r w:rsidRPr="005B5418">
              <w:rPr>
                <w:b/>
                <w:bCs/>
              </w:rPr>
              <w:t>lessor</w:t>
            </w:r>
            <w:r w:rsidRPr="005B5418">
              <w:t xml:space="preserve"> disclose a schedule of future lease payments that are included in the lease receivable, showing principal and interest, for each of the 5 subsequent years and in 5-year increments thereafter? </w:t>
            </w:r>
          </w:p>
          <w:p w14:paraId="405B6A62" w14:textId="77777777" w:rsidR="00A03982" w:rsidRPr="005B5418" w:rsidRDefault="00A03982" w:rsidP="005425ED">
            <w:pPr>
              <w:pStyle w:val="FAM-Table-outline"/>
              <w:widowControl/>
              <w:numPr>
                <w:ilvl w:val="0"/>
                <w:numId w:val="0"/>
              </w:numPr>
              <w:adjustRightInd/>
              <w:spacing w:line="240" w:lineRule="auto"/>
              <w:ind w:left="666"/>
              <w:textAlignment w:val="auto"/>
            </w:pPr>
            <w:r w:rsidRPr="005B5418">
              <w:t>(SFFAS 54, para. 68)</w:t>
            </w:r>
          </w:p>
        </w:tc>
        <w:tc>
          <w:tcPr>
            <w:tcW w:w="990" w:type="dxa"/>
          </w:tcPr>
          <w:p w14:paraId="0E0CF9B0" w14:textId="77777777" w:rsidR="00A03982" w:rsidRPr="005B5418" w:rsidRDefault="00A03982" w:rsidP="00A03982">
            <w:pPr>
              <w:pStyle w:val="Table-Cell-CenterBoldBefore6ptAfter6pt"/>
              <w:spacing w:before="60" w:after="60"/>
              <w:rPr>
                <w:rFonts w:cs="Arial"/>
                <w:lang w:val="pt-BR"/>
              </w:rPr>
            </w:pPr>
          </w:p>
        </w:tc>
        <w:tc>
          <w:tcPr>
            <w:tcW w:w="3330" w:type="dxa"/>
          </w:tcPr>
          <w:p w14:paraId="22D37E60" w14:textId="77777777" w:rsidR="00A03982" w:rsidRPr="005B5418" w:rsidRDefault="00A03982" w:rsidP="00A03982">
            <w:pPr>
              <w:pStyle w:val="BodyTextIndent"/>
              <w:spacing w:before="60" w:after="60"/>
              <w:rPr>
                <w:rFonts w:cs="Arial"/>
                <w:lang w:val="pt-BR"/>
              </w:rPr>
            </w:pPr>
          </w:p>
        </w:tc>
      </w:tr>
      <w:tr w:rsidR="00A03982" w:rsidRPr="005B5418" w14:paraId="20F79EB9" w14:textId="77777777" w:rsidTr="00935832">
        <w:trPr>
          <w:trHeight w:val="1205"/>
        </w:trPr>
        <w:tc>
          <w:tcPr>
            <w:tcW w:w="5395" w:type="dxa"/>
          </w:tcPr>
          <w:p w14:paraId="5E75C738" w14:textId="79523487" w:rsidR="00A03982" w:rsidRPr="005B5418" w:rsidRDefault="00A03982" w:rsidP="005425ED">
            <w:pPr>
              <w:pStyle w:val="FAM-Table-outline"/>
              <w:widowControl/>
              <w:numPr>
                <w:ilvl w:val="0"/>
                <w:numId w:val="126"/>
              </w:numPr>
              <w:adjustRightInd/>
              <w:spacing w:line="240" w:lineRule="auto"/>
              <w:textAlignment w:val="auto"/>
            </w:pPr>
            <w:r w:rsidRPr="005B5418">
              <w:t>For information disclosed about the future lease payments included in the lease receivable, pursuant to SFFAS 54, para. 68, does the total principal equal gross lease receivable? (A-136, section II.3.8.19)</w:t>
            </w:r>
          </w:p>
        </w:tc>
        <w:tc>
          <w:tcPr>
            <w:tcW w:w="990" w:type="dxa"/>
          </w:tcPr>
          <w:p w14:paraId="676887AF" w14:textId="77777777" w:rsidR="00A03982" w:rsidRPr="005B5418" w:rsidRDefault="00A03982" w:rsidP="00A03982">
            <w:pPr>
              <w:pStyle w:val="Table-Cell-CenterBoldBefore6ptAfter6pt"/>
              <w:spacing w:before="60" w:after="60"/>
              <w:rPr>
                <w:rFonts w:cs="Arial"/>
                <w:lang w:val="pt-BR"/>
              </w:rPr>
            </w:pPr>
          </w:p>
        </w:tc>
        <w:tc>
          <w:tcPr>
            <w:tcW w:w="3330" w:type="dxa"/>
          </w:tcPr>
          <w:p w14:paraId="302A2455" w14:textId="77777777" w:rsidR="00A03982" w:rsidRPr="005B5418" w:rsidRDefault="00A03982" w:rsidP="00A03982">
            <w:pPr>
              <w:pStyle w:val="BodyTextIndent"/>
              <w:spacing w:before="60" w:after="60"/>
              <w:rPr>
                <w:rFonts w:cs="Arial"/>
                <w:lang w:val="pt-BR"/>
              </w:rPr>
            </w:pPr>
          </w:p>
        </w:tc>
      </w:tr>
      <w:tr w:rsidR="00A03982" w:rsidRPr="005B5418" w14:paraId="7F6EAB5E" w14:textId="77777777" w:rsidTr="00935832">
        <w:trPr>
          <w:trHeight w:val="377"/>
        </w:trPr>
        <w:tc>
          <w:tcPr>
            <w:tcW w:w="9715" w:type="dxa"/>
            <w:gridSpan w:val="3"/>
          </w:tcPr>
          <w:p w14:paraId="53ABC342" w14:textId="2B682755" w:rsidR="00A03982" w:rsidRPr="005B5418" w:rsidRDefault="00A03982" w:rsidP="00A03982">
            <w:pPr>
              <w:pStyle w:val="BodyTextIndent"/>
              <w:spacing w:before="60" w:after="60"/>
              <w:rPr>
                <w:rFonts w:cs="Arial"/>
                <w:b/>
                <w:bCs/>
                <w:lang w:val="pt-BR"/>
              </w:rPr>
            </w:pPr>
            <w:r w:rsidRPr="005B5418">
              <w:rPr>
                <w:rFonts w:cs="Arial"/>
                <w:b/>
                <w:bCs/>
                <w:sz w:val="28"/>
                <w:szCs w:val="32"/>
                <w:lang w:val="pt-BR"/>
              </w:rPr>
              <w:t xml:space="preserve">Reimbursable Work Agreements </w:t>
            </w:r>
          </w:p>
        </w:tc>
      </w:tr>
      <w:tr w:rsidR="00A03982" w:rsidRPr="005B5418" w14:paraId="5A725989" w14:textId="77777777" w:rsidTr="00935832">
        <w:trPr>
          <w:trHeight w:val="377"/>
        </w:trPr>
        <w:tc>
          <w:tcPr>
            <w:tcW w:w="9715" w:type="dxa"/>
            <w:gridSpan w:val="3"/>
          </w:tcPr>
          <w:p w14:paraId="413D10EC" w14:textId="3C9C8A68" w:rsidR="00A03982" w:rsidRPr="005B5418" w:rsidRDefault="00A03982" w:rsidP="00A03982">
            <w:pPr>
              <w:pStyle w:val="Default"/>
              <w:rPr>
                <w:rFonts w:ascii="Arial" w:hAnsi="Arial" w:cs="Arial"/>
                <w:sz w:val="22"/>
                <w:szCs w:val="22"/>
              </w:rPr>
            </w:pPr>
            <w:r w:rsidRPr="005B5418">
              <w:rPr>
                <w:rFonts w:ascii="Arial" w:eastAsia="Arial Unicode MS" w:hAnsi="Arial" w:cs="Arial"/>
                <w:sz w:val="22"/>
                <w:szCs w:val="22"/>
              </w:rPr>
              <w:t xml:space="preserve">An </w:t>
            </w:r>
            <w:r w:rsidRPr="005B5418">
              <w:rPr>
                <w:rFonts w:ascii="Arial" w:eastAsia="Arial Unicode MS" w:hAnsi="Arial" w:cs="Arial"/>
                <w:b/>
                <w:sz w:val="22"/>
                <w:szCs w:val="22"/>
              </w:rPr>
              <w:t>intragovernmental leasehold reimbursable work agreement (RWA)</w:t>
            </w:r>
            <w:r w:rsidR="009C5FB2" w:rsidRPr="005425ED">
              <w:rPr>
                <w:rStyle w:val="FootnoteReference"/>
                <w:rFonts w:ascii="Arial" w:eastAsia="Arial Unicode MS" w:hAnsi="Arial" w:cs="Arial"/>
                <w:bCs/>
                <w:sz w:val="22"/>
                <w:szCs w:val="22"/>
              </w:rPr>
              <w:footnoteReference w:id="233"/>
            </w:r>
            <w:r w:rsidRPr="005425ED">
              <w:rPr>
                <w:rFonts w:ascii="Arial" w:eastAsia="Arial Unicode MS" w:hAnsi="Arial" w:cs="Arial"/>
                <w:bCs/>
                <w:sz w:val="22"/>
                <w:szCs w:val="22"/>
              </w:rPr>
              <w:t xml:space="preserve"> </w:t>
            </w:r>
            <w:r w:rsidRPr="005B5418">
              <w:rPr>
                <w:rFonts w:ascii="Arial" w:eastAsia="Arial Unicode MS" w:hAnsi="Arial" w:cs="Arial"/>
                <w:sz w:val="22"/>
                <w:szCs w:val="22"/>
              </w:rPr>
              <w:t xml:space="preserve">is an agreement whereby one reporting entity (the </w:t>
            </w:r>
            <w:r w:rsidRPr="005B5418">
              <w:rPr>
                <w:rFonts w:ascii="Arial" w:eastAsia="Arial Unicode MS" w:hAnsi="Arial" w:cs="Arial"/>
                <w:b/>
                <w:sz w:val="22"/>
                <w:szCs w:val="22"/>
              </w:rPr>
              <w:t>provider-lessor</w:t>
            </w:r>
            <w:r w:rsidRPr="005B5418">
              <w:rPr>
                <w:rFonts w:ascii="Arial" w:eastAsia="Arial Unicode MS" w:hAnsi="Arial" w:cs="Arial"/>
                <w:sz w:val="22"/>
                <w:szCs w:val="22"/>
              </w:rPr>
              <w:t xml:space="preserve">) acquires, constructs, improves, and/or alters an underlying asset that is or will be leased to another reporting entity (the </w:t>
            </w:r>
            <w:r w:rsidRPr="005B5418">
              <w:rPr>
                <w:rFonts w:ascii="Arial" w:eastAsia="Arial Unicode MS" w:hAnsi="Arial" w:cs="Arial"/>
                <w:b/>
                <w:sz w:val="22"/>
                <w:szCs w:val="22"/>
              </w:rPr>
              <w:t>customer-lessee</w:t>
            </w:r>
            <w:r w:rsidRPr="005B5418">
              <w:rPr>
                <w:rFonts w:ascii="Arial" w:eastAsia="Arial Unicode MS" w:hAnsi="Arial" w:cs="Arial"/>
                <w:sz w:val="22"/>
                <w:szCs w:val="22"/>
              </w:rPr>
              <w:t>), and the customer-lessee agrees to reimburse the provider-lessor for direct and indirect costs for the acquisition, construction, improvement, and/or alteration. The reimbursement of such acquisitions, construction, improvements, and/or alterations are beyond what may be</w:t>
            </w:r>
            <w:r w:rsidRPr="005B5418">
              <w:rPr>
                <w:rFonts w:ascii="Arial" w:hAnsi="Arial" w:cs="Arial"/>
                <w:sz w:val="22"/>
                <w:szCs w:val="22"/>
              </w:rPr>
              <w:t xml:space="preserve"> included in the rent or tenant improvement allowances provided for in a lease agreement for the related underlying asset. (TB-2023-1, para. 14)</w:t>
            </w:r>
          </w:p>
          <w:p w14:paraId="600E5588" w14:textId="18C127C1" w:rsidR="00A03982" w:rsidRPr="005B5418" w:rsidRDefault="00A03982" w:rsidP="00A03982">
            <w:pPr>
              <w:pStyle w:val="Default"/>
              <w:rPr>
                <w:rFonts w:ascii="Arial" w:hAnsi="Arial" w:cs="Arial"/>
                <w:sz w:val="22"/>
                <w:szCs w:val="22"/>
              </w:rPr>
            </w:pPr>
            <w:r w:rsidRPr="005B5418">
              <w:rPr>
                <w:rFonts w:ascii="Arial" w:hAnsi="Arial" w:cs="Arial"/>
                <w:sz w:val="22"/>
                <w:szCs w:val="22"/>
              </w:rPr>
              <w:t>Normally, for RWAs, the customer-lessee is expected to be the predominant beneficiary of the acquisition, construction, improvement, and/or alteration to the underlying asset. However, for acquisitions, construction, improvements, and/or alterations under an RWA with an expected useful life beyond the remaining lease term and for which the provider-lessor is expected to derive a significant level of residual economic benefits and services from the reimbursable work, the customer-lessee would not be considered the predominant beneficiary, and different recognition, measurement, and disclosure requirements would apply (TB-2023-1, paras. 10 and 11)</w:t>
            </w:r>
          </w:p>
          <w:p w14:paraId="0155FA5C" w14:textId="61B629BC" w:rsidR="00A03982" w:rsidRPr="005B5418" w:rsidRDefault="00A03982" w:rsidP="005425ED">
            <w:pPr>
              <w:pStyle w:val="Table-Note"/>
              <w:spacing w:before="60" w:after="60" w:line="240" w:lineRule="auto"/>
              <w:ind w:left="0"/>
              <w:jc w:val="left"/>
              <w:rPr>
                <w:rFonts w:cs="Arial"/>
                <w:lang w:val="pt-BR"/>
              </w:rPr>
            </w:pPr>
            <w:r w:rsidRPr="005B5418">
              <w:rPr>
                <w:rFonts w:cs="Arial"/>
                <w:i w:val="0"/>
                <w:sz w:val="22"/>
                <w:szCs w:val="22"/>
              </w:rPr>
              <w:t>This section does not apply to non-intragovernmental transactions. (TB-2023-1, para. 7)</w:t>
            </w:r>
          </w:p>
        </w:tc>
      </w:tr>
      <w:tr w:rsidR="00A03982" w:rsidRPr="005B5418" w14:paraId="231600B3" w14:textId="77777777" w:rsidTr="00935832">
        <w:trPr>
          <w:trHeight w:val="1205"/>
        </w:trPr>
        <w:tc>
          <w:tcPr>
            <w:tcW w:w="5395" w:type="dxa"/>
          </w:tcPr>
          <w:p w14:paraId="3D395069" w14:textId="451EE57D"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pPr>
            <w:r w:rsidRPr="005B5418">
              <w:t>Are RWAs applicable to the entity’s financial statements? (Answer Y if applicable, N/A if not applicable, or N/S if not significant. If N/A or N/S, skip to the next subtopic.)</w:t>
            </w:r>
          </w:p>
        </w:tc>
        <w:tc>
          <w:tcPr>
            <w:tcW w:w="990" w:type="dxa"/>
          </w:tcPr>
          <w:p w14:paraId="5ACE9FD7" w14:textId="77777777" w:rsidR="00A03982" w:rsidRPr="005B5418" w:rsidRDefault="00A03982" w:rsidP="00A03982">
            <w:pPr>
              <w:pStyle w:val="Table-Cell-CenterBoldBefore6ptAfter6pt"/>
              <w:spacing w:before="60" w:after="60"/>
              <w:rPr>
                <w:rFonts w:cs="Arial"/>
                <w:lang w:val="pt-BR"/>
              </w:rPr>
            </w:pPr>
          </w:p>
        </w:tc>
        <w:tc>
          <w:tcPr>
            <w:tcW w:w="3330" w:type="dxa"/>
          </w:tcPr>
          <w:p w14:paraId="43D6D0D3" w14:textId="77777777" w:rsidR="00A03982" w:rsidRPr="005B5418" w:rsidRDefault="00A03982" w:rsidP="00A03982">
            <w:pPr>
              <w:pStyle w:val="BodyTextIndent"/>
              <w:spacing w:before="60" w:after="60"/>
              <w:rPr>
                <w:rFonts w:cs="Arial"/>
                <w:lang w:val="pt-BR"/>
              </w:rPr>
            </w:pPr>
          </w:p>
        </w:tc>
      </w:tr>
      <w:tr w:rsidR="00A03982" w:rsidRPr="005B5418" w14:paraId="1FCCAD90" w14:textId="77777777" w:rsidTr="00935832">
        <w:trPr>
          <w:trHeight w:val="377"/>
        </w:trPr>
        <w:tc>
          <w:tcPr>
            <w:tcW w:w="9715" w:type="dxa"/>
            <w:gridSpan w:val="3"/>
          </w:tcPr>
          <w:p w14:paraId="039C5745" w14:textId="4E7EB7AD" w:rsidR="00A03982" w:rsidRPr="005B5418" w:rsidRDefault="00A03982" w:rsidP="00A03982">
            <w:pPr>
              <w:pStyle w:val="BodyTextIndent"/>
              <w:spacing w:before="60" w:after="60"/>
              <w:rPr>
                <w:rFonts w:cs="Arial"/>
                <w:lang w:val="pt-BR"/>
              </w:rPr>
            </w:pPr>
            <w:r w:rsidRPr="005B5418">
              <w:rPr>
                <w:rFonts w:cs="Arial"/>
                <w:b/>
                <w:lang w:val="pt-BR"/>
              </w:rPr>
              <w:t>Accounting</w:t>
            </w:r>
          </w:p>
        </w:tc>
      </w:tr>
      <w:tr w:rsidR="00A03982" w:rsidRPr="005B5418" w14:paraId="2C649933" w14:textId="77777777" w:rsidTr="00935832">
        <w:trPr>
          <w:trHeight w:val="269"/>
        </w:trPr>
        <w:tc>
          <w:tcPr>
            <w:tcW w:w="9715" w:type="dxa"/>
            <w:gridSpan w:val="3"/>
          </w:tcPr>
          <w:p w14:paraId="69B052C7" w14:textId="5F11FB6F" w:rsidR="00A03982" w:rsidRPr="005B5418" w:rsidRDefault="00A03982" w:rsidP="00A03982">
            <w:pPr>
              <w:pStyle w:val="BodyTextIndent"/>
              <w:spacing w:before="60" w:after="60"/>
              <w:rPr>
                <w:rFonts w:cs="Arial"/>
                <w:lang w:val="pt-BR"/>
              </w:rPr>
            </w:pPr>
            <w:r w:rsidRPr="005B5418">
              <w:rPr>
                <w:rFonts w:cs="Arial"/>
                <w:b/>
                <w:bCs/>
                <w:lang w:val="pt-BR"/>
              </w:rPr>
              <w:t>Lessee Predominant Beneficiary</w:t>
            </w:r>
          </w:p>
        </w:tc>
      </w:tr>
      <w:tr w:rsidR="00A03982" w:rsidRPr="005B5418" w14:paraId="2CC18F20" w14:textId="77777777" w:rsidTr="00935832">
        <w:trPr>
          <w:trHeight w:val="269"/>
        </w:trPr>
        <w:tc>
          <w:tcPr>
            <w:tcW w:w="9715" w:type="dxa"/>
            <w:gridSpan w:val="3"/>
          </w:tcPr>
          <w:p w14:paraId="4B5F941A" w14:textId="20155DFF" w:rsidR="00A03982" w:rsidRPr="005B5418" w:rsidRDefault="00A03982" w:rsidP="00A03982">
            <w:pPr>
              <w:pStyle w:val="BodyTextIndent"/>
              <w:spacing w:before="60" w:after="60"/>
              <w:rPr>
                <w:rFonts w:cs="Arial"/>
                <w:lang w:val="pt-BR"/>
              </w:rPr>
            </w:pPr>
            <w:r w:rsidRPr="005B5418">
              <w:rPr>
                <w:rFonts w:cs="Arial"/>
                <w:i/>
                <w:lang w:val="pt-BR"/>
              </w:rPr>
              <w:t>Lessee Treatment</w:t>
            </w:r>
          </w:p>
        </w:tc>
      </w:tr>
      <w:tr w:rsidR="00A03982" w:rsidRPr="005B5418" w14:paraId="22DDE38D" w14:textId="77777777" w:rsidTr="00935832">
        <w:trPr>
          <w:trHeight w:val="1205"/>
        </w:trPr>
        <w:tc>
          <w:tcPr>
            <w:tcW w:w="5395" w:type="dxa"/>
          </w:tcPr>
          <w:p w14:paraId="685D7114" w14:textId="49B57737"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lastRenderedPageBreak/>
              <w:t>If the lessee is the predominant beneficiary does the lessee record the RWA as PP&amp;E (as a leasehold improvement)? (TB-2023-1, para. 10.a)</w:t>
            </w:r>
          </w:p>
        </w:tc>
        <w:tc>
          <w:tcPr>
            <w:tcW w:w="990" w:type="dxa"/>
          </w:tcPr>
          <w:p w14:paraId="63C7F0BE" w14:textId="77777777" w:rsidR="00A03982" w:rsidRPr="005B5418" w:rsidRDefault="00A03982" w:rsidP="00A03982">
            <w:pPr>
              <w:pStyle w:val="Table-Cell-CenterBoldBefore6ptAfter6pt"/>
              <w:spacing w:before="60" w:after="60"/>
              <w:rPr>
                <w:rFonts w:cs="Arial"/>
                <w:lang w:val="pt-BR"/>
              </w:rPr>
            </w:pPr>
          </w:p>
        </w:tc>
        <w:tc>
          <w:tcPr>
            <w:tcW w:w="3330" w:type="dxa"/>
          </w:tcPr>
          <w:p w14:paraId="086B991F" w14:textId="77777777" w:rsidR="00A03982" w:rsidRPr="005B5418" w:rsidRDefault="00A03982" w:rsidP="00A03982">
            <w:pPr>
              <w:pStyle w:val="BodyTextIndent"/>
              <w:spacing w:before="60" w:after="60"/>
              <w:rPr>
                <w:rFonts w:cs="Arial"/>
                <w:lang w:val="pt-BR"/>
              </w:rPr>
            </w:pPr>
          </w:p>
        </w:tc>
      </w:tr>
      <w:tr w:rsidR="00A03982" w:rsidRPr="005B5418" w14:paraId="51DEC8DA" w14:textId="77777777" w:rsidTr="00935832">
        <w:trPr>
          <w:trHeight w:val="323"/>
        </w:trPr>
        <w:tc>
          <w:tcPr>
            <w:tcW w:w="9715" w:type="dxa"/>
            <w:gridSpan w:val="3"/>
          </w:tcPr>
          <w:p w14:paraId="58FF369B" w14:textId="1E56ADE3" w:rsidR="00A03982" w:rsidRPr="005B5418" w:rsidRDefault="00A03982" w:rsidP="00A03982">
            <w:pPr>
              <w:pStyle w:val="BodyTextIndent"/>
              <w:spacing w:before="60" w:after="60"/>
              <w:rPr>
                <w:rFonts w:cs="Arial"/>
                <w:i/>
                <w:iCs/>
                <w:lang w:val="pt-BR"/>
              </w:rPr>
            </w:pPr>
            <w:r w:rsidRPr="005B5418">
              <w:rPr>
                <w:rFonts w:cs="Arial"/>
                <w:i/>
                <w:iCs/>
                <w:lang w:val="pt-BR"/>
              </w:rPr>
              <w:t>Lessor Treatment</w:t>
            </w:r>
          </w:p>
        </w:tc>
      </w:tr>
      <w:tr w:rsidR="00A03982" w:rsidRPr="005B5418" w14:paraId="54CDAC5A" w14:textId="77777777" w:rsidTr="00935832">
        <w:trPr>
          <w:trHeight w:val="1205"/>
        </w:trPr>
        <w:tc>
          <w:tcPr>
            <w:tcW w:w="5395" w:type="dxa"/>
          </w:tcPr>
          <w:p w14:paraId="494843DD" w14:textId="51AB55D1"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t xml:space="preserve">If the lessee is the predominant beneficiary, does the </w:t>
            </w:r>
            <w:r w:rsidRPr="005B5418">
              <w:rPr>
                <w:b/>
                <w:szCs w:val="22"/>
              </w:rPr>
              <w:t>provider-lessor</w:t>
            </w:r>
            <w:r w:rsidRPr="005B5418">
              <w:rPr>
                <w:szCs w:val="22"/>
              </w:rPr>
              <w:t xml:space="preserve"> expense the costs incurred for the reimbursable work and recognize the amounts received as reimbursement as intragovernmental revenue? </w:t>
            </w:r>
            <w:r w:rsidRPr="005B5418">
              <w:rPr>
                <w:color w:val="auto"/>
                <w:szCs w:val="22"/>
              </w:rPr>
              <w:t>(TB-2023-1, para. 10</w:t>
            </w:r>
            <w:r w:rsidR="00F1309A" w:rsidRPr="005B5418">
              <w:rPr>
                <w:color w:val="auto"/>
                <w:szCs w:val="22"/>
              </w:rPr>
              <w:t>.b</w:t>
            </w:r>
            <w:r w:rsidRPr="005B5418">
              <w:rPr>
                <w:color w:val="auto"/>
                <w:szCs w:val="22"/>
              </w:rPr>
              <w:t>)</w:t>
            </w:r>
          </w:p>
        </w:tc>
        <w:tc>
          <w:tcPr>
            <w:tcW w:w="990" w:type="dxa"/>
          </w:tcPr>
          <w:p w14:paraId="746062C1" w14:textId="77777777" w:rsidR="00A03982" w:rsidRPr="005B5418" w:rsidRDefault="00A03982" w:rsidP="00A03982">
            <w:pPr>
              <w:pStyle w:val="Table-Cell-CenterBoldBefore6ptAfter6pt"/>
              <w:spacing w:before="60" w:after="60"/>
              <w:rPr>
                <w:rFonts w:cs="Arial"/>
                <w:lang w:val="pt-BR"/>
              </w:rPr>
            </w:pPr>
          </w:p>
        </w:tc>
        <w:tc>
          <w:tcPr>
            <w:tcW w:w="3330" w:type="dxa"/>
          </w:tcPr>
          <w:p w14:paraId="30B96E6A" w14:textId="77777777" w:rsidR="00A03982" w:rsidRPr="005B5418" w:rsidRDefault="00A03982" w:rsidP="00A03982">
            <w:pPr>
              <w:pStyle w:val="BodyTextIndent"/>
              <w:spacing w:before="60" w:after="60"/>
              <w:rPr>
                <w:rFonts w:cs="Arial"/>
                <w:lang w:val="pt-BR"/>
              </w:rPr>
            </w:pPr>
          </w:p>
        </w:tc>
      </w:tr>
      <w:tr w:rsidR="00A03982" w:rsidRPr="005B5418" w14:paraId="55AEA34A" w14:textId="77777777" w:rsidTr="00935832">
        <w:trPr>
          <w:trHeight w:val="359"/>
        </w:trPr>
        <w:tc>
          <w:tcPr>
            <w:tcW w:w="9715" w:type="dxa"/>
            <w:gridSpan w:val="3"/>
          </w:tcPr>
          <w:p w14:paraId="4A345BB2" w14:textId="4BA2F530" w:rsidR="00A03982" w:rsidRPr="005B5418" w:rsidRDefault="00A03982" w:rsidP="00A03982">
            <w:pPr>
              <w:pStyle w:val="BodyTextIndent"/>
              <w:spacing w:before="60" w:after="60"/>
              <w:rPr>
                <w:rFonts w:cs="Arial"/>
                <w:b/>
                <w:bCs/>
                <w:lang w:val="pt-BR"/>
              </w:rPr>
            </w:pPr>
            <w:r w:rsidRPr="005B5418">
              <w:rPr>
                <w:b/>
                <w:bCs/>
                <w:szCs w:val="22"/>
              </w:rPr>
              <w:t>Lessor Predominant Beneficiary</w:t>
            </w:r>
          </w:p>
        </w:tc>
      </w:tr>
      <w:tr w:rsidR="00A03982" w:rsidRPr="005B5418" w14:paraId="37CC5008" w14:textId="77777777" w:rsidTr="00935832">
        <w:trPr>
          <w:trHeight w:val="359"/>
        </w:trPr>
        <w:tc>
          <w:tcPr>
            <w:tcW w:w="9715" w:type="dxa"/>
            <w:gridSpan w:val="3"/>
          </w:tcPr>
          <w:p w14:paraId="63225964" w14:textId="7003FA84" w:rsidR="00A03982" w:rsidRPr="005B5418" w:rsidRDefault="00A03982" w:rsidP="00A03982">
            <w:pPr>
              <w:pStyle w:val="BodyTextIndent"/>
              <w:spacing w:before="60" w:after="60"/>
              <w:rPr>
                <w:i/>
                <w:iCs/>
                <w:szCs w:val="22"/>
              </w:rPr>
            </w:pPr>
            <w:r w:rsidRPr="005B5418">
              <w:rPr>
                <w:i/>
                <w:iCs/>
                <w:szCs w:val="22"/>
              </w:rPr>
              <w:t>Lessee Treatment</w:t>
            </w:r>
          </w:p>
        </w:tc>
      </w:tr>
      <w:tr w:rsidR="00A03982" w:rsidRPr="005B5418" w14:paraId="3C26EBE2" w14:textId="77777777" w:rsidTr="00935832">
        <w:trPr>
          <w:trHeight w:val="1205"/>
        </w:trPr>
        <w:tc>
          <w:tcPr>
            <w:tcW w:w="5395" w:type="dxa"/>
          </w:tcPr>
          <w:p w14:paraId="1CDCC684" w14:textId="2A88A370"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t xml:space="preserve">Does the </w:t>
            </w:r>
            <w:r w:rsidRPr="005B5418">
              <w:rPr>
                <w:b/>
                <w:szCs w:val="22"/>
              </w:rPr>
              <w:t>customer-lessee</w:t>
            </w:r>
            <w:r w:rsidRPr="005B5418">
              <w:rPr>
                <w:szCs w:val="22"/>
              </w:rPr>
              <w:t xml:space="preserve"> initially recognize an intragovernmental reimbursable work asset for the amount payable for reimbursable work acquisition, construction, improvement, and/or alteration costs (in a manner congruous with para. 27 of SFFAS 54 requirements for recognizing prepaid rent assets)? </w:t>
            </w:r>
            <w:r w:rsidRPr="005B5418">
              <w:rPr>
                <w:color w:val="auto"/>
                <w:szCs w:val="22"/>
              </w:rPr>
              <w:t>(TB-2023-1, para. 21)</w:t>
            </w:r>
          </w:p>
        </w:tc>
        <w:tc>
          <w:tcPr>
            <w:tcW w:w="990" w:type="dxa"/>
          </w:tcPr>
          <w:p w14:paraId="5CB88932" w14:textId="77777777" w:rsidR="00A03982" w:rsidRPr="005B5418" w:rsidRDefault="00A03982" w:rsidP="00A03982">
            <w:pPr>
              <w:pStyle w:val="Table-Cell-CenterBoldBefore6ptAfter6pt"/>
              <w:spacing w:before="60" w:after="60"/>
              <w:rPr>
                <w:rFonts w:cs="Arial"/>
                <w:lang w:val="pt-BR"/>
              </w:rPr>
            </w:pPr>
          </w:p>
        </w:tc>
        <w:tc>
          <w:tcPr>
            <w:tcW w:w="3330" w:type="dxa"/>
          </w:tcPr>
          <w:p w14:paraId="2E743BCD" w14:textId="77777777" w:rsidR="00A03982" w:rsidRPr="005B5418" w:rsidRDefault="00A03982" w:rsidP="00A03982">
            <w:pPr>
              <w:pStyle w:val="BodyTextIndent"/>
              <w:spacing w:before="60" w:after="60"/>
              <w:rPr>
                <w:rFonts w:cs="Arial"/>
                <w:lang w:val="pt-BR"/>
              </w:rPr>
            </w:pPr>
          </w:p>
        </w:tc>
      </w:tr>
      <w:tr w:rsidR="00A03982" w:rsidRPr="005B5418" w14:paraId="2F1D2456" w14:textId="77777777" w:rsidTr="00935832">
        <w:trPr>
          <w:trHeight w:val="1205"/>
        </w:trPr>
        <w:tc>
          <w:tcPr>
            <w:tcW w:w="5395" w:type="dxa"/>
          </w:tcPr>
          <w:p w14:paraId="5B9AA954" w14:textId="2F54D32E"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t xml:space="preserve">Does the </w:t>
            </w:r>
            <w:r w:rsidRPr="005B5418">
              <w:rPr>
                <w:b/>
                <w:szCs w:val="22"/>
              </w:rPr>
              <w:t>customer-lessee</w:t>
            </w:r>
            <w:r w:rsidRPr="005B5418">
              <w:rPr>
                <w:szCs w:val="22"/>
              </w:rPr>
              <w:t xml:space="preserve"> amortize the RWA in a systematic and rational manner over the shorter of (a) the remainder of the lease term or (b) the useful life of the underlying asset acquired/constructed or improvements/alterations thereto associated with the reimbursable work?</w:t>
            </w:r>
            <w:r w:rsidRPr="005B5418">
              <w:rPr>
                <w:rStyle w:val="FootnoteReference"/>
                <w:szCs w:val="22"/>
              </w:rPr>
              <w:footnoteReference w:id="234"/>
            </w:r>
            <w:r w:rsidRPr="005B5418">
              <w:rPr>
                <w:szCs w:val="22"/>
              </w:rPr>
              <w:t xml:space="preserve"> (TB-2023-1, para. 22)</w:t>
            </w:r>
          </w:p>
        </w:tc>
        <w:tc>
          <w:tcPr>
            <w:tcW w:w="990" w:type="dxa"/>
          </w:tcPr>
          <w:p w14:paraId="575EE889" w14:textId="77777777" w:rsidR="00A03982" w:rsidRPr="005B5418" w:rsidRDefault="00A03982" w:rsidP="00A03982">
            <w:pPr>
              <w:pStyle w:val="Table-Cell-CenterBoldBefore6ptAfter6pt"/>
              <w:spacing w:before="60" w:after="60"/>
              <w:rPr>
                <w:rFonts w:cs="Arial"/>
                <w:lang w:val="pt-BR"/>
              </w:rPr>
            </w:pPr>
          </w:p>
        </w:tc>
        <w:tc>
          <w:tcPr>
            <w:tcW w:w="3330" w:type="dxa"/>
          </w:tcPr>
          <w:p w14:paraId="6F0BB49F" w14:textId="77777777" w:rsidR="00A03982" w:rsidRPr="005B5418" w:rsidRDefault="00A03982" w:rsidP="00A03982">
            <w:pPr>
              <w:pStyle w:val="BodyTextIndent"/>
              <w:spacing w:before="60" w:after="60"/>
              <w:rPr>
                <w:rFonts w:cs="Arial"/>
                <w:lang w:val="pt-BR"/>
              </w:rPr>
            </w:pPr>
          </w:p>
        </w:tc>
      </w:tr>
      <w:tr w:rsidR="00A03982" w:rsidRPr="005B5418" w14:paraId="59C08DFC" w14:textId="77777777" w:rsidTr="00935832">
        <w:trPr>
          <w:trHeight w:val="1205"/>
        </w:trPr>
        <w:tc>
          <w:tcPr>
            <w:tcW w:w="5395" w:type="dxa"/>
          </w:tcPr>
          <w:p w14:paraId="63C475DD" w14:textId="5DABF0FA"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t>Does the amortization</w:t>
            </w:r>
            <w:r w:rsidRPr="005B5418">
              <w:rPr>
                <w:rStyle w:val="FootnoteReference"/>
                <w:szCs w:val="22"/>
              </w:rPr>
              <w:footnoteReference w:id="235"/>
            </w:r>
            <w:r w:rsidRPr="005B5418">
              <w:rPr>
                <w:szCs w:val="22"/>
              </w:rPr>
              <w:t xml:space="preserve"> of the RWA commence when the </w:t>
            </w:r>
            <w:r w:rsidRPr="005B5418">
              <w:rPr>
                <w:b/>
                <w:szCs w:val="22"/>
              </w:rPr>
              <w:t>customer-lessee</w:t>
            </w:r>
            <w:r w:rsidRPr="005B5418">
              <w:rPr>
                <w:szCs w:val="22"/>
              </w:rPr>
              <w:t xml:space="preserve"> has access to economic benefits and services resulting from the reimbursable work? (TB-2023-1, para. 22)</w:t>
            </w:r>
          </w:p>
        </w:tc>
        <w:tc>
          <w:tcPr>
            <w:tcW w:w="990" w:type="dxa"/>
          </w:tcPr>
          <w:p w14:paraId="02EA7874" w14:textId="77777777" w:rsidR="00A03982" w:rsidRPr="005B5418" w:rsidRDefault="00A03982" w:rsidP="00A03982">
            <w:pPr>
              <w:pStyle w:val="Table-Cell-CenterBoldBefore6ptAfter6pt"/>
              <w:spacing w:before="60" w:after="60"/>
              <w:rPr>
                <w:rFonts w:cs="Arial"/>
                <w:lang w:val="pt-BR"/>
              </w:rPr>
            </w:pPr>
          </w:p>
        </w:tc>
        <w:tc>
          <w:tcPr>
            <w:tcW w:w="3330" w:type="dxa"/>
          </w:tcPr>
          <w:p w14:paraId="781BB375" w14:textId="77777777" w:rsidR="00A03982" w:rsidRPr="005B5418" w:rsidRDefault="00A03982" w:rsidP="00A03982">
            <w:pPr>
              <w:pStyle w:val="BodyTextIndent"/>
              <w:spacing w:before="60" w:after="60"/>
              <w:rPr>
                <w:rFonts w:cs="Arial"/>
                <w:lang w:val="pt-BR"/>
              </w:rPr>
            </w:pPr>
          </w:p>
        </w:tc>
      </w:tr>
      <w:tr w:rsidR="00A03982" w:rsidRPr="005B5418" w14:paraId="6CCD2CFC" w14:textId="77777777" w:rsidTr="00935832">
        <w:trPr>
          <w:trHeight w:val="1205"/>
        </w:trPr>
        <w:tc>
          <w:tcPr>
            <w:tcW w:w="5395" w:type="dxa"/>
          </w:tcPr>
          <w:p w14:paraId="74E28D66" w14:textId="72E57795"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lastRenderedPageBreak/>
              <w:t xml:space="preserve">Is the </w:t>
            </w:r>
            <w:r w:rsidRPr="005B5418">
              <w:rPr>
                <w:b/>
                <w:szCs w:val="22"/>
              </w:rPr>
              <w:t>customer-lessee’s</w:t>
            </w:r>
            <w:r w:rsidRPr="005B5418">
              <w:rPr>
                <w:szCs w:val="22"/>
              </w:rPr>
              <w:t xml:space="preserve"> amortization of the RWA recognized as amortization expense? (TB-2023-1, para. 22)</w:t>
            </w:r>
          </w:p>
        </w:tc>
        <w:tc>
          <w:tcPr>
            <w:tcW w:w="990" w:type="dxa"/>
          </w:tcPr>
          <w:p w14:paraId="32578B79" w14:textId="77777777" w:rsidR="00A03982" w:rsidRPr="005B5418" w:rsidRDefault="00A03982" w:rsidP="00A03982">
            <w:pPr>
              <w:pStyle w:val="Table-Cell-CenterBoldBefore6ptAfter6pt"/>
              <w:spacing w:before="60" w:after="60"/>
              <w:rPr>
                <w:rFonts w:cs="Arial"/>
                <w:lang w:val="pt-BR"/>
              </w:rPr>
            </w:pPr>
          </w:p>
        </w:tc>
        <w:tc>
          <w:tcPr>
            <w:tcW w:w="3330" w:type="dxa"/>
          </w:tcPr>
          <w:p w14:paraId="638E7FE4" w14:textId="77777777" w:rsidR="00A03982" w:rsidRPr="005B5418" w:rsidRDefault="00A03982" w:rsidP="00A03982">
            <w:pPr>
              <w:pStyle w:val="BodyTextIndent"/>
              <w:spacing w:before="60" w:after="60"/>
              <w:rPr>
                <w:rFonts w:cs="Arial"/>
                <w:lang w:val="pt-BR"/>
              </w:rPr>
            </w:pPr>
          </w:p>
        </w:tc>
      </w:tr>
      <w:tr w:rsidR="00A03982" w:rsidRPr="005B5418" w14:paraId="3EE1349A" w14:textId="77777777" w:rsidTr="00935832">
        <w:trPr>
          <w:trHeight w:val="377"/>
        </w:trPr>
        <w:tc>
          <w:tcPr>
            <w:tcW w:w="9715" w:type="dxa"/>
            <w:gridSpan w:val="3"/>
          </w:tcPr>
          <w:p w14:paraId="3E0AC981" w14:textId="6CF20D01" w:rsidR="00A03982" w:rsidRPr="005B5418" w:rsidRDefault="00A03982" w:rsidP="00A03982">
            <w:pPr>
              <w:pStyle w:val="BodyTextIndent"/>
              <w:spacing w:before="60" w:after="60"/>
              <w:rPr>
                <w:rFonts w:cs="Arial"/>
                <w:lang w:val="pt-BR"/>
              </w:rPr>
            </w:pPr>
            <w:r w:rsidRPr="005B5418">
              <w:rPr>
                <w:rFonts w:cs="Arial"/>
                <w:i/>
                <w:lang w:val="pt-BR"/>
              </w:rPr>
              <w:t>Lessor Treatment</w:t>
            </w:r>
          </w:p>
        </w:tc>
      </w:tr>
      <w:tr w:rsidR="00A03982" w:rsidRPr="005B5418" w14:paraId="5A0CC3E6" w14:textId="77777777" w:rsidTr="00935832">
        <w:trPr>
          <w:trHeight w:val="1205"/>
        </w:trPr>
        <w:tc>
          <w:tcPr>
            <w:tcW w:w="5395" w:type="dxa"/>
          </w:tcPr>
          <w:p w14:paraId="3BB8C2AB" w14:textId="35080ECA"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t xml:space="preserve">Does the </w:t>
            </w:r>
            <w:r w:rsidRPr="005B5418">
              <w:rPr>
                <w:b/>
                <w:szCs w:val="22"/>
              </w:rPr>
              <w:t xml:space="preserve">provider-lessor </w:t>
            </w:r>
            <w:r w:rsidRPr="005B5418">
              <w:rPr>
                <w:szCs w:val="22"/>
              </w:rPr>
              <w:t>account for the underlying asset, including the leasehold improvement (or PP&amp;E) asset, in a manner consistent with para. 66 of SFFAS 54 and SFFAS 6?</w:t>
            </w:r>
            <w:r w:rsidRPr="005B5418">
              <w:rPr>
                <w:color w:val="FF0000"/>
                <w:szCs w:val="22"/>
              </w:rPr>
              <w:t xml:space="preserve"> </w:t>
            </w:r>
            <w:r w:rsidRPr="005B5418">
              <w:rPr>
                <w:color w:val="auto"/>
                <w:szCs w:val="22"/>
              </w:rPr>
              <w:t>(TB-2023-1, para. 11.b)</w:t>
            </w:r>
          </w:p>
        </w:tc>
        <w:tc>
          <w:tcPr>
            <w:tcW w:w="990" w:type="dxa"/>
          </w:tcPr>
          <w:p w14:paraId="3A10DC0F" w14:textId="77777777" w:rsidR="00A03982" w:rsidRPr="005B5418" w:rsidRDefault="00A03982" w:rsidP="00A03982">
            <w:pPr>
              <w:pStyle w:val="Table-Cell-CenterBoldBefore6ptAfter6pt"/>
              <w:spacing w:before="60" w:after="60"/>
              <w:rPr>
                <w:rFonts w:cs="Arial"/>
                <w:lang w:val="pt-BR"/>
              </w:rPr>
            </w:pPr>
          </w:p>
        </w:tc>
        <w:tc>
          <w:tcPr>
            <w:tcW w:w="3330" w:type="dxa"/>
          </w:tcPr>
          <w:p w14:paraId="33D6FF4C" w14:textId="77777777" w:rsidR="00A03982" w:rsidRPr="005B5418" w:rsidRDefault="00A03982" w:rsidP="00A03982">
            <w:pPr>
              <w:pStyle w:val="BodyTextIndent"/>
              <w:spacing w:before="60" w:after="60"/>
              <w:rPr>
                <w:rFonts w:cs="Arial"/>
                <w:lang w:val="pt-BR"/>
              </w:rPr>
            </w:pPr>
          </w:p>
        </w:tc>
      </w:tr>
      <w:tr w:rsidR="00A03982" w:rsidRPr="005B5418" w14:paraId="6E525CF0" w14:textId="77777777" w:rsidTr="00935832">
        <w:trPr>
          <w:trHeight w:val="1205"/>
        </w:trPr>
        <w:tc>
          <w:tcPr>
            <w:tcW w:w="5395" w:type="dxa"/>
          </w:tcPr>
          <w:p w14:paraId="47E09353" w14:textId="3F039F40"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t xml:space="preserve">Does the </w:t>
            </w:r>
            <w:r w:rsidRPr="005B5418">
              <w:rPr>
                <w:b/>
                <w:szCs w:val="22"/>
              </w:rPr>
              <w:t>provider-lessor</w:t>
            </w:r>
            <w:r w:rsidRPr="005B5418">
              <w:rPr>
                <w:szCs w:val="22"/>
              </w:rPr>
              <w:t xml:space="preserve"> initially recognize an intragovernmental unearned reimbursable work revenue liability for the amount receivable for reimbursable work acquisitions, construction, improvements, and/or alterations (in a manner congruous with para. 28 of SFFAS 54 for prepaid rent liabilities)? (TB-2023-1, para. 27)</w:t>
            </w:r>
          </w:p>
        </w:tc>
        <w:tc>
          <w:tcPr>
            <w:tcW w:w="990" w:type="dxa"/>
          </w:tcPr>
          <w:p w14:paraId="0D80AB13" w14:textId="77777777" w:rsidR="00A03982" w:rsidRPr="005B5418" w:rsidRDefault="00A03982" w:rsidP="00A03982">
            <w:pPr>
              <w:pStyle w:val="Table-Cell-CenterBoldBefore6ptAfter6pt"/>
              <w:spacing w:before="60" w:after="60"/>
              <w:rPr>
                <w:rFonts w:cs="Arial"/>
                <w:lang w:val="pt-BR"/>
              </w:rPr>
            </w:pPr>
          </w:p>
        </w:tc>
        <w:tc>
          <w:tcPr>
            <w:tcW w:w="3330" w:type="dxa"/>
          </w:tcPr>
          <w:p w14:paraId="1C2FBC2A" w14:textId="77777777" w:rsidR="00A03982" w:rsidRPr="005B5418" w:rsidRDefault="00A03982" w:rsidP="00A03982">
            <w:pPr>
              <w:pStyle w:val="BodyTextIndent"/>
              <w:spacing w:before="60" w:after="60"/>
              <w:rPr>
                <w:rFonts w:cs="Arial"/>
                <w:lang w:val="pt-BR"/>
              </w:rPr>
            </w:pPr>
          </w:p>
        </w:tc>
      </w:tr>
      <w:tr w:rsidR="00A03982" w:rsidRPr="005B5418" w14:paraId="445B1FC0" w14:textId="77777777" w:rsidTr="00935832">
        <w:trPr>
          <w:trHeight w:val="1205"/>
        </w:trPr>
        <w:tc>
          <w:tcPr>
            <w:tcW w:w="5395" w:type="dxa"/>
          </w:tcPr>
          <w:p w14:paraId="02C4F54F" w14:textId="1713560A"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t xml:space="preserve">Does the </w:t>
            </w:r>
            <w:r w:rsidRPr="005B5418">
              <w:rPr>
                <w:b/>
                <w:szCs w:val="22"/>
              </w:rPr>
              <w:t>provider-lessor</w:t>
            </w:r>
            <w:r w:rsidRPr="005B5418">
              <w:rPr>
                <w:szCs w:val="22"/>
              </w:rPr>
              <w:t xml:space="preserve"> recognize</w:t>
            </w:r>
            <w:r w:rsidRPr="005B5418">
              <w:rPr>
                <w:rStyle w:val="FootnoteReference"/>
                <w:szCs w:val="22"/>
              </w:rPr>
              <w:footnoteReference w:id="236"/>
            </w:r>
            <w:r w:rsidRPr="005B5418">
              <w:rPr>
                <w:szCs w:val="22"/>
              </w:rPr>
              <w:t xml:space="preserve"> the intragovernmental reimbursable work revenue in a systematic and rational manner over the shorter of (a) the remainder of the lease term or (b) the useful life of the underlying asset acquired/constructed or improvements/alterations thereto associated with the reimbursable work?</w:t>
            </w:r>
            <w:r w:rsidRPr="005B5418">
              <w:rPr>
                <w:rStyle w:val="FootnoteReference"/>
                <w:szCs w:val="22"/>
              </w:rPr>
              <w:footnoteReference w:id="237"/>
            </w:r>
            <w:r w:rsidRPr="005B5418">
              <w:rPr>
                <w:szCs w:val="22"/>
              </w:rPr>
              <w:t xml:space="preserve"> (TB-2023-1, para. 28)</w:t>
            </w:r>
          </w:p>
        </w:tc>
        <w:tc>
          <w:tcPr>
            <w:tcW w:w="990" w:type="dxa"/>
          </w:tcPr>
          <w:p w14:paraId="59038135" w14:textId="77777777" w:rsidR="00A03982" w:rsidRPr="005B5418" w:rsidRDefault="00A03982" w:rsidP="00A03982">
            <w:pPr>
              <w:pStyle w:val="Table-Cell-CenterBoldBefore6ptAfter6pt"/>
              <w:spacing w:before="60" w:after="60"/>
              <w:rPr>
                <w:rFonts w:cs="Arial"/>
                <w:lang w:val="pt-BR"/>
              </w:rPr>
            </w:pPr>
          </w:p>
        </w:tc>
        <w:tc>
          <w:tcPr>
            <w:tcW w:w="3330" w:type="dxa"/>
          </w:tcPr>
          <w:p w14:paraId="7680C038" w14:textId="77777777" w:rsidR="00A03982" w:rsidRPr="005B5418" w:rsidRDefault="00A03982" w:rsidP="00A03982">
            <w:pPr>
              <w:pStyle w:val="BodyTextIndent"/>
              <w:spacing w:before="60" w:after="60"/>
              <w:rPr>
                <w:rFonts w:cs="Arial"/>
                <w:lang w:val="pt-BR"/>
              </w:rPr>
            </w:pPr>
          </w:p>
        </w:tc>
      </w:tr>
      <w:tr w:rsidR="00A03982" w:rsidRPr="005B5418" w14:paraId="36C9A1A9" w14:textId="77777777" w:rsidTr="00935832">
        <w:trPr>
          <w:trHeight w:val="1205"/>
        </w:trPr>
        <w:tc>
          <w:tcPr>
            <w:tcW w:w="5395" w:type="dxa"/>
          </w:tcPr>
          <w:p w14:paraId="2B18108B" w14:textId="480563F6"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t xml:space="preserve">Does revenue recognition commence when the </w:t>
            </w:r>
            <w:r w:rsidRPr="005B5418">
              <w:rPr>
                <w:b/>
                <w:szCs w:val="22"/>
              </w:rPr>
              <w:t>provider-lessor</w:t>
            </w:r>
            <w:r w:rsidRPr="005B5418">
              <w:rPr>
                <w:szCs w:val="22"/>
              </w:rPr>
              <w:t xml:space="preserve"> provides access to the economic benefits and services resulting from the reimbursable work? (TB-2023-1, para. 28)</w:t>
            </w:r>
          </w:p>
        </w:tc>
        <w:tc>
          <w:tcPr>
            <w:tcW w:w="990" w:type="dxa"/>
          </w:tcPr>
          <w:p w14:paraId="553F769E" w14:textId="77777777" w:rsidR="00A03982" w:rsidRPr="005B5418" w:rsidRDefault="00A03982" w:rsidP="00A03982">
            <w:pPr>
              <w:pStyle w:val="Table-Cell-CenterBoldBefore6ptAfter6pt"/>
              <w:spacing w:before="60" w:after="60"/>
              <w:rPr>
                <w:rFonts w:cs="Arial"/>
                <w:lang w:val="pt-BR"/>
              </w:rPr>
            </w:pPr>
          </w:p>
        </w:tc>
        <w:tc>
          <w:tcPr>
            <w:tcW w:w="3330" w:type="dxa"/>
          </w:tcPr>
          <w:p w14:paraId="7EB6683B" w14:textId="77777777" w:rsidR="00A03982" w:rsidRPr="005B5418" w:rsidRDefault="00A03982" w:rsidP="00A03982">
            <w:pPr>
              <w:pStyle w:val="BodyTextIndent"/>
              <w:spacing w:before="60" w:after="60"/>
              <w:rPr>
                <w:rFonts w:cs="Arial"/>
                <w:lang w:val="pt-BR"/>
              </w:rPr>
            </w:pPr>
          </w:p>
        </w:tc>
      </w:tr>
      <w:tr w:rsidR="00A03982" w:rsidRPr="005B5418" w14:paraId="058873B8" w14:textId="77777777" w:rsidTr="00935832">
        <w:trPr>
          <w:trHeight w:val="386"/>
        </w:trPr>
        <w:tc>
          <w:tcPr>
            <w:tcW w:w="9715" w:type="dxa"/>
            <w:gridSpan w:val="3"/>
          </w:tcPr>
          <w:p w14:paraId="5831B20D" w14:textId="78DE377F" w:rsidR="00A03982" w:rsidRPr="005B5418" w:rsidRDefault="00A03982" w:rsidP="00A03982">
            <w:pPr>
              <w:pStyle w:val="BodyTextIndent"/>
              <w:spacing w:before="60" w:after="60"/>
              <w:rPr>
                <w:rFonts w:cs="Arial"/>
                <w:lang w:val="pt-BR"/>
              </w:rPr>
            </w:pPr>
            <w:r w:rsidRPr="005B5418">
              <w:rPr>
                <w:rFonts w:cs="Arial"/>
                <w:b/>
                <w:lang w:val="pt-BR"/>
              </w:rPr>
              <w:t>Disclosure</w:t>
            </w:r>
          </w:p>
        </w:tc>
      </w:tr>
      <w:tr w:rsidR="00A03982" w:rsidRPr="005B5418" w14:paraId="418F1A3A" w14:textId="77777777" w:rsidTr="00935832">
        <w:trPr>
          <w:trHeight w:val="1205"/>
        </w:trPr>
        <w:tc>
          <w:tcPr>
            <w:tcW w:w="5395" w:type="dxa"/>
          </w:tcPr>
          <w:p w14:paraId="7B80DD0E" w14:textId="37851406" w:rsidR="00A03982" w:rsidRPr="005B5418" w:rsidRDefault="00A03982" w:rsidP="00A03982">
            <w:pPr>
              <w:pStyle w:val="FAM-Table-outline"/>
              <w:widowControl/>
              <w:numPr>
                <w:ilvl w:val="0"/>
                <w:numId w:val="5"/>
              </w:numPr>
              <w:tabs>
                <w:tab w:val="clear" w:pos="666"/>
                <w:tab w:val="num" w:pos="576"/>
              </w:tabs>
              <w:adjustRightInd/>
              <w:spacing w:line="240" w:lineRule="auto"/>
              <w:ind w:left="576"/>
              <w:textAlignment w:val="auto"/>
              <w:rPr>
                <w:szCs w:val="22"/>
              </w:rPr>
            </w:pPr>
            <w:r w:rsidRPr="005B5418">
              <w:rPr>
                <w:szCs w:val="22"/>
              </w:rPr>
              <w:t xml:space="preserve">For RWAs where the customer-lessee would not be considered the predominant beneficiary, </w:t>
            </w:r>
            <w:r w:rsidR="004A12F7" w:rsidRPr="005B5418">
              <w:rPr>
                <w:szCs w:val="22"/>
              </w:rPr>
              <w:t>is</w:t>
            </w:r>
            <w:r w:rsidRPr="005B5418">
              <w:rPr>
                <w:szCs w:val="22"/>
              </w:rPr>
              <w:t xml:space="preserve"> a general description of significant </w:t>
            </w:r>
            <w:r w:rsidR="003D53DD">
              <w:rPr>
                <w:szCs w:val="22"/>
              </w:rPr>
              <w:t>RWA</w:t>
            </w:r>
            <w:r w:rsidRPr="005B5418">
              <w:rPr>
                <w:szCs w:val="22"/>
              </w:rPr>
              <w:t xml:space="preserve"> </w:t>
            </w:r>
            <w:r w:rsidRPr="005B5418">
              <w:rPr>
                <w:szCs w:val="22"/>
              </w:rPr>
              <w:lastRenderedPageBreak/>
              <w:t>activities</w:t>
            </w:r>
            <w:r w:rsidR="004A12F7" w:rsidRPr="005B5418">
              <w:rPr>
                <w:szCs w:val="22"/>
              </w:rPr>
              <w:t xml:space="preserve"> disclosed</w:t>
            </w:r>
            <w:r w:rsidRPr="005B5418">
              <w:rPr>
                <w:szCs w:val="22"/>
              </w:rPr>
              <w:t>?</w:t>
            </w:r>
            <w:r w:rsidRPr="005B5418">
              <w:rPr>
                <w:rStyle w:val="FootnoteReference"/>
                <w:szCs w:val="22"/>
              </w:rPr>
              <w:footnoteReference w:id="238"/>
            </w:r>
            <w:r w:rsidRPr="005B5418">
              <w:rPr>
                <w:szCs w:val="22"/>
              </w:rPr>
              <w:t xml:space="preserve"> (TB-2023-1, paras. 25 and 31)</w:t>
            </w:r>
          </w:p>
        </w:tc>
        <w:tc>
          <w:tcPr>
            <w:tcW w:w="990" w:type="dxa"/>
          </w:tcPr>
          <w:p w14:paraId="19AD6DAE" w14:textId="77777777" w:rsidR="00A03982" w:rsidRPr="005B5418" w:rsidRDefault="00A03982" w:rsidP="00A03982">
            <w:pPr>
              <w:pStyle w:val="Table-Cell-CenterBoldBefore6ptAfter6pt"/>
              <w:spacing w:before="60" w:after="60"/>
              <w:rPr>
                <w:rFonts w:cs="Arial"/>
                <w:lang w:val="pt-BR"/>
              </w:rPr>
            </w:pPr>
          </w:p>
        </w:tc>
        <w:tc>
          <w:tcPr>
            <w:tcW w:w="3330" w:type="dxa"/>
          </w:tcPr>
          <w:p w14:paraId="2D556EF9" w14:textId="77777777" w:rsidR="00A03982" w:rsidRPr="005B5418" w:rsidRDefault="00A03982" w:rsidP="00A03982">
            <w:pPr>
              <w:pStyle w:val="BodyTextIndent"/>
              <w:spacing w:before="60" w:after="60"/>
              <w:rPr>
                <w:rFonts w:cs="Arial"/>
                <w:lang w:val="pt-BR"/>
              </w:rPr>
            </w:pPr>
          </w:p>
        </w:tc>
      </w:tr>
    </w:tbl>
    <w:p w14:paraId="596EB700" w14:textId="77777777" w:rsidR="00151AE0" w:rsidRPr="005B5418" w:rsidRDefault="00151AE0" w:rsidP="008848DA"/>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CC7F86" w:rsidRPr="005B5418" w14:paraId="23B7289C" w14:textId="77777777" w:rsidTr="00151AE0">
        <w:trPr>
          <w:tblHeader/>
        </w:trPr>
        <w:tc>
          <w:tcPr>
            <w:tcW w:w="5400" w:type="dxa"/>
          </w:tcPr>
          <w:p w14:paraId="3A963F13" w14:textId="5E5D3D86" w:rsidR="00CC7F86" w:rsidRPr="005B5418" w:rsidRDefault="00CC7F86" w:rsidP="008F3C1C">
            <w:pPr>
              <w:pStyle w:val="Heading4"/>
              <w:spacing w:before="60" w:after="60" w:line="240" w:lineRule="auto"/>
              <w:jc w:val="left"/>
              <w:rPr>
                <w:b/>
                <w:u w:val="none"/>
              </w:rPr>
            </w:pPr>
            <w:bookmarkStart w:id="194" w:name="_II.3.8.20_Commitments_and_1"/>
            <w:bookmarkStart w:id="195" w:name="_Ref8637986"/>
            <w:bookmarkEnd w:id="194"/>
            <w:r w:rsidRPr="005B5418">
              <w:rPr>
                <w:b/>
                <w:u w:val="none"/>
              </w:rPr>
              <w:lastRenderedPageBreak/>
              <w:t>II.3.8.</w:t>
            </w:r>
            <w:r w:rsidR="008F3C1C" w:rsidRPr="005B5418">
              <w:rPr>
                <w:b/>
                <w:u w:val="none"/>
              </w:rPr>
              <w:t xml:space="preserve">20 </w:t>
            </w:r>
            <w:r w:rsidRPr="005B5418">
              <w:rPr>
                <w:b/>
                <w:u w:val="none"/>
              </w:rPr>
              <w:t>Commitments and Contingencies</w:t>
            </w:r>
            <w:bookmarkEnd w:id="195"/>
            <w:r w:rsidRPr="005B5418">
              <w:rPr>
                <w:b/>
                <w:u w:val="none"/>
              </w:rPr>
              <w:t xml:space="preserve"> </w:t>
            </w:r>
          </w:p>
        </w:tc>
        <w:tc>
          <w:tcPr>
            <w:tcW w:w="965" w:type="dxa"/>
          </w:tcPr>
          <w:p w14:paraId="30FE82DC" w14:textId="77777777" w:rsidR="00CC7F86" w:rsidRPr="005B5418" w:rsidRDefault="00CC7F86" w:rsidP="008848DA">
            <w:pPr>
              <w:pStyle w:val="TableCellCenter"/>
              <w:spacing w:before="60" w:after="60"/>
              <w:jc w:val="left"/>
            </w:pPr>
            <w:r w:rsidRPr="005B5418">
              <w:t>Yes, No, or N/A</w:t>
            </w:r>
          </w:p>
        </w:tc>
        <w:tc>
          <w:tcPr>
            <w:tcW w:w="3211" w:type="dxa"/>
          </w:tcPr>
          <w:p w14:paraId="2EEF0C49" w14:textId="77777777" w:rsidR="00CC7F86" w:rsidRPr="005B5418" w:rsidRDefault="00CC7F86" w:rsidP="008848DA">
            <w:pPr>
              <w:pStyle w:val="TableCellCenter"/>
              <w:spacing w:before="60" w:after="60"/>
              <w:jc w:val="left"/>
            </w:pPr>
            <w:r w:rsidRPr="005B5418">
              <w:t>Explanation and Reference</w:t>
            </w:r>
          </w:p>
        </w:tc>
      </w:tr>
      <w:tr w:rsidR="00CC7F86" w:rsidRPr="005B5418" w14:paraId="2BA8D5BC" w14:textId="77777777" w:rsidTr="00151AE0">
        <w:tc>
          <w:tcPr>
            <w:tcW w:w="9576" w:type="dxa"/>
            <w:gridSpan w:val="3"/>
            <w:vAlign w:val="center"/>
          </w:tcPr>
          <w:p w14:paraId="449DA537" w14:textId="3CA7A72C" w:rsidR="00CC7F86" w:rsidRPr="005B5418" w:rsidRDefault="00CC7F86" w:rsidP="00BE7026">
            <w:pPr>
              <w:pStyle w:val="Table-Note"/>
              <w:spacing w:line="240" w:lineRule="auto"/>
              <w:ind w:left="0"/>
              <w:jc w:val="left"/>
              <w:rPr>
                <w:rFonts w:cs="Arial"/>
                <w:i w:val="0"/>
                <w:sz w:val="22"/>
                <w:szCs w:val="22"/>
              </w:rPr>
            </w:pPr>
            <w:r w:rsidRPr="005B5418">
              <w:rPr>
                <w:rFonts w:cs="Arial"/>
                <w:i w:val="0"/>
                <w:sz w:val="22"/>
                <w:szCs w:val="22"/>
              </w:rPr>
              <w:t xml:space="preserve">Commitments reflect binding agreements that may result in the future expenditure of financial resources that are not recognized </w:t>
            </w:r>
            <w:r w:rsidR="00993C11" w:rsidRPr="005B5418">
              <w:rPr>
                <w:rFonts w:cs="Arial"/>
                <w:i w:val="0"/>
                <w:sz w:val="22"/>
                <w:szCs w:val="22"/>
              </w:rPr>
              <w:t xml:space="preserve">at all </w:t>
            </w:r>
            <w:r w:rsidRPr="005B5418">
              <w:rPr>
                <w:rFonts w:cs="Arial"/>
                <w:i w:val="0"/>
                <w:sz w:val="22"/>
                <w:szCs w:val="22"/>
              </w:rPr>
              <w:t xml:space="preserve">or not fully recognized on the </w:t>
            </w:r>
            <w:r w:rsidR="001B5C17" w:rsidRPr="005B5418">
              <w:rPr>
                <w:rFonts w:cs="Arial"/>
                <w:i w:val="0"/>
                <w:sz w:val="22"/>
                <w:szCs w:val="22"/>
              </w:rPr>
              <w:t>balance sheet</w:t>
            </w:r>
            <w:r w:rsidRPr="005B5418">
              <w:rPr>
                <w:rFonts w:cs="Arial"/>
                <w:i w:val="0"/>
                <w:sz w:val="22"/>
                <w:szCs w:val="22"/>
              </w:rPr>
              <w:t xml:space="preserve"> and should be disclosed. Commitments may include, for example, undelivered orders, public-private partnerships, international or other agreements in support of international economic development, </w:t>
            </w:r>
            <w:r w:rsidR="00CB2EEE" w:rsidRPr="005B5418">
              <w:rPr>
                <w:rFonts w:cs="Arial"/>
                <w:i w:val="0"/>
                <w:sz w:val="22"/>
                <w:szCs w:val="22"/>
              </w:rPr>
              <w:t>and</w:t>
            </w:r>
            <w:r w:rsidRPr="005B5418">
              <w:rPr>
                <w:rFonts w:cs="Arial"/>
                <w:i w:val="0"/>
                <w:sz w:val="22"/>
                <w:szCs w:val="22"/>
              </w:rPr>
              <w:t xml:space="preserve"> agreements in support of financial market stability. (A-136, sections II.3.2.4 and II.3.8.</w:t>
            </w:r>
            <w:r w:rsidR="008F3C1C" w:rsidRPr="005B5418">
              <w:rPr>
                <w:rFonts w:cs="Arial"/>
                <w:i w:val="0"/>
                <w:sz w:val="22"/>
                <w:szCs w:val="22"/>
              </w:rPr>
              <w:t>20</w:t>
            </w:r>
            <w:r w:rsidRPr="005B5418">
              <w:rPr>
                <w:rFonts w:cs="Arial"/>
                <w:i w:val="0"/>
                <w:sz w:val="22"/>
                <w:szCs w:val="22"/>
              </w:rPr>
              <w:t>)</w:t>
            </w:r>
          </w:p>
          <w:p w14:paraId="6ED7FFD3" w14:textId="1DC23816" w:rsidR="00CC7F86" w:rsidRPr="005B5418" w:rsidRDefault="00CC7F86" w:rsidP="00BE7026">
            <w:pPr>
              <w:pStyle w:val="Table-Note"/>
              <w:spacing w:line="240" w:lineRule="auto"/>
              <w:ind w:left="0"/>
              <w:jc w:val="left"/>
              <w:rPr>
                <w:rFonts w:cs="Arial"/>
                <w:i w:val="0"/>
                <w:sz w:val="22"/>
                <w:szCs w:val="22"/>
              </w:rPr>
            </w:pPr>
            <w:r w:rsidRPr="005B5418">
              <w:rPr>
                <w:rFonts w:cs="Arial"/>
                <w:i w:val="0"/>
                <w:sz w:val="22"/>
                <w:szCs w:val="22"/>
              </w:rPr>
              <w:t>A loss contingency is an existing condition, situation, or set of circumstances involving uncertainty as to possible loss to an entity. The uncertainty will ultimately be resolved when one or more future events occur or fail to occur. A loss contingency is a liability when a past event or exchange transaction has occurred, a future outflow or other sacrifice of resources is probable, and the future outflow or sacrifice of resources is measurable.</w:t>
            </w:r>
          </w:p>
          <w:p w14:paraId="6F7E417A" w14:textId="54ED3424" w:rsidR="00CC7F86" w:rsidRPr="005B5418" w:rsidRDefault="00CC7F86" w:rsidP="00BE7026">
            <w:pPr>
              <w:pStyle w:val="Table-Note"/>
              <w:spacing w:line="240" w:lineRule="auto"/>
              <w:ind w:left="0"/>
              <w:jc w:val="left"/>
              <w:rPr>
                <w:rFonts w:cs="Arial"/>
                <w:i w:val="0"/>
                <w:sz w:val="22"/>
                <w:szCs w:val="22"/>
              </w:rPr>
            </w:pPr>
            <w:r w:rsidRPr="005B5418">
              <w:rPr>
                <w:rFonts w:cs="Arial"/>
                <w:i w:val="0"/>
                <w:sz w:val="22"/>
                <w:szCs w:val="22"/>
              </w:rPr>
              <w:t>Contingencies that do not meet any of the conditions for liability recognition but for which there is at least a reasonable possibility that a loss or an additional loss may have been incurred, should be disclosed in a note. Examples of claims or other contingencies include</w:t>
            </w:r>
            <w:r w:rsidR="00993C11" w:rsidRPr="005B5418">
              <w:rPr>
                <w:rFonts w:cs="Arial"/>
                <w:i w:val="0"/>
                <w:sz w:val="22"/>
                <w:szCs w:val="22"/>
              </w:rPr>
              <w:t>:</w:t>
            </w:r>
            <w:r w:rsidRPr="005B5418">
              <w:rPr>
                <w:rFonts w:cs="Arial"/>
                <w:i w:val="0"/>
                <w:sz w:val="22"/>
                <w:szCs w:val="22"/>
              </w:rPr>
              <w:t xml:space="preserve"> </w:t>
            </w:r>
          </w:p>
          <w:p w14:paraId="59A2E107" w14:textId="77777777" w:rsidR="00CC7F86" w:rsidRPr="005B5418" w:rsidRDefault="00CC7F86" w:rsidP="00BE7026">
            <w:pPr>
              <w:pStyle w:val="Table-Note"/>
              <w:spacing w:line="240" w:lineRule="auto"/>
              <w:ind w:left="0"/>
              <w:jc w:val="left"/>
              <w:rPr>
                <w:rFonts w:cs="Arial"/>
                <w:i w:val="0"/>
                <w:sz w:val="22"/>
                <w:szCs w:val="22"/>
              </w:rPr>
            </w:pPr>
            <w:r w:rsidRPr="005B5418">
              <w:rPr>
                <w:rFonts w:cs="Arial"/>
                <w:i w:val="0"/>
                <w:sz w:val="22"/>
                <w:szCs w:val="22"/>
              </w:rPr>
              <w:t xml:space="preserve">(1) indemnity agreements (reimbursements due to licensees or contractors for losses incurred in support of federal activities), </w:t>
            </w:r>
          </w:p>
          <w:p w14:paraId="589F9F2F" w14:textId="77777777" w:rsidR="00CC7F86" w:rsidRPr="005B5418" w:rsidRDefault="00CC7F86" w:rsidP="00BE7026">
            <w:pPr>
              <w:pStyle w:val="Table-Note"/>
              <w:spacing w:line="240" w:lineRule="auto"/>
              <w:ind w:left="0"/>
              <w:jc w:val="left"/>
              <w:rPr>
                <w:rFonts w:cs="Arial"/>
                <w:i w:val="0"/>
                <w:sz w:val="22"/>
                <w:szCs w:val="22"/>
              </w:rPr>
            </w:pPr>
            <w:r w:rsidRPr="005B5418">
              <w:rPr>
                <w:rFonts w:cs="Arial"/>
                <w:i w:val="0"/>
                <w:sz w:val="22"/>
                <w:szCs w:val="22"/>
              </w:rPr>
              <w:t xml:space="preserve">(2) claims against the federal government that are in judicial proceedings, </w:t>
            </w:r>
          </w:p>
          <w:p w14:paraId="778204F0" w14:textId="6030F268" w:rsidR="00CC7F86" w:rsidRPr="005B5418" w:rsidRDefault="00CC7F86" w:rsidP="00BE7026">
            <w:pPr>
              <w:pStyle w:val="Table-Note"/>
              <w:spacing w:line="240" w:lineRule="auto"/>
              <w:ind w:left="0"/>
              <w:jc w:val="left"/>
              <w:rPr>
                <w:rFonts w:cs="Arial"/>
                <w:i w:val="0"/>
                <w:sz w:val="22"/>
                <w:szCs w:val="22"/>
              </w:rPr>
            </w:pPr>
            <w:r w:rsidRPr="005B5418">
              <w:rPr>
                <w:rFonts w:cs="Arial"/>
                <w:i w:val="0"/>
                <w:sz w:val="22"/>
                <w:szCs w:val="22"/>
              </w:rPr>
              <w:t>(</w:t>
            </w:r>
            <w:r w:rsidR="00993C11" w:rsidRPr="005B5418">
              <w:rPr>
                <w:rFonts w:cs="Arial"/>
                <w:i w:val="0"/>
                <w:sz w:val="22"/>
                <w:szCs w:val="22"/>
              </w:rPr>
              <w:t>3</w:t>
            </w:r>
            <w:r w:rsidRPr="005B5418">
              <w:rPr>
                <w:rFonts w:cs="Arial"/>
                <w:i w:val="0"/>
                <w:sz w:val="22"/>
                <w:szCs w:val="22"/>
              </w:rPr>
              <w:t xml:space="preserve">) litigation addressing claims for equity relief or nonmonetary judgments (lawsuits whereby claimants are seeking specific actions by a federal agency), and </w:t>
            </w:r>
          </w:p>
          <w:p w14:paraId="5204713C" w14:textId="13D8F665" w:rsidR="00CC7F86" w:rsidRPr="005B5418" w:rsidRDefault="00CC7F86" w:rsidP="00BE7026">
            <w:pPr>
              <w:pStyle w:val="Table-Note"/>
              <w:spacing w:line="240" w:lineRule="auto"/>
              <w:ind w:left="0"/>
              <w:jc w:val="left"/>
              <w:rPr>
                <w:rFonts w:cs="Arial"/>
                <w:i w:val="0"/>
                <w:sz w:val="22"/>
                <w:szCs w:val="22"/>
              </w:rPr>
            </w:pPr>
            <w:r w:rsidRPr="005B5418">
              <w:rPr>
                <w:rFonts w:cs="Arial"/>
                <w:i w:val="0"/>
                <w:sz w:val="22"/>
                <w:szCs w:val="22"/>
              </w:rPr>
              <w:t>(</w:t>
            </w:r>
            <w:r w:rsidR="00993C11" w:rsidRPr="005B5418">
              <w:rPr>
                <w:rFonts w:cs="Arial"/>
                <w:i w:val="0"/>
                <w:sz w:val="22"/>
                <w:szCs w:val="22"/>
              </w:rPr>
              <w:t>4</w:t>
            </w:r>
            <w:r w:rsidRPr="005B5418">
              <w:rPr>
                <w:rFonts w:cs="Arial"/>
                <w:i w:val="0"/>
                <w:sz w:val="22"/>
                <w:szCs w:val="22"/>
              </w:rPr>
              <w:t xml:space="preserve">) other claims that may derive from treaties or international agreements. </w:t>
            </w:r>
            <w:r w:rsidRPr="005B5418">
              <w:rPr>
                <w:rFonts w:cs="Arial"/>
                <w:i w:val="0"/>
                <w:sz w:val="22"/>
                <w:szCs w:val="22"/>
                <w:lang w:val="pt-BR"/>
              </w:rPr>
              <w:t>(SFFAS 5, paras. 35</w:t>
            </w:r>
            <w:r w:rsidR="00CC1A1F" w:rsidRPr="005B5418">
              <w:rPr>
                <w:rFonts w:cs="Arial"/>
                <w:i w:val="0"/>
                <w:sz w:val="22"/>
                <w:szCs w:val="22"/>
                <w:lang w:val="pt-BR"/>
              </w:rPr>
              <w:t xml:space="preserve">, </w:t>
            </w:r>
            <w:r w:rsidRPr="005B5418">
              <w:rPr>
                <w:rFonts w:cs="Arial"/>
                <w:i w:val="0"/>
                <w:sz w:val="22"/>
                <w:szCs w:val="22"/>
                <w:lang w:val="pt-BR"/>
              </w:rPr>
              <w:t>36,</w:t>
            </w:r>
            <w:r w:rsidR="00CC1A1F" w:rsidRPr="005B5418">
              <w:rPr>
                <w:rFonts w:cs="Arial"/>
                <w:i w:val="0"/>
                <w:sz w:val="22"/>
                <w:szCs w:val="22"/>
                <w:lang w:val="pt-BR"/>
              </w:rPr>
              <w:t xml:space="preserve"> 38, and 40</w:t>
            </w:r>
            <w:r w:rsidRPr="005B5418">
              <w:rPr>
                <w:rFonts w:cs="Arial"/>
                <w:i w:val="0"/>
                <w:sz w:val="22"/>
                <w:szCs w:val="22"/>
                <w:lang w:val="pt-BR"/>
              </w:rPr>
              <w:t xml:space="preserve">; SFFAS 6, paras. 85–111; TR 2; </w:t>
            </w:r>
            <w:r w:rsidRPr="005B5418">
              <w:rPr>
                <w:rFonts w:cs="Arial"/>
                <w:i w:val="0"/>
                <w:sz w:val="22"/>
                <w:szCs w:val="22"/>
              </w:rPr>
              <w:t>A-136, sections II.3.2.4 and II.3.8.</w:t>
            </w:r>
            <w:r w:rsidR="00934625" w:rsidRPr="005B5418">
              <w:rPr>
                <w:rFonts w:cs="Arial"/>
                <w:i w:val="0"/>
                <w:sz w:val="22"/>
                <w:szCs w:val="22"/>
              </w:rPr>
              <w:t>20</w:t>
            </w:r>
            <w:r w:rsidRPr="005B5418">
              <w:rPr>
                <w:rFonts w:cs="Arial"/>
                <w:i w:val="0"/>
                <w:sz w:val="22"/>
                <w:szCs w:val="22"/>
              </w:rPr>
              <w:t>)</w:t>
            </w:r>
          </w:p>
          <w:p w14:paraId="1B2EADB6" w14:textId="1737A572" w:rsidR="00551B62" w:rsidRPr="005B5418" w:rsidRDefault="00551B62" w:rsidP="00BE7026">
            <w:pPr>
              <w:pStyle w:val="Table-Note"/>
              <w:spacing w:line="240" w:lineRule="auto"/>
              <w:ind w:left="0"/>
              <w:jc w:val="left"/>
              <w:rPr>
                <w:rFonts w:cs="Arial"/>
                <w:i w:val="0"/>
                <w:sz w:val="22"/>
                <w:szCs w:val="22"/>
              </w:rPr>
            </w:pPr>
            <w:r w:rsidRPr="005B5418">
              <w:rPr>
                <w:i w:val="0"/>
                <w:sz w:val="22"/>
                <w:szCs w:val="22"/>
              </w:rPr>
              <w:t xml:space="preserve">“Legal” contingencies refer to those contingencies and contingent liabilities that are reported in the legal letter and/or management schedule, which include environmental and non-environmental matters. </w:t>
            </w:r>
            <w:r w:rsidR="00F93E04" w:rsidRPr="005B5418">
              <w:rPr>
                <w:i w:val="0"/>
                <w:sz w:val="22"/>
                <w:szCs w:val="22"/>
              </w:rPr>
              <w:t>(</w:t>
            </w:r>
            <w:r w:rsidR="00F93E04" w:rsidRPr="005B5418">
              <w:rPr>
                <w:rFonts w:cs="Arial"/>
                <w:i w:val="0"/>
                <w:sz w:val="22"/>
                <w:szCs w:val="22"/>
              </w:rPr>
              <w:t>A-136, section II.3.8.20)</w:t>
            </w:r>
            <w:r w:rsidRPr="005B5418">
              <w:rPr>
                <w:i w:val="0"/>
                <w:sz w:val="22"/>
                <w:szCs w:val="22"/>
              </w:rPr>
              <w:t xml:space="preserve">   </w:t>
            </w:r>
          </w:p>
          <w:p w14:paraId="0F78E2FE" w14:textId="3A205074" w:rsidR="00CC7F86" w:rsidRPr="005B5418" w:rsidRDefault="00CC7F86" w:rsidP="00BE7026">
            <w:pPr>
              <w:pStyle w:val="Table-Note"/>
              <w:spacing w:line="240" w:lineRule="auto"/>
              <w:ind w:left="0"/>
              <w:jc w:val="left"/>
              <w:rPr>
                <w:rFonts w:cs="Arial"/>
                <w:i w:val="0"/>
                <w:sz w:val="22"/>
                <w:szCs w:val="22"/>
              </w:rPr>
            </w:pPr>
            <w:r w:rsidRPr="005B5418">
              <w:rPr>
                <w:rFonts w:eastAsia="Arial Unicode MS" w:cs="Arial"/>
                <w:i w:val="0"/>
                <w:sz w:val="22"/>
                <w:szCs w:val="22"/>
              </w:rPr>
              <w:t>Contingencies are different from subsequent events. Subsequent events are events or transactions that affect the basic information or required supplementary information (RSI) that occur subsequent to the end of the reporting period but before the financial report is issued. A subsequent event may affect a contingency by providing information that resolves an uncertainty related to a contingent liability and confirms the impairment of an asset or incurrence of a liability as of the end of the reporting period. (SFFAS 5, para. 35, fn 17)</w:t>
            </w:r>
          </w:p>
        </w:tc>
      </w:tr>
      <w:tr w:rsidR="00CC7F86" w:rsidRPr="005B5418" w14:paraId="092F93F8" w14:textId="77777777" w:rsidTr="00151AE0">
        <w:trPr>
          <w:trHeight w:val="1115"/>
        </w:trPr>
        <w:tc>
          <w:tcPr>
            <w:tcW w:w="5400" w:type="dxa"/>
          </w:tcPr>
          <w:p w14:paraId="071C4E43" w14:textId="77777777" w:rsidR="00CC7F86" w:rsidRPr="005B5418" w:rsidRDefault="00CC7F86" w:rsidP="00825C76">
            <w:pPr>
              <w:pStyle w:val="BodyTextIndent2"/>
              <w:numPr>
                <w:ilvl w:val="0"/>
                <w:numId w:val="52"/>
              </w:numPr>
              <w:spacing w:before="60" w:after="60" w:line="240" w:lineRule="auto"/>
              <w:rPr>
                <w:rFonts w:eastAsia="Arial Unicode MS"/>
                <w:sz w:val="22"/>
                <w:szCs w:val="22"/>
              </w:rPr>
            </w:pPr>
            <w:r w:rsidRPr="005B5418">
              <w:rPr>
                <w:rFonts w:eastAsia="Arial Unicode MS" w:cs="Arial"/>
                <w:sz w:val="22"/>
                <w:szCs w:val="22"/>
              </w:rPr>
              <w:t>Is this topic applicable to the entity’s financial statements? (Answer Y if applicable, N/A if not applicable, or N/S if not significant. If N/A or N/S, skip to the next topic.)</w:t>
            </w:r>
          </w:p>
        </w:tc>
        <w:tc>
          <w:tcPr>
            <w:tcW w:w="965" w:type="dxa"/>
          </w:tcPr>
          <w:p w14:paraId="63F32652" w14:textId="77777777" w:rsidR="00CC7F86" w:rsidRPr="005B5418" w:rsidRDefault="00CC7F86" w:rsidP="008848DA">
            <w:pPr>
              <w:pStyle w:val="Table-Cell-CenterBoldBefore6ptAfter6pt"/>
              <w:spacing w:before="60" w:after="60"/>
              <w:rPr>
                <w:rFonts w:cs="Arial"/>
              </w:rPr>
            </w:pPr>
          </w:p>
        </w:tc>
        <w:tc>
          <w:tcPr>
            <w:tcW w:w="3211" w:type="dxa"/>
          </w:tcPr>
          <w:p w14:paraId="02120AA9" w14:textId="77777777" w:rsidR="00CC7F86" w:rsidRPr="005B5418" w:rsidRDefault="00CC7F86" w:rsidP="008848DA">
            <w:pPr>
              <w:spacing w:before="60" w:after="60" w:line="240" w:lineRule="auto"/>
              <w:rPr>
                <w:rFonts w:cs="Arial"/>
              </w:rPr>
            </w:pPr>
          </w:p>
        </w:tc>
      </w:tr>
      <w:tr w:rsidR="00CC7F86" w:rsidRPr="005B5418" w14:paraId="66907676" w14:textId="77777777" w:rsidTr="00151AE0">
        <w:trPr>
          <w:trHeight w:val="305"/>
        </w:trPr>
        <w:tc>
          <w:tcPr>
            <w:tcW w:w="9576" w:type="dxa"/>
            <w:gridSpan w:val="3"/>
          </w:tcPr>
          <w:p w14:paraId="014C48C6" w14:textId="77777777" w:rsidR="00CC7F86" w:rsidRPr="005B5418" w:rsidRDefault="00CC7F86" w:rsidP="008848DA">
            <w:pPr>
              <w:spacing w:before="60" w:after="60" w:line="240" w:lineRule="auto"/>
              <w:rPr>
                <w:rFonts w:ascii="Arial" w:hAnsi="Arial" w:cs="Arial"/>
                <w:b/>
              </w:rPr>
            </w:pPr>
            <w:r w:rsidRPr="005B5418">
              <w:rPr>
                <w:rFonts w:ascii="Arial" w:hAnsi="Arial" w:cs="Arial"/>
                <w:b/>
              </w:rPr>
              <w:t>Accounting</w:t>
            </w:r>
          </w:p>
        </w:tc>
      </w:tr>
      <w:tr w:rsidR="00CC7F86" w:rsidRPr="005B5418" w14:paraId="6A8687BF" w14:textId="77777777" w:rsidTr="00151AE0">
        <w:trPr>
          <w:trHeight w:val="377"/>
        </w:trPr>
        <w:tc>
          <w:tcPr>
            <w:tcW w:w="5400" w:type="dxa"/>
          </w:tcPr>
          <w:p w14:paraId="4F1D73B3" w14:textId="77777777" w:rsidR="00CC7F86" w:rsidRPr="005425ED" w:rsidRDefault="00CC7F86" w:rsidP="006D5E76">
            <w:pPr>
              <w:pStyle w:val="BodyTextIndent2"/>
              <w:numPr>
                <w:ilvl w:val="0"/>
                <w:numId w:val="52"/>
              </w:numPr>
              <w:spacing w:before="60" w:after="60" w:line="240" w:lineRule="auto"/>
              <w:jc w:val="left"/>
              <w:rPr>
                <w:rFonts w:eastAsia="Arial Unicode MS"/>
                <w:sz w:val="22"/>
              </w:rPr>
            </w:pPr>
            <w:r w:rsidRPr="005B5418">
              <w:rPr>
                <w:rFonts w:eastAsia="Arial Unicode MS" w:cs="Arial"/>
                <w:sz w:val="22"/>
                <w:szCs w:val="22"/>
              </w:rPr>
              <w:t>Does the entity recognize estimated losses for claims or other contingencies if all of the following conditions apply:</w:t>
            </w:r>
          </w:p>
          <w:p w14:paraId="37EC687A" w14:textId="77777777" w:rsidR="00CC7F86" w:rsidRPr="005B5418" w:rsidRDefault="00CC7F86" w:rsidP="005425ED">
            <w:pPr>
              <w:pStyle w:val="FAM-Table-outline2"/>
              <w:spacing w:line="240" w:lineRule="auto"/>
              <w:ind w:left="1140" w:hanging="443"/>
            </w:pPr>
            <w:r w:rsidRPr="005B5418">
              <w:t>a past event or exchange transaction has occurred,</w:t>
            </w:r>
          </w:p>
          <w:p w14:paraId="0370F0FB" w14:textId="77777777" w:rsidR="00CC7F86" w:rsidRPr="005B5418" w:rsidRDefault="00CC7F86" w:rsidP="005425ED">
            <w:pPr>
              <w:pStyle w:val="FAM-Table-outline2"/>
              <w:spacing w:line="240" w:lineRule="auto"/>
              <w:ind w:left="1140" w:hanging="443"/>
            </w:pPr>
            <w:r w:rsidRPr="005B5418">
              <w:lastRenderedPageBreak/>
              <w:t>a future outflow or other sacrifice of resources is probable,</w:t>
            </w:r>
            <w:r w:rsidRPr="005B5418">
              <w:rPr>
                <w:rStyle w:val="FootnoteReference"/>
              </w:rPr>
              <w:footnoteReference w:id="239"/>
            </w:r>
            <w:r w:rsidRPr="005B5418">
              <w:t xml:space="preserve"> and</w:t>
            </w:r>
          </w:p>
          <w:p w14:paraId="1ED98CCD" w14:textId="77777777" w:rsidR="00CC7F86" w:rsidRPr="005B5418" w:rsidRDefault="00CC7F86" w:rsidP="005425ED">
            <w:pPr>
              <w:pStyle w:val="FAM-Table-outline2"/>
              <w:spacing w:line="240" w:lineRule="auto"/>
              <w:ind w:left="1140" w:hanging="443"/>
              <w:rPr>
                <w:rFonts w:eastAsia="Arial Unicode MS"/>
              </w:rPr>
            </w:pPr>
            <w:r w:rsidRPr="005B5418">
              <w:t>the future outflow or sacrifice of resources is measurable (e.g., the federal entity’s management determines an estimated settlement amount)? (SFFAS 5, para. 38; SFFAS 6, para. 91; SFFAS 12, paras. 10–11)</w:t>
            </w:r>
          </w:p>
        </w:tc>
        <w:tc>
          <w:tcPr>
            <w:tcW w:w="965" w:type="dxa"/>
          </w:tcPr>
          <w:p w14:paraId="1AFB501E" w14:textId="77777777" w:rsidR="00CC7F86" w:rsidRPr="005B5418" w:rsidRDefault="00CC7F86" w:rsidP="008848DA">
            <w:pPr>
              <w:pStyle w:val="Table-Cell-CenterBoldBefore6ptAfter6pt"/>
              <w:spacing w:before="60" w:after="60"/>
              <w:rPr>
                <w:rFonts w:cs="Arial"/>
              </w:rPr>
            </w:pPr>
          </w:p>
        </w:tc>
        <w:tc>
          <w:tcPr>
            <w:tcW w:w="3211" w:type="dxa"/>
          </w:tcPr>
          <w:p w14:paraId="363D58DB" w14:textId="77777777" w:rsidR="00CC7F86" w:rsidRPr="005B5418" w:rsidRDefault="00CC7F86" w:rsidP="008848DA">
            <w:pPr>
              <w:spacing w:before="60" w:after="60" w:line="240" w:lineRule="auto"/>
              <w:rPr>
                <w:rFonts w:cs="Arial"/>
              </w:rPr>
            </w:pPr>
          </w:p>
        </w:tc>
      </w:tr>
      <w:tr w:rsidR="00CC7F86" w:rsidRPr="005B5418" w14:paraId="65E74FCF" w14:textId="77777777" w:rsidTr="00151AE0">
        <w:trPr>
          <w:trHeight w:val="1457"/>
        </w:trPr>
        <w:tc>
          <w:tcPr>
            <w:tcW w:w="5400" w:type="dxa"/>
          </w:tcPr>
          <w:p w14:paraId="4612A173" w14:textId="77777777" w:rsidR="00CC7F86" w:rsidRPr="005B5418" w:rsidRDefault="00CC7F86" w:rsidP="005425ED">
            <w:pPr>
              <w:pStyle w:val="BodyTextIndent2"/>
              <w:numPr>
                <w:ilvl w:val="0"/>
                <w:numId w:val="52"/>
              </w:numPr>
              <w:spacing w:before="60" w:after="60" w:line="240" w:lineRule="auto"/>
              <w:jc w:val="left"/>
              <w:rPr>
                <w:rFonts w:cs="Arial"/>
              </w:rPr>
            </w:pPr>
            <w:r w:rsidRPr="005B5418">
              <w:rPr>
                <w:rFonts w:eastAsia="Arial Unicode MS"/>
                <w:sz w:val="22"/>
              </w:rPr>
              <w:t>When determining an estimated contingent liability, if some amount within a range of amounts is a better estimate than any other amount within the range, is that amount recognized? (SFFAS 5, para. 39)</w:t>
            </w:r>
          </w:p>
        </w:tc>
        <w:tc>
          <w:tcPr>
            <w:tcW w:w="965" w:type="dxa"/>
          </w:tcPr>
          <w:p w14:paraId="53C8844E" w14:textId="77777777" w:rsidR="00CC7F86" w:rsidRPr="005B5418" w:rsidRDefault="00CC7F86" w:rsidP="008848DA">
            <w:pPr>
              <w:pStyle w:val="Table-Cell-CenterBoldBefore6ptAfter6pt"/>
              <w:spacing w:before="60" w:after="60"/>
              <w:rPr>
                <w:rFonts w:cs="Arial"/>
              </w:rPr>
            </w:pPr>
          </w:p>
        </w:tc>
        <w:tc>
          <w:tcPr>
            <w:tcW w:w="3211" w:type="dxa"/>
          </w:tcPr>
          <w:p w14:paraId="4E8881C5" w14:textId="77777777" w:rsidR="00CC7F86" w:rsidRPr="005B5418" w:rsidRDefault="00CC7F86" w:rsidP="008848DA">
            <w:pPr>
              <w:spacing w:before="60" w:after="60" w:line="240" w:lineRule="auto"/>
              <w:rPr>
                <w:rFonts w:cs="Arial"/>
              </w:rPr>
            </w:pPr>
          </w:p>
        </w:tc>
      </w:tr>
      <w:tr w:rsidR="00CC7F86" w:rsidRPr="005B5418" w14:paraId="11245C2D" w14:textId="77777777" w:rsidTr="00151AE0">
        <w:trPr>
          <w:trHeight w:val="1475"/>
        </w:trPr>
        <w:tc>
          <w:tcPr>
            <w:tcW w:w="5400" w:type="dxa"/>
          </w:tcPr>
          <w:p w14:paraId="75EDB1F4" w14:textId="77777777" w:rsidR="00CC7F86" w:rsidRPr="005B5418" w:rsidRDefault="00CC7F86" w:rsidP="008848DA">
            <w:pPr>
              <w:pStyle w:val="FAM-Table-outline"/>
              <w:widowControl/>
              <w:adjustRightInd/>
              <w:spacing w:line="240" w:lineRule="auto"/>
              <w:textAlignment w:val="auto"/>
              <w:rPr>
                <w:rFonts w:eastAsia="Arial Unicode MS"/>
              </w:rPr>
            </w:pPr>
            <w:r w:rsidRPr="005B5418">
              <w:rPr>
                <w:rFonts w:eastAsia="Arial Unicode MS"/>
              </w:rPr>
              <w:t>When determining an estimated liability, if no amount within a range of amounts is a better estimate than any other amount, is the minimum amount in the range recognized? (SFFAS 5, para. 39)</w:t>
            </w:r>
          </w:p>
        </w:tc>
        <w:tc>
          <w:tcPr>
            <w:tcW w:w="965" w:type="dxa"/>
          </w:tcPr>
          <w:p w14:paraId="3AD0E436" w14:textId="77777777" w:rsidR="00CC7F86" w:rsidRPr="005B5418" w:rsidRDefault="00CC7F86" w:rsidP="008848DA">
            <w:pPr>
              <w:pStyle w:val="Table-Cell-CenterBoldBefore6ptAfter6pt"/>
              <w:spacing w:before="60" w:after="60"/>
              <w:rPr>
                <w:rFonts w:cs="Arial"/>
              </w:rPr>
            </w:pPr>
          </w:p>
        </w:tc>
        <w:tc>
          <w:tcPr>
            <w:tcW w:w="3211" w:type="dxa"/>
          </w:tcPr>
          <w:p w14:paraId="7ACFCE25" w14:textId="77777777" w:rsidR="00CC7F86" w:rsidRPr="005B5418" w:rsidRDefault="00CC7F86" w:rsidP="008848DA">
            <w:pPr>
              <w:spacing w:before="60" w:after="60" w:line="240" w:lineRule="auto"/>
              <w:rPr>
                <w:rFonts w:cs="Arial"/>
              </w:rPr>
            </w:pPr>
          </w:p>
        </w:tc>
      </w:tr>
      <w:tr w:rsidR="00CC7F86" w:rsidRPr="005B5418" w14:paraId="48889626" w14:textId="77777777" w:rsidTr="00151AE0">
        <w:trPr>
          <w:trHeight w:val="305"/>
        </w:trPr>
        <w:tc>
          <w:tcPr>
            <w:tcW w:w="9576" w:type="dxa"/>
            <w:gridSpan w:val="3"/>
          </w:tcPr>
          <w:p w14:paraId="3AF0F234" w14:textId="77777777" w:rsidR="00CC7F86" w:rsidRPr="005B5418" w:rsidRDefault="00CC7F86" w:rsidP="008848DA">
            <w:pPr>
              <w:spacing w:before="60" w:after="60" w:line="240" w:lineRule="auto"/>
              <w:rPr>
                <w:rFonts w:ascii="Arial" w:hAnsi="Arial" w:cs="Arial"/>
                <w:b/>
              </w:rPr>
            </w:pPr>
            <w:r w:rsidRPr="005B5418">
              <w:rPr>
                <w:rFonts w:ascii="Arial" w:hAnsi="Arial" w:cs="Arial"/>
                <w:b/>
              </w:rPr>
              <w:t>Disclosure</w:t>
            </w:r>
          </w:p>
        </w:tc>
      </w:tr>
      <w:tr w:rsidR="00CC7F86" w:rsidRPr="005B5418" w14:paraId="16515BE6" w14:textId="77777777" w:rsidTr="00151AE0">
        <w:trPr>
          <w:trHeight w:val="746"/>
        </w:trPr>
        <w:tc>
          <w:tcPr>
            <w:tcW w:w="5400" w:type="dxa"/>
          </w:tcPr>
          <w:p w14:paraId="3AF500CE" w14:textId="26F2AD9E" w:rsidR="00CC7F86" w:rsidRPr="005B5418" w:rsidRDefault="00CC7F86" w:rsidP="00934625">
            <w:pPr>
              <w:pStyle w:val="FAM-Table-outline"/>
              <w:spacing w:line="240" w:lineRule="auto"/>
              <w:rPr>
                <w:rFonts w:cs="Arial"/>
              </w:rPr>
            </w:pPr>
            <w:r w:rsidRPr="005B5418">
              <w:t>Are commitments disclosed?</w:t>
            </w:r>
            <w:r w:rsidRPr="005B5418">
              <w:rPr>
                <w:rStyle w:val="FootnoteReference"/>
              </w:rPr>
              <w:footnoteReference w:id="240"/>
            </w:r>
            <w:r w:rsidRPr="005B5418">
              <w:t xml:space="preserve"> (A-136, section II.3.8.</w:t>
            </w:r>
            <w:r w:rsidR="00934625" w:rsidRPr="005B5418">
              <w:t>20</w:t>
            </w:r>
            <w:r w:rsidRPr="005B5418">
              <w:t>)</w:t>
            </w:r>
          </w:p>
        </w:tc>
        <w:tc>
          <w:tcPr>
            <w:tcW w:w="965" w:type="dxa"/>
          </w:tcPr>
          <w:p w14:paraId="642C9FDF" w14:textId="77777777" w:rsidR="00CC7F86" w:rsidRPr="005B5418" w:rsidRDefault="00CC7F86" w:rsidP="008848DA">
            <w:pPr>
              <w:pStyle w:val="Table-Cell-CenterBoldBefore6ptAfter6pt"/>
              <w:spacing w:before="60" w:after="60"/>
              <w:rPr>
                <w:rFonts w:cs="Arial"/>
              </w:rPr>
            </w:pPr>
          </w:p>
        </w:tc>
        <w:tc>
          <w:tcPr>
            <w:tcW w:w="3211" w:type="dxa"/>
          </w:tcPr>
          <w:p w14:paraId="1EFE2154" w14:textId="77777777" w:rsidR="00CC7F86" w:rsidRPr="005B5418" w:rsidRDefault="00CC7F86" w:rsidP="008848DA">
            <w:pPr>
              <w:spacing w:before="60" w:after="60" w:line="240" w:lineRule="auto"/>
              <w:rPr>
                <w:rFonts w:cs="Arial"/>
              </w:rPr>
            </w:pPr>
          </w:p>
        </w:tc>
      </w:tr>
      <w:tr w:rsidR="00CC7F86" w:rsidRPr="005B5418" w14:paraId="3F4B2C2F" w14:textId="77777777" w:rsidTr="00151AE0">
        <w:trPr>
          <w:trHeight w:val="1808"/>
        </w:trPr>
        <w:tc>
          <w:tcPr>
            <w:tcW w:w="5400" w:type="dxa"/>
          </w:tcPr>
          <w:p w14:paraId="4A3F4BDD" w14:textId="77777777" w:rsidR="00CC7F86" w:rsidRPr="005B5418" w:rsidRDefault="00CC7F86" w:rsidP="008848DA">
            <w:pPr>
              <w:pStyle w:val="FAM-Table-outline"/>
              <w:widowControl/>
              <w:adjustRightInd/>
              <w:spacing w:line="240" w:lineRule="auto"/>
              <w:textAlignment w:val="auto"/>
              <w:rPr>
                <w:rFonts w:cs="Arial"/>
              </w:rPr>
            </w:pPr>
            <w:r w:rsidRPr="005B5418">
              <w:rPr>
                <w:rFonts w:cs="Arial"/>
              </w:rPr>
              <w:t>Does the entity disclose contingencies</w:t>
            </w:r>
            <w:r w:rsidRPr="005B5418">
              <w:t xml:space="preserve"> that are</w:t>
            </w:r>
          </w:p>
          <w:p w14:paraId="794E37CC" w14:textId="77777777" w:rsidR="00CC7F86" w:rsidRPr="005B5418" w:rsidRDefault="00CC7F86" w:rsidP="005425ED">
            <w:pPr>
              <w:pStyle w:val="FAM-Table-outline2"/>
              <w:spacing w:line="240" w:lineRule="auto"/>
              <w:ind w:left="1140" w:hanging="443"/>
            </w:pPr>
            <w:r w:rsidRPr="005B5418">
              <w:t>reasonably possible (i.e., neither probable nor remote) to result in a future outflow (or an additional outflow) and</w:t>
            </w:r>
          </w:p>
          <w:p w14:paraId="48BF7722" w14:textId="77777777" w:rsidR="00CC7F86" w:rsidRPr="005B5418" w:rsidRDefault="00CC7F86" w:rsidP="005425ED">
            <w:pPr>
              <w:pStyle w:val="FAM-Table-outline2"/>
              <w:spacing w:line="240" w:lineRule="auto"/>
              <w:ind w:left="1140" w:hanging="443"/>
              <w:rPr>
                <w:rFonts w:cs="Arial"/>
              </w:rPr>
            </w:pPr>
            <w:r w:rsidRPr="005B5418">
              <w:t>probable to result in a future outflow (or an additional outflow) for which a loss amount or range cannot be reasonably measured? (SFFAS 5, para. 40)</w:t>
            </w:r>
          </w:p>
        </w:tc>
        <w:tc>
          <w:tcPr>
            <w:tcW w:w="965" w:type="dxa"/>
          </w:tcPr>
          <w:p w14:paraId="744A2E16" w14:textId="77777777" w:rsidR="00CC7F86" w:rsidRPr="005B5418" w:rsidRDefault="00CC7F86" w:rsidP="008848DA">
            <w:pPr>
              <w:pStyle w:val="Table-Cell-CenterBoldBefore6ptAfter6pt"/>
              <w:spacing w:before="60" w:after="60"/>
              <w:rPr>
                <w:rFonts w:cs="Arial"/>
              </w:rPr>
            </w:pPr>
          </w:p>
        </w:tc>
        <w:tc>
          <w:tcPr>
            <w:tcW w:w="3211" w:type="dxa"/>
          </w:tcPr>
          <w:p w14:paraId="5CD700EB" w14:textId="77777777" w:rsidR="00CC7F86" w:rsidRPr="005B5418" w:rsidRDefault="00CC7F86" w:rsidP="008848DA">
            <w:pPr>
              <w:spacing w:before="60" w:after="60" w:line="240" w:lineRule="auto"/>
              <w:rPr>
                <w:rFonts w:cs="Arial"/>
              </w:rPr>
            </w:pPr>
          </w:p>
        </w:tc>
      </w:tr>
      <w:tr w:rsidR="00CC7F86" w:rsidRPr="005B5418" w14:paraId="2478F2A0" w14:textId="77777777" w:rsidTr="00151AE0">
        <w:trPr>
          <w:trHeight w:val="1997"/>
        </w:trPr>
        <w:tc>
          <w:tcPr>
            <w:tcW w:w="5400" w:type="dxa"/>
          </w:tcPr>
          <w:p w14:paraId="41EAE7BB" w14:textId="77777777" w:rsidR="00CC7F86" w:rsidRPr="005B5418" w:rsidRDefault="00CC7F86" w:rsidP="008848DA">
            <w:pPr>
              <w:pStyle w:val="FAM-Table-outline"/>
              <w:widowControl/>
              <w:adjustRightInd/>
              <w:spacing w:line="240" w:lineRule="auto"/>
              <w:textAlignment w:val="auto"/>
              <w:rPr>
                <w:rFonts w:eastAsia="Arial Unicode MS"/>
              </w:rPr>
            </w:pPr>
            <w:r w:rsidRPr="005B5418">
              <w:rPr>
                <w:rFonts w:eastAsia="Arial Unicode MS"/>
              </w:rPr>
              <w:lastRenderedPageBreak/>
              <w:t>For contingencies that existed as of the end of the reporting period/year-end, does the related contingent liability and/or disclosure reflect all information available through the date of the audit report with respect to the likelihood and measurement of the contingency? (SFFAS 5, para. 35 and fn 17)</w:t>
            </w:r>
          </w:p>
        </w:tc>
        <w:tc>
          <w:tcPr>
            <w:tcW w:w="965" w:type="dxa"/>
          </w:tcPr>
          <w:p w14:paraId="6BC8D6E9" w14:textId="77777777" w:rsidR="00CC7F86" w:rsidRPr="005B5418" w:rsidRDefault="00CC7F86" w:rsidP="008848DA">
            <w:pPr>
              <w:pStyle w:val="Table-Cell-CenterBoldBefore6ptAfter6pt"/>
              <w:spacing w:before="60" w:after="60"/>
              <w:jc w:val="left"/>
              <w:rPr>
                <w:rFonts w:cs="Arial"/>
              </w:rPr>
            </w:pPr>
          </w:p>
        </w:tc>
        <w:tc>
          <w:tcPr>
            <w:tcW w:w="3211" w:type="dxa"/>
          </w:tcPr>
          <w:p w14:paraId="12E98AA7" w14:textId="77777777" w:rsidR="00CC7F86" w:rsidRPr="005B5418" w:rsidRDefault="00CC7F86" w:rsidP="008848DA">
            <w:pPr>
              <w:spacing w:before="60" w:after="60" w:line="240" w:lineRule="auto"/>
              <w:rPr>
                <w:rFonts w:cs="Arial"/>
              </w:rPr>
            </w:pPr>
          </w:p>
        </w:tc>
      </w:tr>
      <w:tr w:rsidR="00CC7F86" w:rsidRPr="005B5418" w14:paraId="6886BB0A" w14:textId="77777777" w:rsidTr="00151AE0">
        <w:trPr>
          <w:trHeight w:val="2160"/>
        </w:trPr>
        <w:tc>
          <w:tcPr>
            <w:tcW w:w="5400" w:type="dxa"/>
          </w:tcPr>
          <w:p w14:paraId="4F00A251" w14:textId="77777777" w:rsidR="00CC7F86" w:rsidRPr="005B5418" w:rsidRDefault="00CC7F86" w:rsidP="008848DA">
            <w:pPr>
              <w:pStyle w:val="FAM-Table-outline"/>
              <w:widowControl/>
              <w:adjustRightInd/>
              <w:spacing w:line="240" w:lineRule="auto"/>
              <w:textAlignment w:val="auto"/>
              <w:rPr>
                <w:rFonts w:eastAsia="Arial Unicode MS"/>
              </w:rPr>
            </w:pPr>
            <w:r w:rsidRPr="005B5418">
              <w:rPr>
                <w:rFonts w:eastAsia="Arial Unicode MS"/>
              </w:rPr>
              <w:t xml:space="preserve">For contingencies that the likelihood of future outflows is probable, does the entity disclose the nature of the contingency and one of the following? </w:t>
            </w:r>
          </w:p>
          <w:p w14:paraId="665FCE1F" w14:textId="77777777" w:rsidR="00CC7F86" w:rsidRPr="005B5418" w:rsidRDefault="00CC7F86" w:rsidP="005425ED">
            <w:pPr>
              <w:pStyle w:val="FAM-Table-outline2"/>
              <w:spacing w:line="240" w:lineRule="auto"/>
              <w:ind w:left="1140" w:hanging="443"/>
            </w:pPr>
            <w:r w:rsidRPr="005B5418">
              <w:t>For contingent losses that are reasonably measurable, disclose that the amount that has been recorded as a liability.</w:t>
            </w:r>
          </w:p>
          <w:p w14:paraId="04736D28" w14:textId="1CA8A9FC" w:rsidR="00CC7F86" w:rsidRPr="005B5418" w:rsidRDefault="00CC7F86" w:rsidP="005425ED">
            <w:pPr>
              <w:pStyle w:val="FAM-Table-outline2"/>
              <w:spacing w:line="240" w:lineRule="auto"/>
              <w:ind w:left="1140" w:hanging="443"/>
            </w:pPr>
            <w:r w:rsidRPr="005B5418">
              <w:t xml:space="preserve">For contingent losses </w:t>
            </w:r>
            <w:r w:rsidR="00757F6F">
              <w:t>for which</w:t>
            </w:r>
            <w:r w:rsidR="00757F6F" w:rsidRPr="005B5418">
              <w:t xml:space="preserve"> </w:t>
            </w:r>
            <w:r w:rsidRPr="005B5418">
              <w:t>a range of amounts may be estimated, and some amount within the range is a better estimate than any other amount in the range, disclose the</w:t>
            </w:r>
            <w:r w:rsidR="00C12A48" w:rsidRPr="005B5418">
              <w:t xml:space="preserve"> </w:t>
            </w:r>
            <w:r w:rsidR="0058240C" w:rsidRPr="005B5418">
              <w:t xml:space="preserve">recognized </w:t>
            </w:r>
            <w:r w:rsidR="00C12A48" w:rsidRPr="005B5418">
              <w:t>amount</w:t>
            </w:r>
            <w:r w:rsidR="0058240C" w:rsidRPr="005B5418">
              <w:t xml:space="preserve"> (i.e., the better estimate)</w:t>
            </w:r>
            <w:r w:rsidR="00C12A48" w:rsidRPr="005B5418">
              <w:t xml:space="preserve"> and the</w:t>
            </w:r>
            <w:r w:rsidRPr="005B5418">
              <w:t xml:space="preserve"> </w:t>
            </w:r>
            <w:r w:rsidR="00526C86" w:rsidRPr="005B5418">
              <w:t>range</w:t>
            </w:r>
            <w:r w:rsidRPr="005B5418">
              <w:t>.</w:t>
            </w:r>
          </w:p>
          <w:p w14:paraId="5B2F4E9A" w14:textId="19D0BABB" w:rsidR="00CC7F86" w:rsidRPr="005B5418" w:rsidRDefault="00CC7F86" w:rsidP="005425ED">
            <w:pPr>
              <w:pStyle w:val="FAM-Table-outline2"/>
              <w:spacing w:line="240" w:lineRule="auto"/>
              <w:ind w:left="1140" w:hanging="443"/>
            </w:pPr>
            <w:r w:rsidRPr="005B5418">
              <w:t xml:space="preserve">For contingent losses </w:t>
            </w:r>
            <w:r w:rsidR="00757F6F">
              <w:t>for which</w:t>
            </w:r>
            <w:r w:rsidR="00757F6F" w:rsidRPr="005B5418">
              <w:t xml:space="preserve"> </w:t>
            </w:r>
            <w:r w:rsidRPr="005B5418">
              <w:t xml:space="preserve">a range of amounts </w:t>
            </w:r>
            <w:r w:rsidR="00172E57" w:rsidRPr="005B5418">
              <w:t>may be</w:t>
            </w:r>
            <w:r w:rsidRPr="005B5418">
              <w:t xml:space="preserve"> estimated, and no amount within the range is a better estimate than any other amount, disclose the amount recognized (i.e., the minimum amount in the range) as well as the range.</w:t>
            </w:r>
          </w:p>
          <w:p w14:paraId="40E75731" w14:textId="2794D833" w:rsidR="00CC7F86" w:rsidRPr="005B5418" w:rsidRDefault="00CC7F86" w:rsidP="005425ED">
            <w:pPr>
              <w:pStyle w:val="FAM-Table-outline2"/>
              <w:spacing w:line="240" w:lineRule="auto"/>
              <w:ind w:left="1140" w:hanging="443"/>
              <w:rPr>
                <w:rFonts w:eastAsia="Arial Unicode MS"/>
              </w:rPr>
            </w:pPr>
            <w:r w:rsidRPr="005B5418">
              <w:t xml:space="preserve">For contingent losses </w:t>
            </w:r>
            <w:r w:rsidR="007B677C">
              <w:t xml:space="preserve">for which </w:t>
            </w:r>
            <w:r w:rsidRPr="005B5418">
              <w:t>an amount or range of amounts cannot be reasonably measured, include a statement within the disclosure that an estimate cannot be made and that no liability has been recorded for such contingency.</w:t>
            </w:r>
          </w:p>
        </w:tc>
        <w:tc>
          <w:tcPr>
            <w:tcW w:w="965" w:type="dxa"/>
          </w:tcPr>
          <w:p w14:paraId="0608C633" w14:textId="77777777" w:rsidR="00CC7F86" w:rsidRPr="005B5418" w:rsidRDefault="00CC7F86" w:rsidP="008848DA">
            <w:pPr>
              <w:pStyle w:val="Table-Cell-CenterBoldBefore6ptAfter6pt"/>
              <w:spacing w:before="60" w:after="60"/>
              <w:rPr>
                <w:rFonts w:cs="Arial"/>
              </w:rPr>
            </w:pPr>
          </w:p>
        </w:tc>
        <w:tc>
          <w:tcPr>
            <w:tcW w:w="3211" w:type="dxa"/>
          </w:tcPr>
          <w:p w14:paraId="19A84C60" w14:textId="77777777" w:rsidR="00CC7F86" w:rsidRPr="005B5418" w:rsidRDefault="00CC7F86" w:rsidP="008848DA">
            <w:pPr>
              <w:spacing w:before="60" w:after="60" w:line="240" w:lineRule="auto"/>
              <w:rPr>
                <w:rFonts w:cs="Arial"/>
              </w:rPr>
            </w:pPr>
          </w:p>
        </w:tc>
      </w:tr>
      <w:tr w:rsidR="00CC7F86" w:rsidRPr="005B5418" w14:paraId="1820EFF2" w14:textId="77777777" w:rsidTr="008848DA">
        <w:trPr>
          <w:trHeight w:val="431"/>
        </w:trPr>
        <w:tc>
          <w:tcPr>
            <w:tcW w:w="5400" w:type="dxa"/>
          </w:tcPr>
          <w:p w14:paraId="13C2695E" w14:textId="77777777" w:rsidR="00CC7F86" w:rsidRPr="005B5418" w:rsidRDefault="00CC7F86" w:rsidP="008848DA">
            <w:pPr>
              <w:pStyle w:val="FAM-Table-outline"/>
              <w:spacing w:line="240" w:lineRule="auto"/>
              <w:rPr>
                <w:rFonts w:eastAsia="Arial Unicode MS"/>
              </w:rPr>
            </w:pPr>
            <w:r w:rsidRPr="005B5418">
              <w:rPr>
                <w:rFonts w:eastAsia="Arial Unicode MS"/>
              </w:rPr>
              <w:t>For contingencies that are reasonably possible</w:t>
            </w:r>
            <w:r w:rsidRPr="005B5418">
              <w:t xml:space="preserve"> </w:t>
            </w:r>
            <w:r w:rsidRPr="005B5418">
              <w:rPr>
                <w:rFonts w:eastAsia="Arial Unicode MS"/>
              </w:rPr>
              <w:t>to result in future outflows (including additional outflows),</w:t>
            </w:r>
            <w:r w:rsidRPr="005B5418">
              <w:rPr>
                <w:rFonts w:eastAsia="Arial Unicode MS"/>
                <w:vertAlign w:val="superscript"/>
              </w:rPr>
              <w:footnoteReference w:id="241"/>
            </w:r>
            <w:r w:rsidRPr="005B5418">
              <w:rPr>
                <w:rFonts w:eastAsia="Arial Unicode MS"/>
              </w:rPr>
              <w:t xml:space="preserve"> does the entity </w:t>
            </w:r>
            <w:r w:rsidRPr="005B5418">
              <w:rPr>
                <w:rFonts w:eastAsia="Arial Unicode MS"/>
              </w:rPr>
              <w:lastRenderedPageBreak/>
              <w:t>disclose (i) the nature of the contingency,</w:t>
            </w:r>
            <w:r w:rsidRPr="005B5418">
              <w:rPr>
                <w:rFonts w:eastAsia="Arial Unicode MS"/>
                <w:vertAlign w:val="superscript"/>
              </w:rPr>
              <w:footnoteReference w:id="242"/>
            </w:r>
            <w:r w:rsidRPr="005B5418">
              <w:rPr>
                <w:rFonts w:eastAsia="Arial Unicode MS"/>
              </w:rPr>
              <w:t xml:space="preserve"> (ii) that no liability is recognized for reasonably possible contingencies, and (iii) one of the following:</w:t>
            </w:r>
          </w:p>
          <w:p w14:paraId="245102DB" w14:textId="77777777" w:rsidR="00CC7F86" w:rsidRPr="005B5418" w:rsidRDefault="00CC7F86" w:rsidP="005425ED">
            <w:pPr>
              <w:pStyle w:val="FAM-Table-outline2"/>
              <w:spacing w:line="240" w:lineRule="auto"/>
              <w:ind w:left="1140" w:hanging="443"/>
            </w:pPr>
            <w:r w:rsidRPr="005B5418">
              <w:t xml:space="preserve">an estimate of the possible liability; </w:t>
            </w:r>
          </w:p>
          <w:p w14:paraId="52E75EE1" w14:textId="77777777" w:rsidR="00CC7F86" w:rsidRPr="005B5418" w:rsidRDefault="00CC7F86" w:rsidP="005425ED">
            <w:pPr>
              <w:pStyle w:val="FAM-Table-outline2"/>
              <w:spacing w:line="240" w:lineRule="auto"/>
              <w:ind w:left="1140" w:hanging="443"/>
            </w:pPr>
            <w:r w:rsidRPr="005B5418">
              <w:t>an estimate of the range of the possible liability; or</w:t>
            </w:r>
          </w:p>
          <w:p w14:paraId="112FB6FB" w14:textId="04BB5400" w:rsidR="00CC7F86" w:rsidRPr="005B5418" w:rsidRDefault="00CC7F86" w:rsidP="005425ED">
            <w:pPr>
              <w:pStyle w:val="FAM-Table-outline2"/>
              <w:spacing w:line="240" w:lineRule="auto"/>
              <w:ind w:left="1140" w:hanging="443"/>
            </w:pPr>
            <w:r w:rsidRPr="005B5418">
              <w:t>a statement that such an estimate cannot be made? (SFFAS 5, paras. 36, 38, and 40–41)</w:t>
            </w:r>
          </w:p>
        </w:tc>
        <w:tc>
          <w:tcPr>
            <w:tcW w:w="965" w:type="dxa"/>
          </w:tcPr>
          <w:p w14:paraId="6E8B7B78" w14:textId="77777777" w:rsidR="00CC7F86" w:rsidRPr="005B5418" w:rsidRDefault="00CC7F86" w:rsidP="008848DA">
            <w:pPr>
              <w:pStyle w:val="Table-Cell-CenterBoldBefore6ptAfter6pt"/>
              <w:spacing w:before="60" w:after="60"/>
              <w:rPr>
                <w:rFonts w:cs="Arial"/>
              </w:rPr>
            </w:pPr>
          </w:p>
        </w:tc>
        <w:tc>
          <w:tcPr>
            <w:tcW w:w="3211" w:type="dxa"/>
          </w:tcPr>
          <w:p w14:paraId="780CA4F3" w14:textId="77777777" w:rsidR="00CC7F86" w:rsidRPr="005B5418" w:rsidRDefault="00CC7F86" w:rsidP="008848DA">
            <w:pPr>
              <w:spacing w:before="60" w:after="60" w:line="240" w:lineRule="auto"/>
              <w:rPr>
                <w:rFonts w:cs="Arial"/>
              </w:rPr>
            </w:pPr>
          </w:p>
        </w:tc>
      </w:tr>
      <w:tr w:rsidR="00CC7F86" w:rsidRPr="005B5418" w14:paraId="2BF0A8BC" w14:textId="77777777" w:rsidTr="00151AE0">
        <w:trPr>
          <w:trHeight w:val="647"/>
        </w:trPr>
        <w:tc>
          <w:tcPr>
            <w:tcW w:w="5400" w:type="dxa"/>
          </w:tcPr>
          <w:p w14:paraId="42A1DF85" w14:textId="77777777" w:rsidR="00CC7F86" w:rsidRPr="005B5418" w:rsidRDefault="00CC7F86" w:rsidP="008848DA">
            <w:pPr>
              <w:pStyle w:val="FAM-Table-outline"/>
              <w:spacing w:line="240" w:lineRule="auto"/>
              <w:rPr>
                <w:rFonts w:eastAsia="Arial Unicode MS"/>
              </w:rPr>
            </w:pPr>
            <w:r w:rsidRPr="005B5418">
              <w:rPr>
                <w:rFonts w:eastAsia="Arial Unicode MS"/>
              </w:rPr>
              <w:t>If information about remote contingencies, or related to remote contingencies, is included in GPFFR,</w:t>
            </w:r>
            <w:r w:rsidRPr="005B5418">
              <w:rPr>
                <w:rFonts w:eastAsia="Arial Unicode MS"/>
                <w:vertAlign w:val="superscript"/>
              </w:rPr>
              <w:footnoteReference w:id="243"/>
            </w:r>
            <w:r w:rsidRPr="005B5418">
              <w:rPr>
                <w:rFonts w:eastAsia="Arial Unicode MS"/>
              </w:rPr>
              <w:t xml:space="preserve"> is the information labeled to avoid the misleading implication that there is more than a remote chance of a loss of that amount? (SFFAS 5, para. 42)</w:t>
            </w:r>
          </w:p>
        </w:tc>
        <w:tc>
          <w:tcPr>
            <w:tcW w:w="965" w:type="dxa"/>
          </w:tcPr>
          <w:p w14:paraId="5708CB87" w14:textId="77777777" w:rsidR="00CC7F86" w:rsidRPr="005B5418" w:rsidRDefault="00CC7F86" w:rsidP="008848DA">
            <w:pPr>
              <w:pStyle w:val="Table-Cell-CenterBoldBefore6ptAfter6pt"/>
              <w:spacing w:before="60" w:after="60"/>
              <w:rPr>
                <w:rFonts w:cs="Arial"/>
              </w:rPr>
            </w:pPr>
          </w:p>
        </w:tc>
        <w:tc>
          <w:tcPr>
            <w:tcW w:w="3211" w:type="dxa"/>
          </w:tcPr>
          <w:p w14:paraId="0774EE8F" w14:textId="77777777" w:rsidR="00CC7F86" w:rsidRPr="005B5418" w:rsidRDefault="00CC7F86" w:rsidP="008848DA">
            <w:pPr>
              <w:spacing w:before="60" w:after="60" w:line="240" w:lineRule="auto"/>
              <w:rPr>
                <w:rFonts w:cs="Arial"/>
              </w:rPr>
            </w:pPr>
          </w:p>
        </w:tc>
      </w:tr>
      <w:tr w:rsidR="00CC7F86" w:rsidRPr="005B5418" w14:paraId="23EF1FED" w14:textId="77777777" w:rsidTr="00151AE0">
        <w:trPr>
          <w:trHeight w:val="1268"/>
        </w:trPr>
        <w:tc>
          <w:tcPr>
            <w:tcW w:w="5400" w:type="dxa"/>
          </w:tcPr>
          <w:p w14:paraId="4A860465" w14:textId="2D531339" w:rsidR="00CC7F86" w:rsidRPr="005B5418" w:rsidRDefault="00CC7F86" w:rsidP="00D76525">
            <w:pPr>
              <w:pStyle w:val="FAM-Table-outline"/>
              <w:widowControl/>
              <w:adjustRightInd/>
              <w:spacing w:line="240" w:lineRule="auto"/>
              <w:textAlignment w:val="auto"/>
              <w:rPr>
                <w:rFonts w:eastAsia="Arial Unicode MS"/>
              </w:rPr>
            </w:pPr>
            <w:r w:rsidRPr="005B5418">
              <w:rPr>
                <w:rFonts w:eastAsia="Arial Unicode MS"/>
              </w:rPr>
              <w:t>Does the entity recognize and/or disclose contingent liabilities, including those arising from treaties and other international agreements? (SFFAS 5, paras. 39–42; A-136, section II.3.8.</w:t>
            </w:r>
            <w:r w:rsidR="00D76525" w:rsidRPr="005B5418">
              <w:rPr>
                <w:rFonts w:eastAsia="Arial Unicode MS"/>
              </w:rPr>
              <w:t>20</w:t>
            </w:r>
            <w:r w:rsidRPr="005B5418">
              <w:rPr>
                <w:rFonts w:eastAsia="Arial Unicode MS"/>
              </w:rPr>
              <w:t>)</w:t>
            </w:r>
          </w:p>
        </w:tc>
        <w:tc>
          <w:tcPr>
            <w:tcW w:w="965" w:type="dxa"/>
          </w:tcPr>
          <w:p w14:paraId="12637734" w14:textId="77777777" w:rsidR="00CC7F86" w:rsidRPr="005B5418" w:rsidRDefault="00CC7F86" w:rsidP="008848DA">
            <w:pPr>
              <w:pStyle w:val="Table-Cell-CenterBoldBefore6ptAfter6pt"/>
              <w:spacing w:before="60" w:after="60"/>
              <w:rPr>
                <w:rFonts w:cs="Arial"/>
              </w:rPr>
            </w:pPr>
          </w:p>
        </w:tc>
        <w:tc>
          <w:tcPr>
            <w:tcW w:w="3211" w:type="dxa"/>
          </w:tcPr>
          <w:p w14:paraId="0CE0B792" w14:textId="77777777" w:rsidR="00CC7F86" w:rsidRPr="005B5418" w:rsidRDefault="00CC7F86" w:rsidP="008848DA">
            <w:pPr>
              <w:spacing w:before="60" w:after="60" w:line="240" w:lineRule="auto"/>
              <w:rPr>
                <w:rFonts w:cs="Arial"/>
              </w:rPr>
            </w:pPr>
          </w:p>
        </w:tc>
      </w:tr>
      <w:tr w:rsidR="00CC7F86" w:rsidRPr="005B5418" w14:paraId="63D65346" w14:textId="77777777" w:rsidTr="00151AE0">
        <w:trPr>
          <w:trHeight w:val="1268"/>
        </w:trPr>
        <w:tc>
          <w:tcPr>
            <w:tcW w:w="5400" w:type="dxa"/>
          </w:tcPr>
          <w:p w14:paraId="27A8904E" w14:textId="21924005" w:rsidR="00CC7F86" w:rsidRPr="005B5418" w:rsidDel="009F01A7" w:rsidRDefault="00CC7F86" w:rsidP="00D76525">
            <w:pPr>
              <w:pStyle w:val="FAM-Table-outline"/>
              <w:spacing w:line="240" w:lineRule="auto"/>
              <w:rPr>
                <w:rFonts w:eastAsia="Arial Unicode MS"/>
              </w:rPr>
            </w:pPr>
            <w:r w:rsidRPr="005B5418">
              <w:rPr>
                <w:rFonts w:eastAsia="Arial Unicode MS"/>
              </w:rPr>
              <w:t xml:space="preserve">Is this note consistent with the information summarized on the agency’s management schedule and legal </w:t>
            </w:r>
            <w:r w:rsidR="00A334F0" w:rsidRPr="005B5418">
              <w:rPr>
                <w:rFonts w:eastAsia="Arial Unicode MS"/>
              </w:rPr>
              <w:t>counsel response</w:t>
            </w:r>
            <w:r w:rsidRPr="005B5418">
              <w:rPr>
                <w:rFonts w:eastAsia="Arial Unicode MS"/>
              </w:rPr>
              <w:t>? (A-136, section II.3.8.</w:t>
            </w:r>
            <w:r w:rsidR="00D76525" w:rsidRPr="005B5418">
              <w:rPr>
                <w:rFonts w:eastAsia="Arial Unicode MS"/>
              </w:rPr>
              <w:t>20</w:t>
            </w:r>
            <w:r w:rsidRPr="005B5418">
              <w:rPr>
                <w:rFonts w:eastAsia="Arial Unicode MS"/>
              </w:rPr>
              <w:t>)</w:t>
            </w:r>
          </w:p>
        </w:tc>
        <w:tc>
          <w:tcPr>
            <w:tcW w:w="965" w:type="dxa"/>
          </w:tcPr>
          <w:p w14:paraId="08B4C593" w14:textId="77777777" w:rsidR="00CC7F86" w:rsidRPr="005B5418" w:rsidRDefault="00CC7F86" w:rsidP="008848DA">
            <w:pPr>
              <w:pStyle w:val="Table-Cell-CenterBoldBefore6ptAfter6pt"/>
              <w:spacing w:before="60" w:after="60"/>
              <w:rPr>
                <w:rFonts w:cs="Arial"/>
              </w:rPr>
            </w:pPr>
          </w:p>
        </w:tc>
        <w:tc>
          <w:tcPr>
            <w:tcW w:w="3211" w:type="dxa"/>
          </w:tcPr>
          <w:p w14:paraId="1A0C4596" w14:textId="77777777" w:rsidR="00CC7F86" w:rsidRPr="005B5418" w:rsidRDefault="00CC7F86" w:rsidP="008848DA">
            <w:pPr>
              <w:spacing w:before="60" w:after="60" w:line="240" w:lineRule="auto"/>
              <w:rPr>
                <w:rFonts w:cs="Arial"/>
              </w:rPr>
            </w:pPr>
          </w:p>
        </w:tc>
      </w:tr>
      <w:tr w:rsidR="00214DC8" w:rsidRPr="005B5418" w14:paraId="1EFB7E46" w14:textId="77777777" w:rsidTr="00151AE0">
        <w:trPr>
          <w:trHeight w:val="1268"/>
        </w:trPr>
        <w:tc>
          <w:tcPr>
            <w:tcW w:w="5400" w:type="dxa"/>
          </w:tcPr>
          <w:p w14:paraId="0C112F99" w14:textId="4A75AFFC" w:rsidR="00214DC8" w:rsidRPr="005B5418" w:rsidRDefault="00214DC8" w:rsidP="00214DC8">
            <w:pPr>
              <w:pStyle w:val="FAM-Table-outline"/>
              <w:widowControl/>
              <w:adjustRightInd/>
              <w:spacing w:line="240" w:lineRule="auto"/>
              <w:textAlignment w:val="auto"/>
              <w:rPr>
                <w:rFonts w:cs="Arial"/>
              </w:rPr>
            </w:pPr>
            <w:r w:rsidRPr="005B5418">
              <w:rPr>
                <w:rFonts w:cs="Arial"/>
              </w:rPr>
              <w:t xml:space="preserve">Does the entity include a reference to </w:t>
            </w:r>
            <w:r w:rsidR="00EE5990" w:rsidRPr="005B5418">
              <w:rPr>
                <w:rFonts w:cs="Arial"/>
              </w:rPr>
              <w:t xml:space="preserve">the Environmental and Disposal Liabilities note </w:t>
            </w:r>
            <w:r w:rsidRPr="005B5418">
              <w:rPr>
                <w:rFonts w:cs="Arial"/>
              </w:rPr>
              <w:t xml:space="preserve">if non-legal environmental and disposal loss contingencies are disclosed in </w:t>
            </w:r>
            <w:r w:rsidR="00FD207A" w:rsidRPr="005B5418">
              <w:rPr>
                <w:rFonts w:cs="Arial"/>
              </w:rPr>
              <w:t xml:space="preserve">this </w:t>
            </w:r>
            <w:r w:rsidRPr="005B5418">
              <w:rPr>
                <w:rFonts w:cs="Arial"/>
              </w:rPr>
              <w:t>note</w:t>
            </w:r>
            <w:r w:rsidR="00FD207A" w:rsidRPr="005B5418">
              <w:rPr>
                <w:rFonts w:cs="Arial"/>
              </w:rPr>
              <w:t xml:space="preserve"> (</w:t>
            </w:r>
            <w:r w:rsidR="00EE5990" w:rsidRPr="005B5418">
              <w:rPr>
                <w:rFonts w:cs="Arial"/>
              </w:rPr>
              <w:t>Commitments and Contingencies</w:t>
            </w:r>
            <w:r w:rsidR="00C84CD5" w:rsidRPr="005B5418">
              <w:rPr>
                <w:rFonts w:cs="Arial"/>
              </w:rPr>
              <w:t>)</w:t>
            </w:r>
            <w:r w:rsidR="00FD207A" w:rsidRPr="005B5418">
              <w:rPr>
                <w:rFonts w:cs="Arial"/>
              </w:rPr>
              <w:t>? (A-136, section II.3.8.20</w:t>
            </w:r>
            <w:r w:rsidRPr="005B5418">
              <w:rPr>
                <w:rFonts w:cs="Arial"/>
              </w:rPr>
              <w:t>)</w:t>
            </w:r>
          </w:p>
          <w:p w14:paraId="730F7A2D" w14:textId="77777777" w:rsidR="00214DC8" w:rsidRPr="005B5418" w:rsidRDefault="00214DC8" w:rsidP="003E7D0D">
            <w:pPr>
              <w:pStyle w:val="FAM-Table-outline"/>
              <w:numPr>
                <w:ilvl w:val="0"/>
                <w:numId w:val="0"/>
              </w:numPr>
              <w:spacing w:line="240" w:lineRule="auto"/>
              <w:ind w:left="666"/>
              <w:rPr>
                <w:rFonts w:eastAsia="Arial Unicode MS"/>
              </w:rPr>
            </w:pPr>
          </w:p>
        </w:tc>
        <w:tc>
          <w:tcPr>
            <w:tcW w:w="965" w:type="dxa"/>
          </w:tcPr>
          <w:p w14:paraId="33CEF55A" w14:textId="77777777" w:rsidR="00214DC8" w:rsidRPr="005B5418" w:rsidRDefault="00214DC8" w:rsidP="008848DA">
            <w:pPr>
              <w:pStyle w:val="Table-Cell-CenterBoldBefore6ptAfter6pt"/>
              <w:spacing w:before="60" w:after="60"/>
              <w:rPr>
                <w:rFonts w:cs="Arial"/>
              </w:rPr>
            </w:pPr>
          </w:p>
        </w:tc>
        <w:tc>
          <w:tcPr>
            <w:tcW w:w="3211" w:type="dxa"/>
          </w:tcPr>
          <w:p w14:paraId="25A751D7" w14:textId="77777777" w:rsidR="00214DC8" w:rsidRPr="005B5418" w:rsidRDefault="00214DC8" w:rsidP="008848DA">
            <w:pPr>
              <w:spacing w:before="60" w:after="60" w:line="240" w:lineRule="auto"/>
              <w:rPr>
                <w:rFonts w:cs="Arial"/>
              </w:rPr>
            </w:pPr>
          </w:p>
        </w:tc>
      </w:tr>
    </w:tbl>
    <w:p w14:paraId="6BE35656" w14:textId="77777777" w:rsidR="002A5BA7" w:rsidRPr="005B5418" w:rsidRDefault="002A5BA7" w:rsidP="008848DA">
      <w:pPr>
        <w:ind w:firstLine="720"/>
      </w:pPr>
    </w:p>
    <w:p w14:paraId="1ED795CD" w14:textId="2C22A784" w:rsidR="000E64FA" w:rsidRPr="005B5418" w:rsidRDefault="000E64FA" w:rsidP="003B61E9">
      <w:pPr>
        <w:spacing w:line="240" w:lineRule="auto"/>
        <w:rPr>
          <w:rFonts w:cs="Arial"/>
        </w:rPr>
      </w:pPr>
      <w:bookmarkStart w:id="196" w:name="_II.3.8.19_Life_Insurance"/>
      <w:bookmarkStart w:id="197" w:name="_II.3.8.20_Commitments_and"/>
      <w:bookmarkEnd w:id="196"/>
      <w:bookmarkEnd w:id="197"/>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0E64FA" w:rsidRPr="005B5418" w14:paraId="501C6D82" w14:textId="77777777" w:rsidTr="00230589">
        <w:trPr>
          <w:tblHeader/>
        </w:trPr>
        <w:tc>
          <w:tcPr>
            <w:tcW w:w="5400" w:type="dxa"/>
            <w:tcBorders>
              <w:top w:val="single" w:sz="4" w:space="0" w:color="auto"/>
              <w:left w:val="single" w:sz="4" w:space="0" w:color="auto"/>
              <w:bottom w:val="single" w:sz="4" w:space="0" w:color="auto"/>
              <w:right w:val="single" w:sz="4" w:space="0" w:color="auto"/>
            </w:tcBorders>
          </w:tcPr>
          <w:p w14:paraId="4F9A9C29" w14:textId="145A6984" w:rsidR="000E64FA" w:rsidRPr="005B5418" w:rsidRDefault="000E64FA" w:rsidP="00C636CF">
            <w:pPr>
              <w:pStyle w:val="Heading4"/>
              <w:spacing w:before="60" w:after="60" w:line="240" w:lineRule="auto"/>
              <w:jc w:val="left"/>
              <w:rPr>
                <w:b/>
                <w:u w:val="none"/>
              </w:rPr>
            </w:pPr>
            <w:bookmarkStart w:id="198" w:name="_II.3.8.21_Funds_from"/>
            <w:bookmarkStart w:id="199" w:name="_Ref8638000"/>
            <w:bookmarkEnd w:id="198"/>
            <w:r w:rsidRPr="005B5418">
              <w:rPr>
                <w:b/>
                <w:u w:val="none"/>
              </w:rPr>
              <w:lastRenderedPageBreak/>
              <w:t>II.3.8.</w:t>
            </w:r>
            <w:r w:rsidR="00C636CF" w:rsidRPr="005B5418">
              <w:rPr>
                <w:b/>
                <w:u w:val="none"/>
              </w:rPr>
              <w:t xml:space="preserve">21 </w:t>
            </w:r>
            <w:r w:rsidRPr="005B5418">
              <w:rPr>
                <w:b/>
                <w:u w:val="none"/>
              </w:rPr>
              <w:t>Funds from Dedicated Collections</w:t>
            </w:r>
            <w:bookmarkEnd w:id="199"/>
            <w:r w:rsidRPr="005B5418">
              <w:rPr>
                <w:b/>
                <w:u w:val="none"/>
              </w:rPr>
              <w:t xml:space="preserve"> </w:t>
            </w:r>
          </w:p>
        </w:tc>
        <w:tc>
          <w:tcPr>
            <w:tcW w:w="965" w:type="dxa"/>
            <w:tcBorders>
              <w:top w:val="single" w:sz="4" w:space="0" w:color="auto"/>
              <w:left w:val="single" w:sz="4" w:space="0" w:color="auto"/>
              <w:bottom w:val="single" w:sz="4" w:space="0" w:color="auto"/>
              <w:right w:val="single" w:sz="4" w:space="0" w:color="auto"/>
            </w:tcBorders>
          </w:tcPr>
          <w:p w14:paraId="79659DB1" w14:textId="77777777" w:rsidR="000E64FA" w:rsidRPr="005B5418" w:rsidRDefault="000E64FA" w:rsidP="00230589">
            <w:pPr>
              <w:pStyle w:val="TableCellCenter"/>
              <w:jc w:val="left"/>
            </w:pPr>
            <w:r w:rsidRPr="005B5418">
              <w:t>Yes, No, or N/A</w:t>
            </w:r>
          </w:p>
        </w:tc>
        <w:tc>
          <w:tcPr>
            <w:tcW w:w="3211" w:type="dxa"/>
            <w:tcBorders>
              <w:top w:val="single" w:sz="4" w:space="0" w:color="auto"/>
              <w:left w:val="single" w:sz="4" w:space="0" w:color="auto"/>
              <w:bottom w:val="single" w:sz="4" w:space="0" w:color="auto"/>
              <w:right w:val="single" w:sz="4" w:space="0" w:color="auto"/>
            </w:tcBorders>
          </w:tcPr>
          <w:p w14:paraId="4A5F9679" w14:textId="1B812CE8" w:rsidR="000E64FA" w:rsidRPr="005B5418" w:rsidRDefault="000E64FA" w:rsidP="00295060">
            <w:pPr>
              <w:pStyle w:val="TableCellCenter"/>
              <w:jc w:val="left"/>
            </w:pPr>
            <w:r w:rsidRPr="005B5418">
              <w:t xml:space="preserve">Explanation </w:t>
            </w:r>
            <w:r w:rsidR="00295060" w:rsidRPr="005B5418">
              <w:t xml:space="preserve">and </w:t>
            </w:r>
            <w:r w:rsidRPr="005B5418">
              <w:t>Reference</w:t>
            </w:r>
          </w:p>
        </w:tc>
      </w:tr>
      <w:tr w:rsidR="000E64FA" w:rsidRPr="005B5418" w14:paraId="7C239B67" w14:textId="77777777" w:rsidTr="000E64FA">
        <w:tc>
          <w:tcPr>
            <w:tcW w:w="9576" w:type="dxa"/>
            <w:gridSpan w:val="3"/>
            <w:tcBorders>
              <w:top w:val="single" w:sz="4" w:space="0" w:color="auto"/>
              <w:left w:val="single" w:sz="4" w:space="0" w:color="auto"/>
              <w:bottom w:val="single" w:sz="4" w:space="0" w:color="auto"/>
              <w:right w:val="single" w:sz="4" w:space="0" w:color="auto"/>
            </w:tcBorders>
          </w:tcPr>
          <w:p w14:paraId="6DA1EDFD" w14:textId="38BA81DE" w:rsidR="000E64FA" w:rsidRPr="005B5418" w:rsidRDefault="000E64FA" w:rsidP="008848DA">
            <w:pPr>
              <w:pStyle w:val="Table-Note"/>
              <w:spacing w:before="60" w:after="60" w:line="240" w:lineRule="auto"/>
              <w:ind w:left="0"/>
              <w:jc w:val="left"/>
              <w:rPr>
                <w:rFonts w:cs="Arial"/>
                <w:i w:val="0"/>
                <w:sz w:val="22"/>
                <w:szCs w:val="22"/>
              </w:rPr>
            </w:pPr>
            <w:r w:rsidRPr="005B5418">
              <w:rPr>
                <w:rFonts w:cs="Arial"/>
                <w:i w:val="0"/>
                <w:sz w:val="22"/>
                <w:szCs w:val="22"/>
              </w:rPr>
              <w:t>Funds from dedicated collections are financed by specifically identified revenues, provided to the Government by non-federal sources, often supplemented by other financing sources, which remain available over time. These specifically identified revenues and other financing sources are required by statute to be used for designated activities, benefits</w:t>
            </w:r>
            <w:r w:rsidR="00295060" w:rsidRPr="005B5418">
              <w:rPr>
                <w:rFonts w:cs="Arial"/>
                <w:i w:val="0"/>
                <w:sz w:val="22"/>
                <w:szCs w:val="22"/>
              </w:rPr>
              <w:t>,</w:t>
            </w:r>
            <w:r w:rsidRPr="005B5418">
              <w:rPr>
                <w:rFonts w:cs="Arial"/>
                <w:i w:val="0"/>
                <w:sz w:val="22"/>
                <w:szCs w:val="22"/>
              </w:rPr>
              <w:t xml:space="preserve"> or purposes, and are accounted for separately from the governmen</w:t>
            </w:r>
            <w:r w:rsidR="00295060" w:rsidRPr="005B5418">
              <w:rPr>
                <w:rFonts w:cs="Arial"/>
                <w:i w:val="0"/>
                <w:sz w:val="22"/>
                <w:szCs w:val="22"/>
              </w:rPr>
              <w:t>t’s</w:t>
            </w:r>
            <w:r w:rsidRPr="005B5418">
              <w:rPr>
                <w:rFonts w:cs="Arial"/>
                <w:i w:val="0"/>
                <w:sz w:val="22"/>
                <w:szCs w:val="22"/>
              </w:rPr>
              <w:t xml:space="preserve"> general revenues. </w:t>
            </w:r>
          </w:p>
          <w:p w14:paraId="7833F3F9" w14:textId="69C85C4A" w:rsidR="000E64FA" w:rsidRPr="005B5418" w:rsidRDefault="000E64FA" w:rsidP="00D76525">
            <w:pPr>
              <w:pStyle w:val="Table-Note"/>
              <w:spacing w:before="60" w:after="60" w:line="240" w:lineRule="auto"/>
              <w:ind w:left="0"/>
              <w:jc w:val="left"/>
              <w:rPr>
                <w:rFonts w:cs="Arial"/>
                <w:i w:val="0"/>
                <w:sz w:val="22"/>
                <w:szCs w:val="22"/>
              </w:rPr>
            </w:pPr>
            <w:r w:rsidRPr="005B5418">
              <w:rPr>
                <w:rFonts w:cs="Arial"/>
                <w:i w:val="0"/>
                <w:sz w:val="22"/>
                <w:szCs w:val="22"/>
              </w:rPr>
              <w:t>(SFFAS 27, par</w:t>
            </w:r>
            <w:r w:rsidR="00295060" w:rsidRPr="005B5418">
              <w:rPr>
                <w:rFonts w:cs="Arial"/>
                <w:i w:val="0"/>
                <w:sz w:val="22"/>
                <w:szCs w:val="22"/>
              </w:rPr>
              <w:t>a</w:t>
            </w:r>
            <w:r w:rsidR="00C55C14" w:rsidRPr="005B5418">
              <w:rPr>
                <w:rFonts w:cs="Arial"/>
                <w:i w:val="0"/>
                <w:sz w:val="22"/>
                <w:szCs w:val="22"/>
              </w:rPr>
              <w:t>s</w:t>
            </w:r>
            <w:r w:rsidRPr="005B5418">
              <w:rPr>
                <w:rFonts w:cs="Arial"/>
                <w:i w:val="0"/>
                <w:sz w:val="22"/>
                <w:szCs w:val="22"/>
              </w:rPr>
              <w:t>. 11; A-136, section II.3.8.</w:t>
            </w:r>
            <w:r w:rsidR="00D76525" w:rsidRPr="005B5418">
              <w:rPr>
                <w:rFonts w:cs="Arial"/>
                <w:i w:val="0"/>
                <w:sz w:val="22"/>
                <w:szCs w:val="22"/>
              </w:rPr>
              <w:t>21</w:t>
            </w:r>
            <w:r w:rsidRPr="005B5418">
              <w:rPr>
                <w:rFonts w:cs="Arial"/>
                <w:i w:val="0"/>
                <w:sz w:val="22"/>
                <w:szCs w:val="22"/>
              </w:rPr>
              <w:t>)</w:t>
            </w:r>
          </w:p>
        </w:tc>
      </w:tr>
      <w:tr w:rsidR="00635604" w:rsidRPr="005B5418" w14:paraId="2A07C916" w14:textId="77777777" w:rsidTr="00EA46C5">
        <w:trPr>
          <w:trHeight w:val="1223"/>
        </w:trPr>
        <w:tc>
          <w:tcPr>
            <w:tcW w:w="5400" w:type="dxa"/>
          </w:tcPr>
          <w:p w14:paraId="7D0DB9AC" w14:textId="74BFC81A" w:rsidR="00635604" w:rsidRPr="005B5418" w:rsidRDefault="005F3CC0" w:rsidP="00343610">
            <w:pPr>
              <w:pStyle w:val="FAM-Table-outline"/>
              <w:widowControl/>
              <w:numPr>
                <w:ilvl w:val="0"/>
                <w:numId w:val="22"/>
              </w:numPr>
              <w:adjustRightInd/>
              <w:spacing w:line="240" w:lineRule="auto"/>
              <w:textAlignment w:val="auto"/>
              <w:rPr>
                <w:rFonts w:eastAsia="Arial Unicode MS" w:cs="Arial"/>
                <w:szCs w:val="22"/>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F07572" w:rsidRPr="005B5418">
              <w:rPr>
                <w:rFonts w:eastAsia="Arial Unicode MS" w:cs="Arial"/>
                <w:szCs w:val="22"/>
              </w:rPr>
              <w:t>.</w:t>
            </w:r>
            <w:r w:rsidRPr="005B5418">
              <w:rPr>
                <w:rFonts w:eastAsia="Arial Unicode MS" w:cs="Arial"/>
                <w:szCs w:val="22"/>
              </w:rPr>
              <w:t>)</w:t>
            </w:r>
          </w:p>
        </w:tc>
        <w:tc>
          <w:tcPr>
            <w:tcW w:w="965" w:type="dxa"/>
          </w:tcPr>
          <w:p w14:paraId="1298F40C" w14:textId="77777777" w:rsidR="00635604" w:rsidRPr="005B5418" w:rsidRDefault="00635604" w:rsidP="003B61E9">
            <w:pPr>
              <w:pStyle w:val="Table-Cell-CenterBoldBefore6ptAfter6pt"/>
              <w:rPr>
                <w:rFonts w:cs="Arial"/>
              </w:rPr>
            </w:pPr>
          </w:p>
        </w:tc>
        <w:tc>
          <w:tcPr>
            <w:tcW w:w="3211" w:type="dxa"/>
          </w:tcPr>
          <w:p w14:paraId="10D72DE1" w14:textId="77777777" w:rsidR="00635604" w:rsidRPr="005B5418" w:rsidRDefault="00635604" w:rsidP="003B61E9">
            <w:pPr>
              <w:spacing w:line="240" w:lineRule="auto"/>
              <w:rPr>
                <w:rFonts w:cs="Arial"/>
              </w:rPr>
            </w:pPr>
          </w:p>
        </w:tc>
      </w:tr>
      <w:tr w:rsidR="00635604" w:rsidRPr="005B5418" w14:paraId="09B419F4" w14:textId="77777777" w:rsidTr="00FF51DC">
        <w:trPr>
          <w:cantSplit/>
          <w:trHeight w:val="305"/>
        </w:trPr>
        <w:tc>
          <w:tcPr>
            <w:tcW w:w="9576" w:type="dxa"/>
            <w:gridSpan w:val="3"/>
          </w:tcPr>
          <w:p w14:paraId="07BA1B40" w14:textId="77777777" w:rsidR="00635604" w:rsidRPr="005B5418" w:rsidRDefault="00635604" w:rsidP="008848DA">
            <w:pPr>
              <w:spacing w:before="60" w:after="60" w:line="240" w:lineRule="auto"/>
              <w:rPr>
                <w:rFonts w:ascii="Arial" w:hAnsi="Arial" w:cs="Arial"/>
                <w:b/>
              </w:rPr>
            </w:pPr>
            <w:r w:rsidRPr="005B5418">
              <w:rPr>
                <w:rFonts w:ascii="Arial" w:hAnsi="Arial" w:cs="Arial"/>
                <w:b/>
              </w:rPr>
              <w:t>Accounting</w:t>
            </w:r>
          </w:p>
        </w:tc>
      </w:tr>
      <w:tr w:rsidR="00641A0F" w:rsidRPr="005B5418" w14:paraId="1AD9ABA9" w14:textId="77777777" w:rsidTr="0038293D">
        <w:trPr>
          <w:trHeight w:val="1223"/>
        </w:trPr>
        <w:tc>
          <w:tcPr>
            <w:tcW w:w="5400" w:type="dxa"/>
          </w:tcPr>
          <w:p w14:paraId="5D5465DA" w14:textId="21C2DF9E" w:rsidR="00641A0F" w:rsidRPr="005B5418" w:rsidRDefault="00641A0F" w:rsidP="00343610">
            <w:pPr>
              <w:pStyle w:val="FAM-Table-outline"/>
              <w:widowControl/>
              <w:numPr>
                <w:ilvl w:val="0"/>
                <w:numId w:val="22"/>
              </w:numPr>
              <w:adjustRightInd/>
              <w:spacing w:line="240" w:lineRule="auto"/>
              <w:textAlignment w:val="auto"/>
              <w:rPr>
                <w:rFonts w:cs="Arial"/>
              </w:rPr>
            </w:pPr>
            <w:r w:rsidRPr="005B5418">
              <w:rPr>
                <w:rFonts w:eastAsia="Arial Unicode MS" w:cs="Arial"/>
                <w:szCs w:val="22"/>
              </w:rPr>
              <w:t>Are funds from dedicated collections accounted for separately from the entity’s general revenues? (SFFAS 27, par</w:t>
            </w:r>
            <w:r w:rsidR="006E65C6" w:rsidRPr="005B5418">
              <w:rPr>
                <w:rFonts w:eastAsia="Arial Unicode MS" w:cs="Arial"/>
                <w:szCs w:val="22"/>
              </w:rPr>
              <w:t>a</w:t>
            </w:r>
            <w:r w:rsidRPr="005B5418">
              <w:rPr>
                <w:rFonts w:eastAsia="Arial Unicode MS" w:cs="Arial"/>
                <w:szCs w:val="22"/>
              </w:rPr>
              <w:t>.11)</w:t>
            </w:r>
          </w:p>
        </w:tc>
        <w:tc>
          <w:tcPr>
            <w:tcW w:w="965" w:type="dxa"/>
          </w:tcPr>
          <w:p w14:paraId="09D44F97" w14:textId="77777777" w:rsidR="00641A0F" w:rsidRPr="005B5418" w:rsidRDefault="00641A0F" w:rsidP="003B61E9">
            <w:pPr>
              <w:pStyle w:val="Table-Cell-CenterBoldBefore6ptAfter6pt"/>
              <w:rPr>
                <w:rFonts w:cs="Arial"/>
              </w:rPr>
            </w:pPr>
          </w:p>
        </w:tc>
        <w:tc>
          <w:tcPr>
            <w:tcW w:w="3211" w:type="dxa"/>
          </w:tcPr>
          <w:p w14:paraId="30FDFCD8" w14:textId="77777777" w:rsidR="00641A0F" w:rsidRPr="005B5418" w:rsidRDefault="00641A0F" w:rsidP="003B61E9">
            <w:pPr>
              <w:spacing w:line="240" w:lineRule="auto"/>
              <w:rPr>
                <w:rFonts w:cs="Arial"/>
              </w:rPr>
            </w:pPr>
          </w:p>
        </w:tc>
      </w:tr>
      <w:tr w:rsidR="00641A0F" w:rsidRPr="005B5418" w14:paraId="1C08BD64" w14:textId="77777777" w:rsidTr="0038293D">
        <w:trPr>
          <w:trHeight w:val="332"/>
        </w:trPr>
        <w:tc>
          <w:tcPr>
            <w:tcW w:w="5400" w:type="dxa"/>
          </w:tcPr>
          <w:p w14:paraId="2B9B26EC" w14:textId="3F089422" w:rsidR="00641A0F" w:rsidRPr="005B5418" w:rsidRDefault="00641A0F" w:rsidP="00CC7F86">
            <w:pPr>
              <w:pStyle w:val="FAM-Table-outline"/>
              <w:spacing w:line="240" w:lineRule="auto"/>
              <w:rPr>
                <w:rFonts w:eastAsia="Arial Unicode MS"/>
              </w:rPr>
            </w:pPr>
            <w:r w:rsidRPr="005B5418">
              <w:rPr>
                <w:rFonts w:eastAsia="Arial Unicode MS"/>
              </w:rPr>
              <w:t>Do funds designated as funds from dedicated collections meet these criteria</w:t>
            </w:r>
            <w:r w:rsidR="006E65C6" w:rsidRPr="005B5418">
              <w:rPr>
                <w:rFonts w:eastAsia="Arial Unicode MS"/>
              </w:rPr>
              <w:t>:</w:t>
            </w:r>
          </w:p>
          <w:p w14:paraId="7A30EBDF" w14:textId="27F1C69A" w:rsidR="00641A0F" w:rsidRPr="005B5418" w:rsidRDefault="00641A0F" w:rsidP="005425ED">
            <w:pPr>
              <w:pStyle w:val="FAM-Table-outline2"/>
              <w:spacing w:line="240" w:lineRule="auto"/>
              <w:ind w:left="1140" w:hanging="443"/>
            </w:pPr>
            <w:r w:rsidRPr="005B5418">
              <w:t>a statute committing the federal government to use specifically identified revenues and/or other financing sources that are originally provided to the federal government by a non-federal source only for designated activities, benefits</w:t>
            </w:r>
            <w:r w:rsidR="006E65C6" w:rsidRPr="005B5418">
              <w:t>,</w:t>
            </w:r>
            <w:r w:rsidRPr="005B5418">
              <w:t xml:space="preserve"> or purposes</w:t>
            </w:r>
            <w:r w:rsidR="006E65C6" w:rsidRPr="005B5418">
              <w:t>;</w:t>
            </w:r>
          </w:p>
          <w:p w14:paraId="41D5B66F" w14:textId="4098DAB5" w:rsidR="00641A0F" w:rsidRPr="005B5418" w:rsidRDefault="00641A0F" w:rsidP="005425ED">
            <w:pPr>
              <w:pStyle w:val="FAM-Table-outline2"/>
              <w:spacing w:line="240" w:lineRule="auto"/>
              <w:ind w:left="1140" w:hanging="443"/>
            </w:pPr>
            <w:r w:rsidRPr="005B5418">
              <w:t>explicit authority for the fund to retain revenues and/or other financing sources not used in the current period for future use to finance the designated activities, benefits, or purposes</w:t>
            </w:r>
            <w:r w:rsidR="006E65C6" w:rsidRPr="005B5418">
              <w:t>;</w:t>
            </w:r>
            <w:r w:rsidRPr="005B5418">
              <w:t xml:space="preserve"> and</w:t>
            </w:r>
          </w:p>
          <w:p w14:paraId="3EC493DF" w14:textId="4A3FEAFE" w:rsidR="00641A0F" w:rsidRPr="005B5418" w:rsidRDefault="00641A0F" w:rsidP="005425ED">
            <w:pPr>
              <w:pStyle w:val="FAM-Table-outline2"/>
              <w:spacing w:line="240" w:lineRule="auto"/>
              <w:ind w:left="1140" w:hanging="443"/>
              <w:rPr>
                <w:rFonts w:eastAsia="Arial Unicode MS"/>
              </w:rPr>
            </w:pPr>
            <w:r w:rsidRPr="005B5418">
              <w:t xml:space="preserve">a requirement to account for and report on the receipt, use, and retention of the revenues and other financing sources that distinguishes the fund from the federal </w:t>
            </w:r>
            <w:r w:rsidR="00D433A5" w:rsidRPr="005B5418">
              <w:t>g</w:t>
            </w:r>
            <w:r w:rsidRPr="005B5418">
              <w:t>overnment’s general revenues? (SFFAS 27, par</w:t>
            </w:r>
            <w:r w:rsidR="006E65C6" w:rsidRPr="005B5418">
              <w:t>a</w:t>
            </w:r>
            <w:r w:rsidRPr="005B5418">
              <w:t>.</w:t>
            </w:r>
            <w:r w:rsidR="00D433A5" w:rsidRPr="005B5418">
              <w:t xml:space="preserve"> </w:t>
            </w:r>
            <w:r w:rsidRPr="005B5418">
              <w:t>11)</w:t>
            </w:r>
          </w:p>
        </w:tc>
        <w:tc>
          <w:tcPr>
            <w:tcW w:w="965" w:type="dxa"/>
          </w:tcPr>
          <w:p w14:paraId="166999CC" w14:textId="77777777" w:rsidR="00641A0F" w:rsidRPr="005B5418" w:rsidRDefault="00641A0F" w:rsidP="003B61E9">
            <w:pPr>
              <w:pStyle w:val="Table-Cell-CenterBoldBefore6ptAfter6pt"/>
              <w:rPr>
                <w:rFonts w:cs="Arial"/>
              </w:rPr>
            </w:pPr>
          </w:p>
        </w:tc>
        <w:tc>
          <w:tcPr>
            <w:tcW w:w="3211" w:type="dxa"/>
          </w:tcPr>
          <w:p w14:paraId="6C3DDB08" w14:textId="77777777" w:rsidR="00641A0F" w:rsidRPr="005B5418" w:rsidRDefault="00641A0F" w:rsidP="003B61E9">
            <w:pPr>
              <w:spacing w:line="240" w:lineRule="auto"/>
              <w:rPr>
                <w:rFonts w:cs="Arial"/>
              </w:rPr>
            </w:pPr>
          </w:p>
        </w:tc>
      </w:tr>
      <w:tr w:rsidR="00641A0F" w:rsidRPr="005B5418" w14:paraId="597F0B4F" w14:textId="77777777" w:rsidTr="008848DA">
        <w:trPr>
          <w:trHeight w:val="1907"/>
        </w:trPr>
        <w:tc>
          <w:tcPr>
            <w:tcW w:w="5400" w:type="dxa"/>
          </w:tcPr>
          <w:p w14:paraId="165665FE" w14:textId="6D41F6D6" w:rsidR="00641A0F" w:rsidRPr="005B5418" w:rsidRDefault="00641A0F" w:rsidP="00343610">
            <w:pPr>
              <w:pStyle w:val="FAM-Table-outline"/>
              <w:widowControl/>
              <w:numPr>
                <w:ilvl w:val="0"/>
                <w:numId w:val="22"/>
              </w:numPr>
              <w:adjustRightInd/>
              <w:spacing w:line="240" w:lineRule="auto"/>
              <w:textAlignment w:val="auto"/>
              <w:rPr>
                <w:rFonts w:cs="Arial"/>
              </w:rPr>
            </w:pPr>
            <w:r w:rsidRPr="005B5418">
              <w:rPr>
                <w:rFonts w:eastAsia="Arial Unicode MS"/>
              </w:rPr>
              <w:lastRenderedPageBreak/>
              <w:t>Are intragovernmental funds</w:t>
            </w:r>
            <w:r w:rsidR="00C85BBF" w:rsidRPr="005B5418">
              <w:rPr>
                <w:rFonts w:eastAsia="Arial Unicode MS"/>
              </w:rPr>
              <w:t>;</w:t>
            </w:r>
            <w:r w:rsidRPr="005B5418">
              <w:rPr>
                <w:rFonts w:eastAsia="Arial Unicode MS"/>
              </w:rPr>
              <w:t xml:space="preserve"> credit financing accounts</w:t>
            </w:r>
            <w:r w:rsidR="00C85BBF" w:rsidRPr="005B5418">
              <w:rPr>
                <w:rFonts w:eastAsia="Arial Unicode MS"/>
              </w:rPr>
              <w:t>;</w:t>
            </w:r>
            <w:r w:rsidRPr="005B5418">
              <w:rPr>
                <w:rFonts w:eastAsia="Arial Unicode MS"/>
              </w:rPr>
              <w:t xml:space="preserve"> fiduciary funds</w:t>
            </w:r>
            <w:r w:rsidR="00C85BBF" w:rsidRPr="005B5418">
              <w:rPr>
                <w:rFonts w:eastAsia="Arial Unicode MS"/>
              </w:rPr>
              <w:t>;</w:t>
            </w:r>
            <w:r w:rsidRPr="005B5418">
              <w:rPr>
                <w:rFonts w:eastAsia="Arial Unicode MS"/>
              </w:rPr>
              <w:t xml:space="preserve"> and funds established to account for pensions, </w:t>
            </w:r>
            <w:r w:rsidR="00C85BBF" w:rsidRPr="005B5418">
              <w:rPr>
                <w:rFonts w:eastAsia="Arial Unicode MS"/>
              </w:rPr>
              <w:t>ORB</w:t>
            </w:r>
            <w:r w:rsidRPr="005B5418">
              <w:rPr>
                <w:rFonts w:eastAsia="Arial Unicode MS"/>
              </w:rPr>
              <w:t xml:space="preserve">, </w:t>
            </w:r>
            <w:r w:rsidR="00C85BBF" w:rsidRPr="005B5418">
              <w:rPr>
                <w:rFonts w:eastAsia="Arial Unicode MS"/>
              </w:rPr>
              <w:t>OPEB</w:t>
            </w:r>
            <w:r w:rsidRPr="005B5418">
              <w:rPr>
                <w:rFonts w:eastAsia="Arial Unicode MS"/>
              </w:rPr>
              <w:t>, and other employee benefits not characterized as funds from dedicated collections? (SFFAS 27, par</w:t>
            </w:r>
            <w:r w:rsidR="00C85BBF" w:rsidRPr="005B5418">
              <w:rPr>
                <w:rFonts w:eastAsia="Arial Unicode MS"/>
              </w:rPr>
              <w:t>a</w:t>
            </w:r>
            <w:r w:rsidRPr="005B5418">
              <w:rPr>
                <w:rFonts w:eastAsia="Arial Unicode MS"/>
              </w:rPr>
              <w:t>.18)</w:t>
            </w:r>
          </w:p>
        </w:tc>
        <w:tc>
          <w:tcPr>
            <w:tcW w:w="965" w:type="dxa"/>
          </w:tcPr>
          <w:p w14:paraId="0B9391C0" w14:textId="77777777" w:rsidR="00641A0F" w:rsidRPr="005B5418" w:rsidRDefault="00641A0F" w:rsidP="003B61E9">
            <w:pPr>
              <w:pStyle w:val="Table-Cell-CenterBoldBefore6ptAfter6pt"/>
              <w:rPr>
                <w:rFonts w:cs="Arial"/>
              </w:rPr>
            </w:pPr>
          </w:p>
        </w:tc>
        <w:tc>
          <w:tcPr>
            <w:tcW w:w="3211" w:type="dxa"/>
          </w:tcPr>
          <w:p w14:paraId="374B2960" w14:textId="77777777" w:rsidR="00641A0F" w:rsidRPr="005B5418" w:rsidRDefault="00641A0F" w:rsidP="003B61E9">
            <w:pPr>
              <w:spacing w:line="240" w:lineRule="auto"/>
              <w:rPr>
                <w:rFonts w:cs="Arial"/>
              </w:rPr>
            </w:pPr>
          </w:p>
        </w:tc>
      </w:tr>
      <w:tr w:rsidR="00641A0F" w:rsidRPr="005B5418" w14:paraId="5216F515" w14:textId="77777777" w:rsidTr="000E64FA">
        <w:trPr>
          <w:trHeight w:val="2160"/>
        </w:trPr>
        <w:tc>
          <w:tcPr>
            <w:tcW w:w="5400" w:type="dxa"/>
          </w:tcPr>
          <w:p w14:paraId="79E1C1D1" w14:textId="4925607F" w:rsidR="00641A0F" w:rsidRPr="005B5418" w:rsidRDefault="00641A0F" w:rsidP="00CC7F86">
            <w:pPr>
              <w:pStyle w:val="FAM-Table-outline"/>
              <w:spacing w:line="240" w:lineRule="auto"/>
              <w:rPr>
                <w:rFonts w:eastAsia="Arial Unicode MS"/>
              </w:rPr>
            </w:pPr>
            <w:r w:rsidRPr="005B5418">
              <w:rPr>
                <w:rFonts w:eastAsia="Arial Unicode MS"/>
              </w:rPr>
              <w:t>If more than one component entity is responsible for carrying out the program financed with revenues and other financing sources that are dedicated collections, is each portion of the program</w:t>
            </w:r>
          </w:p>
          <w:p w14:paraId="64D5733F" w14:textId="77C93D23" w:rsidR="00641A0F" w:rsidRPr="005B5418" w:rsidRDefault="00641A0F" w:rsidP="005425ED">
            <w:pPr>
              <w:pStyle w:val="FAM-Table-outline2"/>
              <w:spacing w:line="240" w:lineRule="auto"/>
              <w:ind w:left="1140" w:hanging="443"/>
            </w:pPr>
            <w:r w:rsidRPr="005B5418">
              <w:t>that can be clearly identified with a component reported by that entity in accordance with SFFAS 27 or</w:t>
            </w:r>
          </w:p>
          <w:p w14:paraId="6BB32FB2" w14:textId="6AC585C5" w:rsidR="00641A0F" w:rsidRPr="005B5418" w:rsidRDefault="00641A0F" w:rsidP="005425ED">
            <w:pPr>
              <w:pStyle w:val="FAM-Table-outline2"/>
              <w:spacing w:line="240" w:lineRule="auto"/>
              <w:ind w:left="1140" w:hanging="443"/>
              <w:rPr>
                <w:rFonts w:eastAsia="Arial Unicode MS"/>
              </w:rPr>
            </w:pPr>
            <w:r w:rsidRPr="005B5418">
              <w:t>if separate portions cannot be clearly identified, does the entity with program management responsibility report the entire fund</w:t>
            </w:r>
            <w:r w:rsidR="00D433A5" w:rsidRPr="005B5418">
              <w:t>?</w:t>
            </w:r>
            <w:r w:rsidRPr="005B5418">
              <w:rPr>
                <w:rStyle w:val="FootnoteReference"/>
              </w:rPr>
              <w:footnoteReference w:id="244"/>
            </w:r>
            <w:r w:rsidRPr="005B5418">
              <w:t xml:space="preserve"> (SFFAS 27, par</w:t>
            </w:r>
            <w:r w:rsidR="00C85BBF" w:rsidRPr="005B5418">
              <w:t>a</w:t>
            </w:r>
            <w:r w:rsidRPr="005B5418">
              <w:t>. 20)</w:t>
            </w:r>
          </w:p>
        </w:tc>
        <w:tc>
          <w:tcPr>
            <w:tcW w:w="965" w:type="dxa"/>
          </w:tcPr>
          <w:p w14:paraId="5439AA83" w14:textId="77777777" w:rsidR="00641A0F" w:rsidRPr="005B5418" w:rsidRDefault="00641A0F" w:rsidP="003B61E9">
            <w:pPr>
              <w:pStyle w:val="Table-Cell-CenterBoldBefore6ptAfter6pt"/>
              <w:rPr>
                <w:rFonts w:cs="Arial"/>
              </w:rPr>
            </w:pPr>
          </w:p>
        </w:tc>
        <w:tc>
          <w:tcPr>
            <w:tcW w:w="3211" w:type="dxa"/>
          </w:tcPr>
          <w:p w14:paraId="434F3E54" w14:textId="77777777" w:rsidR="00641A0F" w:rsidRPr="005B5418" w:rsidRDefault="00641A0F" w:rsidP="003B61E9">
            <w:pPr>
              <w:spacing w:line="240" w:lineRule="auto"/>
              <w:rPr>
                <w:rFonts w:cs="Arial"/>
              </w:rPr>
            </w:pPr>
          </w:p>
        </w:tc>
      </w:tr>
      <w:tr w:rsidR="00641A0F" w:rsidRPr="005B5418" w14:paraId="61C4E765" w14:textId="77777777" w:rsidTr="008848DA">
        <w:trPr>
          <w:trHeight w:val="377"/>
        </w:trPr>
        <w:tc>
          <w:tcPr>
            <w:tcW w:w="5400" w:type="dxa"/>
          </w:tcPr>
          <w:p w14:paraId="55C4F4EE" w14:textId="7F23A82F" w:rsidR="00641A0F" w:rsidRPr="005B5418" w:rsidRDefault="00641A0F" w:rsidP="00CC7F86">
            <w:pPr>
              <w:pStyle w:val="FAM-Table-outline"/>
              <w:spacing w:line="240" w:lineRule="auto"/>
              <w:rPr>
                <w:rFonts w:eastAsia="Arial Unicode MS"/>
              </w:rPr>
            </w:pPr>
            <w:r w:rsidRPr="005B5418">
              <w:rPr>
                <w:rFonts w:eastAsia="Arial Unicode MS"/>
              </w:rPr>
              <w:t xml:space="preserve">Do the quantitative and qualitative criteria used to present individual funds from dedicated collections include </w:t>
            </w:r>
          </w:p>
          <w:p w14:paraId="7FF5212E" w14:textId="418E357B" w:rsidR="00641A0F" w:rsidRPr="005B5418" w:rsidRDefault="00641A0F" w:rsidP="005425ED">
            <w:pPr>
              <w:pStyle w:val="FAM-Table-outline2"/>
              <w:spacing w:line="240" w:lineRule="auto"/>
              <w:ind w:left="1140" w:hanging="443"/>
            </w:pPr>
            <w:r w:rsidRPr="005B5418">
              <w:t>percentages of the reporting entity’s revenues from dedicated collections or cumulative results of operations from such funds,</w:t>
            </w:r>
          </w:p>
          <w:p w14:paraId="7A06CFED" w14:textId="77777777" w:rsidR="00641A0F" w:rsidRPr="005B5418" w:rsidRDefault="00641A0F" w:rsidP="005425ED">
            <w:pPr>
              <w:pStyle w:val="FAM-Table-outline2"/>
              <w:spacing w:line="240" w:lineRule="auto"/>
              <w:ind w:left="1140" w:hanging="443"/>
            </w:pPr>
            <w:r w:rsidRPr="005B5418">
              <w:t xml:space="preserve">whether a fund from dedicated collections is of immediate concern to constituents of the fund, </w:t>
            </w:r>
          </w:p>
          <w:p w14:paraId="7263BECA" w14:textId="77777777" w:rsidR="00641A0F" w:rsidRPr="005B5418" w:rsidRDefault="00641A0F" w:rsidP="005425ED">
            <w:pPr>
              <w:pStyle w:val="FAM-Table-outline2"/>
              <w:spacing w:line="240" w:lineRule="auto"/>
              <w:ind w:left="1140" w:hanging="443"/>
            </w:pPr>
            <w:r w:rsidRPr="005B5418">
              <w:t xml:space="preserve">whether it is politically sensitive or controversial, </w:t>
            </w:r>
          </w:p>
          <w:p w14:paraId="779B49C9" w14:textId="77777777" w:rsidR="00641A0F" w:rsidRPr="005B5418" w:rsidRDefault="00641A0F" w:rsidP="005425ED">
            <w:pPr>
              <w:pStyle w:val="FAM-Table-outline2"/>
              <w:spacing w:line="240" w:lineRule="auto"/>
              <w:ind w:left="1140" w:hanging="443"/>
            </w:pPr>
            <w:r w:rsidRPr="005B5418">
              <w:t xml:space="preserve">whether it is accumulating large balances, and </w:t>
            </w:r>
          </w:p>
          <w:p w14:paraId="1B6A8E58" w14:textId="1D7972D3" w:rsidR="00641A0F" w:rsidRPr="005B5418" w:rsidRDefault="00641A0F" w:rsidP="005425ED">
            <w:pPr>
              <w:pStyle w:val="FAM-Table-outline2"/>
              <w:spacing w:line="240" w:lineRule="auto"/>
              <w:ind w:left="1140" w:hanging="443"/>
              <w:rPr>
                <w:rFonts w:eastAsia="Arial Unicode MS"/>
              </w:rPr>
            </w:pPr>
            <w:r w:rsidRPr="005B5418">
              <w:t>whether the information provided in the financial statements would be the primary source of financial information for the public? (SFFAS 27, par</w:t>
            </w:r>
            <w:r w:rsidR="00C85BBF" w:rsidRPr="005B5418">
              <w:t>a</w:t>
            </w:r>
            <w:r w:rsidRPr="005B5418">
              <w:t>. 24)</w:t>
            </w:r>
          </w:p>
        </w:tc>
        <w:tc>
          <w:tcPr>
            <w:tcW w:w="965" w:type="dxa"/>
          </w:tcPr>
          <w:p w14:paraId="61E39637" w14:textId="77777777" w:rsidR="00641A0F" w:rsidRPr="005B5418" w:rsidRDefault="00641A0F" w:rsidP="003B61E9">
            <w:pPr>
              <w:pStyle w:val="Table-Cell-CenterBoldBefore6ptAfter6pt"/>
              <w:rPr>
                <w:rFonts w:cs="Arial"/>
              </w:rPr>
            </w:pPr>
          </w:p>
        </w:tc>
        <w:tc>
          <w:tcPr>
            <w:tcW w:w="3211" w:type="dxa"/>
          </w:tcPr>
          <w:p w14:paraId="7306AA6C" w14:textId="77777777" w:rsidR="00641A0F" w:rsidRPr="005B5418" w:rsidRDefault="00641A0F" w:rsidP="003B61E9">
            <w:pPr>
              <w:spacing w:line="240" w:lineRule="auto"/>
              <w:rPr>
                <w:rFonts w:cs="Arial"/>
              </w:rPr>
            </w:pPr>
          </w:p>
        </w:tc>
      </w:tr>
      <w:tr w:rsidR="00635604" w:rsidRPr="005B5418" w14:paraId="196D4056" w14:textId="77777777" w:rsidTr="00FF51DC">
        <w:trPr>
          <w:cantSplit/>
          <w:trHeight w:val="305"/>
        </w:trPr>
        <w:tc>
          <w:tcPr>
            <w:tcW w:w="9576" w:type="dxa"/>
            <w:gridSpan w:val="3"/>
          </w:tcPr>
          <w:p w14:paraId="59EDF8C3" w14:textId="77777777" w:rsidR="00635604" w:rsidRPr="005B5418" w:rsidRDefault="00635604" w:rsidP="008848DA">
            <w:pPr>
              <w:spacing w:before="60" w:after="60" w:line="240" w:lineRule="auto"/>
              <w:rPr>
                <w:rFonts w:ascii="Arial" w:hAnsi="Arial" w:cs="Arial"/>
                <w:b/>
              </w:rPr>
            </w:pPr>
            <w:r w:rsidRPr="005B5418">
              <w:rPr>
                <w:rFonts w:ascii="Arial" w:hAnsi="Arial" w:cs="Arial"/>
                <w:b/>
              </w:rPr>
              <w:t>Disclosure</w:t>
            </w:r>
          </w:p>
        </w:tc>
      </w:tr>
      <w:tr w:rsidR="000E64FA" w:rsidRPr="005B5418" w14:paraId="46F34A64" w14:textId="77777777" w:rsidTr="000E64FA">
        <w:trPr>
          <w:trHeight w:val="2160"/>
        </w:trPr>
        <w:tc>
          <w:tcPr>
            <w:tcW w:w="5400" w:type="dxa"/>
          </w:tcPr>
          <w:p w14:paraId="0F49E183" w14:textId="3B7FBD39" w:rsidR="000E64FA" w:rsidRPr="005B5418" w:rsidRDefault="000E64FA" w:rsidP="00811019">
            <w:pPr>
              <w:pStyle w:val="FAM-Table-outline"/>
              <w:spacing w:line="240" w:lineRule="auto"/>
            </w:pPr>
            <w:r w:rsidRPr="005B5418">
              <w:lastRenderedPageBreak/>
              <w:t>Does the entity disclose all funds from dedicated collections for which it has program management responsibility by either a list (by official title) or a statement indicating where the list can be obtained (e.g., a website reference or contact information)?</w:t>
            </w:r>
            <w:r w:rsidRPr="005B5418">
              <w:rPr>
                <w:rStyle w:val="FootnoteReference"/>
                <w:rFonts w:cs="Arial"/>
              </w:rPr>
              <w:footnoteReference w:id="245"/>
            </w:r>
            <w:r w:rsidRPr="005B5418">
              <w:t xml:space="preserve"> (SFFAS 27</w:t>
            </w:r>
            <w:r w:rsidR="00E67507" w:rsidRPr="005B5418">
              <w:t>,</w:t>
            </w:r>
            <w:r w:rsidR="00A43118" w:rsidRPr="005B5418">
              <w:t xml:space="preserve"> </w:t>
            </w:r>
            <w:r w:rsidR="00E67507" w:rsidRPr="005B5418">
              <w:t>para.</w:t>
            </w:r>
            <w:r w:rsidR="00A43118" w:rsidRPr="005B5418">
              <w:t xml:space="preserve"> </w:t>
            </w:r>
            <w:r w:rsidR="00E67507" w:rsidRPr="005B5418">
              <w:t>21</w:t>
            </w:r>
            <w:r w:rsidRPr="005B5418">
              <w:t>)</w:t>
            </w:r>
          </w:p>
        </w:tc>
        <w:tc>
          <w:tcPr>
            <w:tcW w:w="965" w:type="dxa"/>
          </w:tcPr>
          <w:p w14:paraId="205D0FE5" w14:textId="77777777" w:rsidR="000E64FA" w:rsidRPr="005B5418" w:rsidRDefault="000E64FA" w:rsidP="003B61E9">
            <w:pPr>
              <w:pStyle w:val="Table-Cell-CenterBoldBefore6ptAfter6pt"/>
              <w:rPr>
                <w:rFonts w:cs="Arial"/>
              </w:rPr>
            </w:pPr>
          </w:p>
        </w:tc>
        <w:tc>
          <w:tcPr>
            <w:tcW w:w="3211" w:type="dxa"/>
          </w:tcPr>
          <w:p w14:paraId="2D378B99" w14:textId="77777777" w:rsidR="000E64FA" w:rsidRPr="005B5418" w:rsidRDefault="000E64FA" w:rsidP="003B61E9">
            <w:pPr>
              <w:spacing w:line="240" w:lineRule="auto"/>
              <w:rPr>
                <w:rFonts w:cs="Arial"/>
              </w:rPr>
            </w:pPr>
          </w:p>
        </w:tc>
      </w:tr>
      <w:tr w:rsidR="000E64FA" w:rsidRPr="005B5418" w14:paraId="7118972A" w14:textId="77777777" w:rsidTr="000E64FA">
        <w:trPr>
          <w:trHeight w:val="2160"/>
        </w:trPr>
        <w:tc>
          <w:tcPr>
            <w:tcW w:w="5400" w:type="dxa"/>
          </w:tcPr>
          <w:p w14:paraId="7E79C80C" w14:textId="775B415A" w:rsidR="000E64FA" w:rsidRPr="005B5418" w:rsidRDefault="000E64FA" w:rsidP="0083749B">
            <w:pPr>
              <w:pStyle w:val="FAM-Table-outline"/>
              <w:spacing w:line="240" w:lineRule="auto"/>
            </w:pPr>
            <w:r w:rsidRPr="005B5418">
              <w:t>If more than one component entity is responsible for carrying out the program financed with revenues and other financing sources that are dedicated collections, and separate portions of the program can be clearly identified with a responsible component entity, does the reporting entity report its portion of the program? (SFFAS 27, par</w:t>
            </w:r>
            <w:r w:rsidR="00300B74" w:rsidRPr="005B5418">
              <w:t>a</w:t>
            </w:r>
            <w:r w:rsidRPr="005B5418">
              <w:t>. 20)</w:t>
            </w:r>
          </w:p>
        </w:tc>
        <w:tc>
          <w:tcPr>
            <w:tcW w:w="965" w:type="dxa"/>
          </w:tcPr>
          <w:p w14:paraId="20FC7FE1" w14:textId="77777777" w:rsidR="000E64FA" w:rsidRPr="005B5418" w:rsidRDefault="000E64FA" w:rsidP="003B61E9">
            <w:pPr>
              <w:pStyle w:val="Table-Cell-CenterBoldBefore6ptAfter6pt"/>
              <w:rPr>
                <w:rFonts w:cs="Arial"/>
              </w:rPr>
            </w:pPr>
          </w:p>
        </w:tc>
        <w:tc>
          <w:tcPr>
            <w:tcW w:w="3211" w:type="dxa"/>
          </w:tcPr>
          <w:p w14:paraId="11C2969C" w14:textId="77777777" w:rsidR="000E64FA" w:rsidRPr="005B5418" w:rsidRDefault="000E64FA" w:rsidP="003B61E9">
            <w:pPr>
              <w:spacing w:line="240" w:lineRule="auto"/>
              <w:rPr>
                <w:rFonts w:cs="Arial"/>
              </w:rPr>
            </w:pPr>
          </w:p>
        </w:tc>
      </w:tr>
      <w:tr w:rsidR="000E64FA" w:rsidRPr="005B5418" w14:paraId="059C7203" w14:textId="77777777" w:rsidTr="000E64FA">
        <w:trPr>
          <w:trHeight w:val="2160"/>
        </w:trPr>
        <w:tc>
          <w:tcPr>
            <w:tcW w:w="5400" w:type="dxa"/>
          </w:tcPr>
          <w:p w14:paraId="576C24D0" w14:textId="77777777" w:rsidR="000E64FA" w:rsidRPr="005B5418" w:rsidRDefault="000E64FA" w:rsidP="00CC7F86">
            <w:pPr>
              <w:pStyle w:val="FAM-Table-outline"/>
              <w:spacing w:line="240" w:lineRule="auto"/>
            </w:pPr>
            <w:r w:rsidRPr="005B5418">
              <w:t>Does the entity disclosure for each selected individual fund from dedicated collections and in the aggregate for all remaining funds from dedicated collections include</w:t>
            </w:r>
          </w:p>
          <w:p w14:paraId="6ACD1175" w14:textId="6CA873CE" w:rsidR="000E64FA" w:rsidRPr="005B5418" w:rsidRDefault="000E64FA" w:rsidP="005425ED">
            <w:pPr>
              <w:pStyle w:val="FAM-Table-outline2"/>
              <w:spacing w:line="240" w:lineRule="auto"/>
              <w:ind w:left="1140" w:hanging="443"/>
            </w:pPr>
            <w:r w:rsidRPr="005B5418">
              <w:t>condensed information about assets and liabilities showing investments in Treasury securities, other assets, liabilities due and payable, other liabilities, cumulative results of operations</w:t>
            </w:r>
            <w:r w:rsidR="00300B74" w:rsidRPr="005B5418">
              <w:t>,</w:t>
            </w:r>
            <w:r w:rsidRPr="005B5418">
              <w:t xml:space="preserve"> and net position;</w:t>
            </w:r>
          </w:p>
          <w:p w14:paraId="5823A3CC" w14:textId="77777777" w:rsidR="000E64FA" w:rsidRPr="005B5418" w:rsidRDefault="000E64FA" w:rsidP="005425ED">
            <w:pPr>
              <w:pStyle w:val="FAM-Table-outline2"/>
              <w:spacing w:line="240" w:lineRule="auto"/>
              <w:ind w:left="1140" w:hanging="443"/>
            </w:pPr>
            <w:r w:rsidRPr="005B5418">
              <w:t>condensed information providing gross cost, exchange revenue, net cost, nonexchange revenues by major type and all other, and other financing sources by major type and all other, and change in net position;</w:t>
            </w:r>
          </w:p>
          <w:p w14:paraId="6A4FB155" w14:textId="12450C20" w:rsidR="000E64FA" w:rsidRPr="005B5418" w:rsidRDefault="000E64FA" w:rsidP="005425ED">
            <w:pPr>
              <w:pStyle w:val="FAM-Table-outline2"/>
              <w:spacing w:line="240" w:lineRule="auto"/>
              <w:ind w:left="1140" w:hanging="443"/>
            </w:pPr>
            <w:r w:rsidRPr="005B5418">
              <w:t>a description of each fun</w:t>
            </w:r>
            <w:r w:rsidR="00943182" w:rsidRPr="005B5418">
              <w:t>d’s</w:t>
            </w:r>
            <w:r w:rsidRPr="005B5418">
              <w:t xml:space="preserve"> purpose, how the entity accounts for and reports the fund, and its authority to use those revenues and other financing sources;</w:t>
            </w:r>
          </w:p>
          <w:p w14:paraId="0E52FD1F" w14:textId="77777777" w:rsidR="000E64FA" w:rsidRPr="005B5418" w:rsidRDefault="000E64FA" w:rsidP="005425ED">
            <w:pPr>
              <w:pStyle w:val="FAM-Table-outline2"/>
              <w:spacing w:line="240" w:lineRule="auto"/>
              <w:ind w:left="1140" w:hanging="443"/>
            </w:pPr>
            <w:r w:rsidRPr="005B5418">
              <w:t xml:space="preserve">the sources of revenue or other financing for the period and an explanation of the extent to which they are inflows of resources to the entity or the result of </w:t>
            </w:r>
            <w:r w:rsidRPr="005B5418">
              <w:lastRenderedPageBreak/>
              <w:t>intragovernmental flows; and</w:t>
            </w:r>
          </w:p>
          <w:p w14:paraId="20C54FAD" w14:textId="6E641397" w:rsidR="000E64FA" w:rsidRPr="005B5418" w:rsidRDefault="000E64FA" w:rsidP="005425ED">
            <w:pPr>
              <w:pStyle w:val="FAM-Table-outline2"/>
              <w:spacing w:line="240" w:lineRule="auto"/>
              <w:ind w:left="1140" w:hanging="443"/>
            </w:pPr>
            <w:r w:rsidRPr="005B5418">
              <w:t>any change in legislation during or subsequent to the reporting period and before the issuance of the financial statements that significantly changes the purpose of the fund or that redirects a material portion of the accumulated balance? (SFFAS 27, par</w:t>
            </w:r>
            <w:r w:rsidR="00192AFE" w:rsidRPr="005B5418">
              <w:t>as</w:t>
            </w:r>
            <w:r w:rsidRPr="005B5418">
              <w:t>. 22</w:t>
            </w:r>
            <w:r w:rsidR="00192AFE" w:rsidRPr="005B5418">
              <w:t>–</w:t>
            </w:r>
            <w:r w:rsidRPr="005B5418">
              <w:t>23)</w:t>
            </w:r>
          </w:p>
        </w:tc>
        <w:tc>
          <w:tcPr>
            <w:tcW w:w="965" w:type="dxa"/>
          </w:tcPr>
          <w:p w14:paraId="4C8E6947" w14:textId="77777777" w:rsidR="000E64FA" w:rsidRPr="005B5418" w:rsidRDefault="000E64FA" w:rsidP="003B61E9">
            <w:pPr>
              <w:pStyle w:val="Table-Cell-CenterBoldBefore6ptAfter6pt"/>
              <w:rPr>
                <w:rFonts w:cs="Arial"/>
                <w:lang w:val="pt-BR"/>
              </w:rPr>
            </w:pPr>
          </w:p>
        </w:tc>
        <w:tc>
          <w:tcPr>
            <w:tcW w:w="3211" w:type="dxa"/>
          </w:tcPr>
          <w:p w14:paraId="0E69A2EF" w14:textId="77777777" w:rsidR="000E64FA" w:rsidRPr="005B5418" w:rsidRDefault="000E64FA" w:rsidP="003B61E9">
            <w:pPr>
              <w:spacing w:line="240" w:lineRule="auto"/>
              <w:rPr>
                <w:rFonts w:cs="Arial"/>
                <w:lang w:val="pt-BR"/>
              </w:rPr>
            </w:pPr>
          </w:p>
        </w:tc>
      </w:tr>
      <w:tr w:rsidR="00330920" w:rsidRPr="005B5418" w14:paraId="164B889C" w14:textId="77777777" w:rsidTr="00DA6DCF">
        <w:trPr>
          <w:trHeight w:val="1448"/>
        </w:trPr>
        <w:tc>
          <w:tcPr>
            <w:tcW w:w="5400" w:type="dxa"/>
          </w:tcPr>
          <w:p w14:paraId="5DCE7FA1" w14:textId="3A782A78" w:rsidR="00330920" w:rsidRPr="005B5418" w:rsidRDefault="00330920" w:rsidP="00C246F2">
            <w:pPr>
              <w:pStyle w:val="FAM-Table-outline"/>
              <w:spacing w:line="240" w:lineRule="auto"/>
            </w:pPr>
            <w:r w:rsidRPr="005B5418">
              <w:t xml:space="preserve">For </w:t>
            </w:r>
            <w:r w:rsidR="00C636CF" w:rsidRPr="005B5418">
              <w:t xml:space="preserve">entities with material amounts of Funds from Dedicated Collections, </w:t>
            </w:r>
            <w:r w:rsidRPr="005B5418">
              <w:t xml:space="preserve">does the entity </w:t>
            </w:r>
            <w:r w:rsidR="00657769" w:rsidRPr="005B5418">
              <w:t>include disclosure of funds from dedicated collections consistent with the illustrative statements in A-136? (A-136, section II.3.8.</w:t>
            </w:r>
            <w:r w:rsidR="00C636CF" w:rsidRPr="005B5418">
              <w:t>21</w:t>
            </w:r>
            <w:r w:rsidR="00657769" w:rsidRPr="005B5418">
              <w:t>)</w:t>
            </w:r>
          </w:p>
        </w:tc>
        <w:tc>
          <w:tcPr>
            <w:tcW w:w="965" w:type="dxa"/>
          </w:tcPr>
          <w:p w14:paraId="56033993" w14:textId="77777777" w:rsidR="00330920" w:rsidRPr="005B5418" w:rsidRDefault="00330920" w:rsidP="003B61E9">
            <w:pPr>
              <w:pStyle w:val="Table-Cell-CenterBoldBefore6ptAfter6pt"/>
              <w:rPr>
                <w:rFonts w:cs="Arial"/>
              </w:rPr>
            </w:pPr>
          </w:p>
        </w:tc>
        <w:tc>
          <w:tcPr>
            <w:tcW w:w="3211" w:type="dxa"/>
          </w:tcPr>
          <w:p w14:paraId="54C4A06E" w14:textId="77777777" w:rsidR="00330920" w:rsidRPr="005B5418" w:rsidRDefault="00330920" w:rsidP="003B61E9">
            <w:pPr>
              <w:spacing w:line="240" w:lineRule="auto"/>
              <w:rPr>
                <w:rFonts w:cs="Arial"/>
              </w:rPr>
            </w:pPr>
          </w:p>
        </w:tc>
      </w:tr>
      <w:tr w:rsidR="000E64FA" w:rsidRPr="005B5418" w14:paraId="08281FAF" w14:textId="77777777" w:rsidTr="00DA6DCF">
        <w:trPr>
          <w:trHeight w:val="1709"/>
        </w:trPr>
        <w:tc>
          <w:tcPr>
            <w:tcW w:w="5400" w:type="dxa"/>
          </w:tcPr>
          <w:p w14:paraId="6AC48AAE" w14:textId="21DB8307" w:rsidR="000E64FA" w:rsidRPr="005B5418" w:rsidRDefault="000E64FA" w:rsidP="00CC7F86">
            <w:pPr>
              <w:pStyle w:val="FAM-Table-outline"/>
              <w:spacing w:line="240" w:lineRule="auto"/>
            </w:pPr>
            <w:r w:rsidRPr="005B5418">
              <w:t xml:space="preserve">Does the total net position of all funds from dedicated collections shown in the note disclosure agree with the net position of funds from dedicated collections shown on the entity’s </w:t>
            </w:r>
            <w:r w:rsidR="001B5C17" w:rsidRPr="005B5418">
              <w:t>balance sheet</w:t>
            </w:r>
            <w:r w:rsidRPr="005B5418">
              <w:t>? (SFFAS 27, par</w:t>
            </w:r>
            <w:r w:rsidR="00550B06" w:rsidRPr="005B5418">
              <w:t>a</w:t>
            </w:r>
            <w:r w:rsidRPr="005B5418">
              <w:t>. 25)</w:t>
            </w:r>
          </w:p>
        </w:tc>
        <w:tc>
          <w:tcPr>
            <w:tcW w:w="965" w:type="dxa"/>
          </w:tcPr>
          <w:p w14:paraId="11093664" w14:textId="77777777" w:rsidR="000E64FA" w:rsidRPr="005B5418" w:rsidRDefault="000E64FA" w:rsidP="003B61E9">
            <w:pPr>
              <w:pStyle w:val="Table-Cell-CenterBoldBefore6ptAfter6pt"/>
              <w:rPr>
                <w:rFonts w:cs="Arial"/>
                <w:lang w:val="pt-BR"/>
              </w:rPr>
            </w:pPr>
          </w:p>
        </w:tc>
        <w:tc>
          <w:tcPr>
            <w:tcW w:w="3211" w:type="dxa"/>
          </w:tcPr>
          <w:p w14:paraId="29785380" w14:textId="77777777" w:rsidR="000E64FA" w:rsidRPr="005B5418" w:rsidRDefault="000E64FA" w:rsidP="003B61E9">
            <w:pPr>
              <w:spacing w:line="240" w:lineRule="auto"/>
              <w:rPr>
                <w:rFonts w:cs="Arial"/>
                <w:lang w:val="pt-BR"/>
              </w:rPr>
            </w:pPr>
          </w:p>
        </w:tc>
      </w:tr>
      <w:tr w:rsidR="000E64FA" w:rsidRPr="005B5418" w14:paraId="493F219B" w14:textId="77777777" w:rsidTr="000E64FA">
        <w:trPr>
          <w:trHeight w:val="1817"/>
        </w:trPr>
        <w:tc>
          <w:tcPr>
            <w:tcW w:w="5400" w:type="dxa"/>
          </w:tcPr>
          <w:p w14:paraId="0654294F" w14:textId="4D3B4456" w:rsidR="000E64FA" w:rsidRPr="005B5418" w:rsidRDefault="000E64FA" w:rsidP="008848DA">
            <w:pPr>
              <w:pStyle w:val="FAM-Table-outline"/>
              <w:spacing w:line="240" w:lineRule="auto"/>
            </w:pPr>
            <w:r w:rsidRPr="005B5418">
              <w:t xml:space="preserve">Are unexpended appropriations attributable to Funds from Dedicated Collections, as reported on the face of the </w:t>
            </w:r>
            <w:r w:rsidR="001B5C17" w:rsidRPr="005B5418">
              <w:t>balance sheet</w:t>
            </w:r>
            <w:r w:rsidRPr="005B5418">
              <w:t>, equal to unexpended appropriations in the note for Funds from Dedicated Collections</w:t>
            </w:r>
            <w:r w:rsidR="001F31A0" w:rsidRPr="005B5418">
              <w:t>, if material</w:t>
            </w:r>
            <w:r w:rsidRPr="005B5418">
              <w:t>? (A-136, section II.3.2.5)</w:t>
            </w:r>
          </w:p>
        </w:tc>
        <w:tc>
          <w:tcPr>
            <w:tcW w:w="965" w:type="dxa"/>
          </w:tcPr>
          <w:p w14:paraId="65C18008" w14:textId="77777777" w:rsidR="000E64FA" w:rsidRPr="005B5418" w:rsidRDefault="000E64FA" w:rsidP="003B61E9">
            <w:pPr>
              <w:pStyle w:val="Table-Cell-CenterBoldBefore6ptAfter6pt"/>
              <w:rPr>
                <w:rFonts w:cs="Arial"/>
                <w:lang w:val="pt-BR"/>
              </w:rPr>
            </w:pPr>
          </w:p>
        </w:tc>
        <w:tc>
          <w:tcPr>
            <w:tcW w:w="3211" w:type="dxa"/>
          </w:tcPr>
          <w:p w14:paraId="4B59A5EC" w14:textId="77777777" w:rsidR="000E64FA" w:rsidRPr="005B5418" w:rsidRDefault="000E64FA" w:rsidP="003B61E9">
            <w:pPr>
              <w:spacing w:line="240" w:lineRule="auto"/>
              <w:rPr>
                <w:rFonts w:cs="Arial"/>
                <w:lang w:val="pt-BR"/>
              </w:rPr>
            </w:pPr>
          </w:p>
        </w:tc>
      </w:tr>
      <w:tr w:rsidR="000E64FA" w:rsidRPr="005B5418" w14:paraId="11A95665" w14:textId="77777777" w:rsidTr="000E64FA">
        <w:trPr>
          <w:trHeight w:val="2160"/>
        </w:trPr>
        <w:tc>
          <w:tcPr>
            <w:tcW w:w="5400" w:type="dxa"/>
          </w:tcPr>
          <w:p w14:paraId="0EC7D2C3" w14:textId="41C010B7" w:rsidR="000E64FA" w:rsidRPr="005B5418" w:rsidRDefault="000E64FA" w:rsidP="008848DA">
            <w:pPr>
              <w:pStyle w:val="FAM-Table-outline"/>
              <w:spacing w:line="240" w:lineRule="auto"/>
            </w:pPr>
            <w:r w:rsidRPr="005B5418">
              <w:t xml:space="preserve">Are cumulative results of operations attributable to Funds from Dedicated Collections, as reported on the face of the </w:t>
            </w:r>
            <w:r w:rsidR="001B5C17" w:rsidRPr="005B5418">
              <w:t>balance sheet</w:t>
            </w:r>
            <w:r w:rsidRPr="005B5418">
              <w:t>, equal to cumulative results of operations in the note for Funds from Dedicated Collections</w:t>
            </w:r>
            <w:r w:rsidR="001F31A0" w:rsidRPr="005B5418">
              <w:t>, if material</w:t>
            </w:r>
            <w:r w:rsidRPr="005B5418">
              <w:t>? (A-136, section II.3.2.5)</w:t>
            </w:r>
          </w:p>
          <w:p w14:paraId="180AF78A" w14:textId="77777777" w:rsidR="001B35AC" w:rsidRPr="005B5418" w:rsidRDefault="001B35AC" w:rsidP="001B35AC">
            <w:pPr>
              <w:pStyle w:val="FAM-Table-outline"/>
              <w:numPr>
                <w:ilvl w:val="0"/>
                <w:numId w:val="0"/>
              </w:numPr>
              <w:spacing w:line="240" w:lineRule="auto"/>
              <w:ind w:left="576"/>
            </w:pPr>
          </w:p>
          <w:p w14:paraId="22E0E6D4" w14:textId="77777777" w:rsidR="00A43118" w:rsidRPr="005B5418" w:rsidRDefault="00A43118" w:rsidP="000D1DE2">
            <w:pPr>
              <w:pStyle w:val="FAM-Table-outline"/>
              <w:numPr>
                <w:ilvl w:val="0"/>
                <w:numId w:val="0"/>
              </w:numPr>
              <w:spacing w:line="240" w:lineRule="auto"/>
            </w:pPr>
          </w:p>
          <w:p w14:paraId="15F90D1B" w14:textId="50475DD9" w:rsidR="001B35AC" w:rsidRPr="005B5418" w:rsidRDefault="001B35AC" w:rsidP="001B35AC">
            <w:pPr>
              <w:pStyle w:val="FAM-Table-outline"/>
              <w:numPr>
                <w:ilvl w:val="0"/>
                <w:numId w:val="0"/>
              </w:numPr>
              <w:spacing w:line="240" w:lineRule="auto"/>
              <w:ind w:left="576"/>
            </w:pPr>
          </w:p>
        </w:tc>
        <w:tc>
          <w:tcPr>
            <w:tcW w:w="965" w:type="dxa"/>
          </w:tcPr>
          <w:p w14:paraId="0E787777" w14:textId="77777777" w:rsidR="000E64FA" w:rsidRPr="005B5418" w:rsidRDefault="000E64FA" w:rsidP="003B61E9">
            <w:pPr>
              <w:pStyle w:val="Table-Cell-CenterBoldBefore6ptAfter6pt"/>
              <w:rPr>
                <w:rFonts w:cs="Arial"/>
                <w:lang w:val="pt-BR"/>
              </w:rPr>
            </w:pPr>
          </w:p>
        </w:tc>
        <w:tc>
          <w:tcPr>
            <w:tcW w:w="3211" w:type="dxa"/>
          </w:tcPr>
          <w:p w14:paraId="3E8BBB9D" w14:textId="77777777" w:rsidR="000E64FA" w:rsidRPr="005B5418" w:rsidRDefault="000E64FA" w:rsidP="003B61E9">
            <w:pPr>
              <w:spacing w:line="240" w:lineRule="auto"/>
              <w:rPr>
                <w:rFonts w:cs="Arial"/>
                <w:lang w:val="pt-BR"/>
              </w:rPr>
            </w:pPr>
          </w:p>
        </w:tc>
      </w:tr>
      <w:tr w:rsidR="005C42F4" w:rsidRPr="005B5418" w14:paraId="166155BA" w14:textId="77777777" w:rsidTr="000E64FA">
        <w:trPr>
          <w:trHeight w:val="2160"/>
        </w:trPr>
        <w:tc>
          <w:tcPr>
            <w:tcW w:w="5400" w:type="dxa"/>
          </w:tcPr>
          <w:p w14:paraId="63A891FE" w14:textId="004E1978" w:rsidR="005C42F4" w:rsidRPr="005B5418" w:rsidRDefault="005C42F4" w:rsidP="005C42F4">
            <w:pPr>
              <w:pStyle w:val="FAM-Table-outline"/>
            </w:pPr>
            <w:r w:rsidRPr="005B5418">
              <w:lastRenderedPageBreak/>
              <w:t>Are Funds from Dedicated Collections reported on both a combined and consolidated basis</w:t>
            </w:r>
            <w:r w:rsidR="00F05C8C" w:rsidRPr="005B5418">
              <w:t>,</w:t>
            </w:r>
            <w:r w:rsidRPr="005B5418">
              <w:t xml:space="preserve"> and </w:t>
            </w:r>
            <w:r w:rsidR="00F05C8C" w:rsidRPr="005B5418">
              <w:t xml:space="preserve">are </w:t>
            </w:r>
            <w:r w:rsidRPr="005B5418">
              <w:t>nonexchange revenues split between intragovernmental and other than intragovernmental?</w:t>
            </w:r>
            <w:r w:rsidRPr="005B5418">
              <w:rPr>
                <w:rStyle w:val="FootnoteReference"/>
              </w:rPr>
              <w:footnoteReference w:id="246"/>
            </w:r>
            <w:r w:rsidRPr="005B5418">
              <w:t xml:space="preserve"> (A-136, section II.3.8.21)</w:t>
            </w:r>
          </w:p>
        </w:tc>
        <w:tc>
          <w:tcPr>
            <w:tcW w:w="965" w:type="dxa"/>
          </w:tcPr>
          <w:p w14:paraId="54F5B695" w14:textId="77777777" w:rsidR="005C42F4" w:rsidRPr="005B5418" w:rsidRDefault="005C42F4" w:rsidP="003B61E9">
            <w:pPr>
              <w:pStyle w:val="Table-Cell-CenterBoldBefore6ptAfter6pt"/>
              <w:rPr>
                <w:rFonts w:cs="Arial"/>
                <w:lang w:val="pt-BR"/>
              </w:rPr>
            </w:pPr>
          </w:p>
        </w:tc>
        <w:tc>
          <w:tcPr>
            <w:tcW w:w="3211" w:type="dxa"/>
          </w:tcPr>
          <w:p w14:paraId="716A4EE3" w14:textId="77777777" w:rsidR="005C42F4" w:rsidRPr="005B5418" w:rsidRDefault="005C42F4" w:rsidP="003B61E9">
            <w:pPr>
              <w:spacing w:line="240" w:lineRule="auto"/>
              <w:rPr>
                <w:rFonts w:cs="Arial"/>
                <w:lang w:val="pt-BR"/>
              </w:rPr>
            </w:pPr>
          </w:p>
        </w:tc>
      </w:tr>
    </w:tbl>
    <w:p w14:paraId="60911C5F" w14:textId="77777777" w:rsidR="00AF4AF5" w:rsidRPr="005B5418" w:rsidRDefault="00AF4AF5">
      <w:bookmarkStart w:id="200" w:name="_II.3.8.21_Suborganization_Program"/>
      <w:bookmarkEnd w:id="200"/>
      <w:r w:rsidRPr="005B5418">
        <w:rPr>
          <w:iCs/>
        </w:rPr>
        <w:br w:type="page"/>
      </w:r>
    </w:p>
    <w:tbl>
      <w:tblPr>
        <w:tblpPr w:leftFromText="180" w:rightFromText="180" w:vertAnchor="text" w:horzAnchor="margin" w:tblpY="13"/>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8153E6" w:rsidRPr="005B5418" w14:paraId="575AD5AD" w14:textId="77777777" w:rsidTr="008153E6">
        <w:trPr>
          <w:tblHeader/>
        </w:trPr>
        <w:tc>
          <w:tcPr>
            <w:tcW w:w="5400" w:type="dxa"/>
            <w:tcBorders>
              <w:top w:val="single" w:sz="4" w:space="0" w:color="auto"/>
              <w:left w:val="single" w:sz="4" w:space="0" w:color="auto"/>
              <w:bottom w:val="single" w:sz="4" w:space="0" w:color="auto"/>
              <w:right w:val="single" w:sz="4" w:space="0" w:color="auto"/>
            </w:tcBorders>
          </w:tcPr>
          <w:p w14:paraId="28642ACC" w14:textId="05747AA1" w:rsidR="008153E6" w:rsidRPr="005B5418" w:rsidRDefault="008153E6" w:rsidP="0009770D">
            <w:pPr>
              <w:pStyle w:val="Heading4"/>
              <w:spacing w:before="60" w:after="60" w:line="240" w:lineRule="auto"/>
              <w:jc w:val="left"/>
              <w:rPr>
                <w:b/>
                <w:u w:val="none"/>
              </w:rPr>
            </w:pPr>
            <w:bookmarkStart w:id="201" w:name="_II.3.8.22_Suborganization_Program_1"/>
            <w:bookmarkEnd w:id="201"/>
            <w:r w:rsidRPr="005B5418">
              <w:rPr>
                <w:b/>
                <w:u w:val="none"/>
              </w:rPr>
              <w:lastRenderedPageBreak/>
              <w:br w:type="page"/>
            </w:r>
            <w:bookmarkStart w:id="202" w:name="_Ref392094769"/>
            <w:bookmarkStart w:id="203" w:name="_Toc394667913"/>
            <w:bookmarkStart w:id="204" w:name="_Ref384816158"/>
            <w:r w:rsidRPr="005B5418">
              <w:rPr>
                <w:b/>
                <w:u w:val="none"/>
              </w:rPr>
              <w:t>II.3.8.</w:t>
            </w:r>
            <w:r w:rsidR="0009770D" w:rsidRPr="005B5418">
              <w:rPr>
                <w:b/>
                <w:u w:val="none"/>
              </w:rPr>
              <w:t xml:space="preserve">22 </w:t>
            </w:r>
            <w:r w:rsidRPr="005B5418">
              <w:rPr>
                <w:b/>
                <w:u w:val="none"/>
              </w:rPr>
              <w:t>Suborganization Program Costs</w:t>
            </w:r>
            <w:bookmarkEnd w:id="202"/>
            <w:bookmarkEnd w:id="203"/>
            <w:bookmarkEnd w:id="204"/>
          </w:p>
        </w:tc>
        <w:tc>
          <w:tcPr>
            <w:tcW w:w="965" w:type="dxa"/>
            <w:tcBorders>
              <w:top w:val="single" w:sz="4" w:space="0" w:color="auto"/>
              <w:left w:val="single" w:sz="4" w:space="0" w:color="auto"/>
              <w:bottom w:val="single" w:sz="4" w:space="0" w:color="auto"/>
              <w:right w:val="single" w:sz="4" w:space="0" w:color="auto"/>
            </w:tcBorders>
          </w:tcPr>
          <w:p w14:paraId="25CAA03D" w14:textId="77777777" w:rsidR="008153E6" w:rsidRPr="005B5418" w:rsidRDefault="008153E6" w:rsidP="008848DA">
            <w:pPr>
              <w:pStyle w:val="TableCellCenter"/>
              <w:spacing w:before="60" w:after="60"/>
              <w:jc w:val="left"/>
            </w:pPr>
            <w:r w:rsidRPr="005B5418">
              <w:t>Yes, No, or N/A</w:t>
            </w:r>
          </w:p>
        </w:tc>
        <w:tc>
          <w:tcPr>
            <w:tcW w:w="3211" w:type="dxa"/>
            <w:tcBorders>
              <w:top w:val="single" w:sz="4" w:space="0" w:color="auto"/>
              <w:left w:val="single" w:sz="4" w:space="0" w:color="auto"/>
              <w:bottom w:val="single" w:sz="4" w:space="0" w:color="auto"/>
              <w:right w:val="single" w:sz="4" w:space="0" w:color="auto"/>
            </w:tcBorders>
          </w:tcPr>
          <w:p w14:paraId="69720C9D" w14:textId="2C486A44" w:rsidR="008153E6" w:rsidRPr="005B5418" w:rsidRDefault="008153E6" w:rsidP="008848DA">
            <w:pPr>
              <w:pStyle w:val="TableCellCenter"/>
              <w:spacing w:before="60" w:after="60"/>
              <w:jc w:val="left"/>
            </w:pPr>
            <w:r w:rsidRPr="005B5418">
              <w:t xml:space="preserve">Explanation </w:t>
            </w:r>
            <w:r w:rsidR="00C61E60" w:rsidRPr="005B5418">
              <w:t xml:space="preserve">and </w:t>
            </w:r>
            <w:r w:rsidRPr="005B5418">
              <w:t>Reference</w:t>
            </w:r>
          </w:p>
        </w:tc>
      </w:tr>
      <w:tr w:rsidR="008153E6" w:rsidRPr="005B5418" w14:paraId="49AF228F" w14:textId="77777777" w:rsidTr="008153E6">
        <w:tc>
          <w:tcPr>
            <w:tcW w:w="9576" w:type="dxa"/>
            <w:gridSpan w:val="3"/>
          </w:tcPr>
          <w:p w14:paraId="52C4243D" w14:textId="78F9995E" w:rsidR="008153E6" w:rsidRPr="005B5418" w:rsidRDefault="008153E6" w:rsidP="008848DA">
            <w:pPr>
              <w:pStyle w:val="Table-Note"/>
              <w:spacing w:before="60" w:after="60" w:line="240" w:lineRule="auto"/>
              <w:ind w:left="-35"/>
              <w:jc w:val="left"/>
              <w:rPr>
                <w:rFonts w:cs="Arial"/>
                <w:i w:val="0"/>
                <w:sz w:val="22"/>
                <w:szCs w:val="22"/>
              </w:rPr>
            </w:pPr>
            <w:r w:rsidRPr="005B5418">
              <w:rPr>
                <w:rFonts w:cs="Arial"/>
                <w:i w:val="0"/>
                <w:sz w:val="22"/>
                <w:szCs w:val="22"/>
              </w:rPr>
              <w:t>A responsibility segment is a component of a reporting entity that is responsible for carrying out a mission, conducting a major line of activity, or producing one or a group of related products or services. (SFFAS 4, par</w:t>
            </w:r>
            <w:r w:rsidR="0075534E" w:rsidRPr="005B5418">
              <w:rPr>
                <w:rFonts w:cs="Arial"/>
                <w:i w:val="0"/>
                <w:sz w:val="22"/>
                <w:szCs w:val="22"/>
              </w:rPr>
              <w:t>a</w:t>
            </w:r>
            <w:r w:rsidRPr="005B5418">
              <w:rPr>
                <w:rFonts w:cs="Arial"/>
                <w:i w:val="0"/>
                <w:sz w:val="22"/>
                <w:szCs w:val="22"/>
              </w:rPr>
              <w:t>. 78)</w:t>
            </w:r>
          </w:p>
        </w:tc>
      </w:tr>
      <w:tr w:rsidR="008153E6" w:rsidRPr="005B5418" w14:paraId="3159ED3F" w14:textId="77777777" w:rsidTr="008153E6">
        <w:trPr>
          <w:trHeight w:val="1286"/>
        </w:trPr>
        <w:tc>
          <w:tcPr>
            <w:tcW w:w="5400" w:type="dxa"/>
          </w:tcPr>
          <w:p w14:paraId="5ECD9F17" w14:textId="38B5263F" w:rsidR="008153E6" w:rsidRPr="005B5418" w:rsidRDefault="008153E6" w:rsidP="00E72C29">
            <w:pPr>
              <w:pStyle w:val="FAM-Table-outline"/>
              <w:widowControl/>
              <w:numPr>
                <w:ilvl w:val="0"/>
                <w:numId w:val="73"/>
              </w:numPr>
              <w:adjustRightInd/>
              <w:spacing w:line="240" w:lineRule="auto"/>
              <w:textAlignment w:val="auto"/>
              <w:rPr>
                <w:rFonts w:eastAsia="Arial Unicode MS" w:cs="Arial"/>
                <w:szCs w:val="22"/>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75534E" w:rsidRPr="005B5418">
              <w:rPr>
                <w:rFonts w:eastAsia="Arial Unicode MS" w:cs="Arial"/>
                <w:szCs w:val="22"/>
              </w:rPr>
              <w:t>.</w:t>
            </w:r>
            <w:r w:rsidRPr="005B5418">
              <w:rPr>
                <w:rFonts w:eastAsia="Arial Unicode MS" w:cs="Arial"/>
                <w:szCs w:val="22"/>
              </w:rPr>
              <w:t>)</w:t>
            </w:r>
          </w:p>
        </w:tc>
        <w:tc>
          <w:tcPr>
            <w:tcW w:w="965" w:type="dxa"/>
          </w:tcPr>
          <w:p w14:paraId="115D18B7" w14:textId="77777777" w:rsidR="008153E6" w:rsidRPr="005B5418" w:rsidRDefault="008153E6" w:rsidP="008848DA">
            <w:pPr>
              <w:pStyle w:val="Table-Cell-CenterBoldBefore6ptAfter6pt"/>
              <w:spacing w:before="60" w:after="60"/>
              <w:rPr>
                <w:rFonts w:cs="Arial"/>
              </w:rPr>
            </w:pPr>
          </w:p>
        </w:tc>
        <w:tc>
          <w:tcPr>
            <w:tcW w:w="3211" w:type="dxa"/>
          </w:tcPr>
          <w:p w14:paraId="3B89D26A" w14:textId="77777777" w:rsidR="008153E6" w:rsidRPr="005B5418" w:rsidRDefault="008153E6" w:rsidP="008848DA">
            <w:pPr>
              <w:spacing w:before="60" w:after="60" w:line="240" w:lineRule="auto"/>
              <w:rPr>
                <w:rFonts w:cs="Arial"/>
              </w:rPr>
            </w:pPr>
          </w:p>
        </w:tc>
      </w:tr>
      <w:tr w:rsidR="008153E6" w:rsidRPr="005B5418" w14:paraId="3775AC62" w14:textId="77777777" w:rsidTr="008153E6">
        <w:trPr>
          <w:trHeight w:val="404"/>
        </w:trPr>
        <w:tc>
          <w:tcPr>
            <w:tcW w:w="9576" w:type="dxa"/>
            <w:gridSpan w:val="3"/>
          </w:tcPr>
          <w:p w14:paraId="61EF6154" w14:textId="77777777" w:rsidR="008153E6" w:rsidRPr="005B5418" w:rsidRDefault="008153E6" w:rsidP="008848DA">
            <w:pPr>
              <w:spacing w:before="60" w:after="60" w:line="240" w:lineRule="auto"/>
              <w:rPr>
                <w:rFonts w:ascii="Arial" w:hAnsi="Arial" w:cs="Arial"/>
                <w:b/>
              </w:rPr>
            </w:pPr>
            <w:r w:rsidRPr="005B5418">
              <w:rPr>
                <w:rFonts w:ascii="Arial" w:hAnsi="Arial" w:cs="Arial"/>
                <w:b/>
              </w:rPr>
              <w:t>Disclosure</w:t>
            </w:r>
          </w:p>
        </w:tc>
      </w:tr>
      <w:tr w:rsidR="008153E6" w:rsidRPr="005B5418" w14:paraId="4ADB8332" w14:textId="77777777" w:rsidTr="008153E6">
        <w:trPr>
          <w:trHeight w:val="1799"/>
        </w:trPr>
        <w:tc>
          <w:tcPr>
            <w:tcW w:w="5400" w:type="dxa"/>
          </w:tcPr>
          <w:p w14:paraId="3862EF6A" w14:textId="0292CE18" w:rsidR="008153E6" w:rsidRPr="005B5418" w:rsidRDefault="008153E6" w:rsidP="0009770D">
            <w:pPr>
              <w:pStyle w:val="FAM-Table-outline"/>
              <w:spacing w:line="240" w:lineRule="auto"/>
            </w:pPr>
            <w:r w:rsidRPr="005B5418">
              <w:t>If the reporting entity’s organization structure and operations are complex, or if the SNC displays highly aggregated program information, does the entity disclose costs and revenues to support the SNC? (A-136, section II.3.8.</w:t>
            </w:r>
            <w:r w:rsidR="0009770D" w:rsidRPr="005B5418">
              <w:t>22</w:t>
            </w:r>
            <w:r w:rsidRPr="005B5418">
              <w:t>, which includes an illustrative example)</w:t>
            </w:r>
          </w:p>
        </w:tc>
        <w:tc>
          <w:tcPr>
            <w:tcW w:w="965" w:type="dxa"/>
          </w:tcPr>
          <w:p w14:paraId="468777BF" w14:textId="77777777" w:rsidR="008153E6" w:rsidRPr="005B5418" w:rsidRDefault="008153E6" w:rsidP="008848DA">
            <w:pPr>
              <w:pStyle w:val="Table-Cell-CenterBoldBefore6ptAfter6pt"/>
              <w:spacing w:before="60" w:after="60"/>
              <w:rPr>
                <w:rFonts w:cs="Arial"/>
              </w:rPr>
            </w:pPr>
          </w:p>
        </w:tc>
        <w:tc>
          <w:tcPr>
            <w:tcW w:w="3211" w:type="dxa"/>
          </w:tcPr>
          <w:p w14:paraId="5609A3BE" w14:textId="77777777" w:rsidR="008153E6" w:rsidRPr="005B5418" w:rsidRDefault="008153E6" w:rsidP="008848DA">
            <w:pPr>
              <w:spacing w:before="60" w:after="60" w:line="240" w:lineRule="auto"/>
              <w:rPr>
                <w:rFonts w:cs="Arial"/>
              </w:rPr>
            </w:pPr>
          </w:p>
        </w:tc>
      </w:tr>
    </w:tbl>
    <w:p w14:paraId="6244E077" w14:textId="21F55B36" w:rsidR="00284F90" w:rsidRPr="005B5418" w:rsidRDefault="00284F90" w:rsidP="003B61E9">
      <w:pPr>
        <w:spacing w:line="240" w:lineRule="auto"/>
        <w:rPr>
          <w:rFonts w:cs="Arial"/>
        </w:rPr>
      </w:pPr>
    </w:p>
    <w:p w14:paraId="5CB8E9FA" w14:textId="1588E6EF" w:rsidR="00284F90" w:rsidRPr="005B5418" w:rsidRDefault="00284F90">
      <w:pPr>
        <w:rPr>
          <w:rFonts w:cs="Arial"/>
        </w:rPr>
      </w:pPr>
    </w:p>
    <w:p w14:paraId="610585B5" w14:textId="77777777" w:rsidR="00A629E5" w:rsidRPr="005B5418" w:rsidRDefault="00A629E5" w:rsidP="003B61E9">
      <w:pPr>
        <w:spacing w:line="240" w:lineRule="auto"/>
        <w:rPr>
          <w:rFonts w:cs="Arial"/>
        </w:rPr>
      </w:pPr>
      <w:bookmarkStart w:id="205" w:name="_II.3.8.22_Suborganization_Program"/>
      <w:bookmarkStart w:id="206" w:name="_II.3.8.23_Cost_of"/>
      <w:bookmarkStart w:id="207" w:name="_II.3.8.24_Stewardship_PP&amp;E"/>
      <w:bookmarkEnd w:id="205"/>
      <w:bookmarkEnd w:id="206"/>
      <w:bookmarkEnd w:id="207"/>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400"/>
        <w:gridCol w:w="965"/>
        <w:gridCol w:w="3211"/>
      </w:tblGrid>
      <w:tr w:rsidR="00A629E5" w:rsidRPr="005B5418" w14:paraId="47CF5508" w14:textId="77777777" w:rsidTr="00996CB4">
        <w:tc>
          <w:tcPr>
            <w:tcW w:w="5400" w:type="dxa"/>
          </w:tcPr>
          <w:p w14:paraId="2BE74C3E" w14:textId="38B36787" w:rsidR="00A629E5" w:rsidRPr="005B5418" w:rsidRDefault="00A629E5" w:rsidP="00C903F2">
            <w:pPr>
              <w:pStyle w:val="Heading4"/>
              <w:spacing w:before="60" w:after="60" w:line="240" w:lineRule="auto"/>
              <w:jc w:val="left"/>
              <w:rPr>
                <w:b/>
                <w:i/>
                <w:u w:val="none"/>
              </w:rPr>
            </w:pPr>
            <w:bookmarkStart w:id="208" w:name="_II.3.8.25_Exchange_Revenues"/>
            <w:bookmarkStart w:id="209" w:name="_II.3.8.23_Exchange_Revenues"/>
            <w:bookmarkEnd w:id="208"/>
            <w:bookmarkEnd w:id="209"/>
            <w:r w:rsidRPr="005B5418">
              <w:rPr>
                <w:b/>
                <w:u w:val="none"/>
              </w:rPr>
              <w:lastRenderedPageBreak/>
              <w:br w:type="page"/>
            </w:r>
            <w:bookmarkStart w:id="210" w:name="_Ref392094814"/>
            <w:bookmarkStart w:id="211" w:name="_Toc394667916"/>
            <w:r w:rsidRPr="005B5418">
              <w:rPr>
                <w:b/>
                <w:u w:val="none"/>
              </w:rPr>
              <w:t>II.3.8.</w:t>
            </w:r>
            <w:r w:rsidR="00C903F2" w:rsidRPr="005B5418">
              <w:rPr>
                <w:b/>
                <w:u w:val="none"/>
              </w:rPr>
              <w:t xml:space="preserve">23 </w:t>
            </w:r>
            <w:r w:rsidRPr="005B5418">
              <w:rPr>
                <w:b/>
                <w:u w:val="none"/>
              </w:rPr>
              <w:t>Exchange Revenues</w:t>
            </w:r>
            <w:bookmarkEnd w:id="210"/>
            <w:bookmarkEnd w:id="211"/>
            <w:r w:rsidRPr="005B5418">
              <w:rPr>
                <w:b/>
                <w:u w:val="none"/>
              </w:rPr>
              <w:t xml:space="preserve"> </w:t>
            </w:r>
          </w:p>
        </w:tc>
        <w:tc>
          <w:tcPr>
            <w:tcW w:w="965" w:type="dxa"/>
          </w:tcPr>
          <w:p w14:paraId="6364B80B" w14:textId="77777777" w:rsidR="00A629E5" w:rsidRPr="005B5418" w:rsidRDefault="00A629E5" w:rsidP="008848DA">
            <w:pPr>
              <w:pStyle w:val="TableCellCenter"/>
              <w:spacing w:before="60" w:after="60"/>
              <w:jc w:val="left"/>
            </w:pPr>
            <w:r w:rsidRPr="005B5418">
              <w:t>Yes, No, or N/A</w:t>
            </w:r>
          </w:p>
        </w:tc>
        <w:tc>
          <w:tcPr>
            <w:tcW w:w="3211" w:type="dxa"/>
          </w:tcPr>
          <w:p w14:paraId="29F56FD0" w14:textId="199C4F8F" w:rsidR="00A629E5" w:rsidRPr="005B5418" w:rsidRDefault="00A629E5" w:rsidP="008848DA">
            <w:pPr>
              <w:pStyle w:val="TableCellCenter"/>
              <w:spacing w:before="60" w:after="60"/>
              <w:jc w:val="left"/>
            </w:pPr>
            <w:r w:rsidRPr="005B5418">
              <w:t xml:space="preserve">Explanation </w:t>
            </w:r>
            <w:r w:rsidR="00150527" w:rsidRPr="005B5418">
              <w:t xml:space="preserve">and </w:t>
            </w:r>
            <w:r w:rsidRPr="005B5418">
              <w:t>Reference</w:t>
            </w:r>
          </w:p>
        </w:tc>
      </w:tr>
      <w:tr w:rsidR="00A629E5" w:rsidRPr="005B5418" w14:paraId="56C5547C" w14:textId="77777777" w:rsidTr="002C24B5">
        <w:trPr>
          <w:cantSplit/>
        </w:trPr>
        <w:tc>
          <w:tcPr>
            <w:tcW w:w="9576" w:type="dxa"/>
            <w:gridSpan w:val="3"/>
          </w:tcPr>
          <w:p w14:paraId="77FDDEE8" w14:textId="30DEFEF2" w:rsidR="00A629E5" w:rsidRPr="005B5418" w:rsidRDefault="00A629E5" w:rsidP="008848DA">
            <w:pPr>
              <w:pStyle w:val="Table-Note"/>
              <w:spacing w:before="60" w:after="60" w:line="240" w:lineRule="auto"/>
              <w:ind w:left="-35"/>
              <w:jc w:val="left"/>
              <w:rPr>
                <w:rFonts w:cs="Arial"/>
                <w:i w:val="0"/>
                <w:sz w:val="22"/>
                <w:szCs w:val="22"/>
              </w:rPr>
            </w:pPr>
            <w:r w:rsidRPr="005B5418">
              <w:rPr>
                <w:rFonts w:cs="Arial"/>
                <w:i w:val="0"/>
                <w:sz w:val="22"/>
                <w:szCs w:val="22"/>
              </w:rPr>
              <w:t>Exchange (or earned) revenues arise when a government entity provides goods or services to the public or to another government entity for a price. (SFFAS 7, par</w:t>
            </w:r>
            <w:r w:rsidR="00150527" w:rsidRPr="005B5418">
              <w:rPr>
                <w:rFonts w:cs="Arial"/>
                <w:i w:val="0"/>
                <w:sz w:val="22"/>
                <w:szCs w:val="22"/>
              </w:rPr>
              <w:t>a</w:t>
            </w:r>
            <w:r w:rsidRPr="005B5418">
              <w:rPr>
                <w:rFonts w:cs="Arial"/>
                <w:i w:val="0"/>
                <w:sz w:val="22"/>
                <w:szCs w:val="22"/>
              </w:rPr>
              <w:t>. 30; A-136, section II.3.3.4)</w:t>
            </w:r>
          </w:p>
          <w:p w14:paraId="615D63AA" w14:textId="3B5A8B04" w:rsidR="00B1570E" w:rsidRPr="005B5418" w:rsidRDefault="00B1570E" w:rsidP="00962CD1">
            <w:pPr>
              <w:pStyle w:val="Table-Note"/>
              <w:spacing w:before="60" w:after="60" w:line="240" w:lineRule="auto"/>
              <w:ind w:left="-35"/>
              <w:jc w:val="left"/>
              <w:rPr>
                <w:rFonts w:cs="Arial"/>
                <w:i w:val="0"/>
                <w:sz w:val="22"/>
                <w:szCs w:val="22"/>
              </w:rPr>
            </w:pPr>
            <w:r w:rsidRPr="005B5418">
              <w:rPr>
                <w:rFonts w:cs="Arial"/>
                <w:i w:val="0"/>
                <w:sz w:val="22"/>
                <w:szCs w:val="22"/>
              </w:rPr>
              <w:t>Also see section II.3.3</w:t>
            </w:r>
            <w:r w:rsidR="00150527" w:rsidRPr="005B5418">
              <w:rPr>
                <w:rFonts w:cs="Arial"/>
                <w:i w:val="0"/>
                <w:sz w:val="22"/>
                <w:szCs w:val="22"/>
              </w:rPr>
              <w:t>,</w:t>
            </w:r>
            <w:r w:rsidRPr="005B5418">
              <w:rPr>
                <w:rFonts w:cs="Arial"/>
                <w:i w:val="0"/>
                <w:sz w:val="22"/>
                <w:szCs w:val="22"/>
              </w:rPr>
              <w:t xml:space="preserve"> which includes </w:t>
            </w:r>
            <w:r w:rsidR="00653696" w:rsidRPr="005B5418">
              <w:rPr>
                <w:rFonts w:cs="Arial"/>
                <w:i w:val="0"/>
                <w:sz w:val="22"/>
                <w:szCs w:val="22"/>
              </w:rPr>
              <w:t>revenue-</w:t>
            </w:r>
            <w:r w:rsidRPr="005B5418">
              <w:rPr>
                <w:rFonts w:cs="Arial"/>
                <w:i w:val="0"/>
                <w:sz w:val="22"/>
                <w:szCs w:val="22"/>
              </w:rPr>
              <w:t>related questions.</w:t>
            </w:r>
          </w:p>
        </w:tc>
      </w:tr>
      <w:tr w:rsidR="002C24B5" w:rsidRPr="005B5418" w14:paraId="3AFBB130" w14:textId="77777777" w:rsidTr="00A32115">
        <w:trPr>
          <w:cantSplit/>
          <w:trHeight w:val="1313"/>
        </w:trPr>
        <w:tc>
          <w:tcPr>
            <w:tcW w:w="5400" w:type="dxa"/>
          </w:tcPr>
          <w:p w14:paraId="6B47102E" w14:textId="449A6FA1" w:rsidR="002C24B5" w:rsidRPr="005B5418" w:rsidRDefault="005F3CC0" w:rsidP="00343610">
            <w:pPr>
              <w:pStyle w:val="FAM-Table-outline"/>
              <w:widowControl/>
              <w:numPr>
                <w:ilvl w:val="0"/>
                <w:numId w:val="23"/>
              </w:numPr>
              <w:adjustRightInd/>
              <w:spacing w:line="240" w:lineRule="auto"/>
              <w:textAlignment w:val="auto"/>
              <w:rPr>
                <w:rFonts w:cs="Arial"/>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150527" w:rsidRPr="005B5418">
              <w:rPr>
                <w:rFonts w:eastAsia="Arial Unicode MS" w:cs="Arial"/>
                <w:szCs w:val="22"/>
              </w:rPr>
              <w:t>.</w:t>
            </w:r>
            <w:r w:rsidRPr="005B5418">
              <w:rPr>
                <w:rFonts w:eastAsia="Arial Unicode MS" w:cs="Arial"/>
                <w:szCs w:val="22"/>
              </w:rPr>
              <w:t>)</w:t>
            </w:r>
          </w:p>
        </w:tc>
        <w:tc>
          <w:tcPr>
            <w:tcW w:w="965" w:type="dxa"/>
          </w:tcPr>
          <w:p w14:paraId="2044AD93" w14:textId="77777777" w:rsidR="002C24B5" w:rsidRPr="005B5418" w:rsidRDefault="002C24B5" w:rsidP="008848DA">
            <w:pPr>
              <w:pStyle w:val="Table-Cell-CenterBoldBefore6ptAfter6pt"/>
              <w:spacing w:before="60" w:after="60"/>
              <w:rPr>
                <w:rFonts w:cs="Arial"/>
              </w:rPr>
            </w:pPr>
          </w:p>
        </w:tc>
        <w:tc>
          <w:tcPr>
            <w:tcW w:w="3211" w:type="dxa"/>
          </w:tcPr>
          <w:p w14:paraId="05C3936F" w14:textId="77777777" w:rsidR="002C24B5" w:rsidRPr="005B5418" w:rsidRDefault="002C24B5" w:rsidP="008848DA">
            <w:pPr>
              <w:pStyle w:val="Table-Cell-Left"/>
              <w:spacing w:before="60" w:after="60" w:line="240" w:lineRule="auto"/>
              <w:rPr>
                <w:rFonts w:cs="Arial"/>
              </w:rPr>
            </w:pPr>
          </w:p>
        </w:tc>
      </w:tr>
      <w:tr w:rsidR="002C24B5" w:rsidRPr="005B5418" w14:paraId="193005C8" w14:textId="77777777" w:rsidTr="00FF51DC">
        <w:trPr>
          <w:trHeight w:val="404"/>
        </w:trPr>
        <w:tc>
          <w:tcPr>
            <w:tcW w:w="9576" w:type="dxa"/>
            <w:gridSpan w:val="3"/>
          </w:tcPr>
          <w:p w14:paraId="64C94A30" w14:textId="77777777" w:rsidR="002C24B5" w:rsidRPr="005B5418" w:rsidRDefault="002C24B5" w:rsidP="008848DA">
            <w:pPr>
              <w:spacing w:before="60" w:after="60" w:line="240" w:lineRule="auto"/>
              <w:rPr>
                <w:rFonts w:ascii="Arial" w:hAnsi="Arial" w:cs="Arial"/>
                <w:b/>
              </w:rPr>
            </w:pPr>
            <w:r w:rsidRPr="005B5418">
              <w:rPr>
                <w:rFonts w:ascii="Arial" w:hAnsi="Arial" w:cs="Arial"/>
                <w:b/>
              </w:rPr>
              <w:t>Disclosure</w:t>
            </w:r>
          </w:p>
        </w:tc>
      </w:tr>
      <w:tr w:rsidR="00A629E5" w:rsidRPr="005B5418" w14:paraId="6ABB6DF7" w14:textId="77777777" w:rsidTr="006C5478">
        <w:trPr>
          <w:cantSplit/>
          <w:trHeight w:val="2160"/>
        </w:trPr>
        <w:tc>
          <w:tcPr>
            <w:tcW w:w="5400" w:type="dxa"/>
          </w:tcPr>
          <w:p w14:paraId="625A842C" w14:textId="77777777" w:rsidR="00A629E5" w:rsidRPr="005B5418" w:rsidRDefault="00A629E5" w:rsidP="00343610">
            <w:pPr>
              <w:pStyle w:val="FAM-Table-outline"/>
              <w:widowControl/>
              <w:numPr>
                <w:ilvl w:val="0"/>
                <w:numId w:val="23"/>
              </w:numPr>
              <w:adjustRightInd/>
              <w:spacing w:line="240" w:lineRule="auto"/>
              <w:textAlignment w:val="auto"/>
              <w:rPr>
                <w:rFonts w:cs="Arial"/>
              </w:rPr>
            </w:pPr>
            <w:r w:rsidRPr="005B5418">
              <w:rPr>
                <w:rFonts w:cs="Arial"/>
              </w:rPr>
              <w:t>Does a reporting entity that provides goods or services to the public or other government entity disclose</w:t>
            </w:r>
          </w:p>
          <w:p w14:paraId="458D86DE" w14:textId="2B53ED0D" w:rsidR="00A629E5" w:rsidRPr="005B5418" w:rsidRDefault="00A629E5" w:rsidP="005425ED">
            <w:pPr>
              <w:pStyle w:val="FAM-Table-outline2"/>
              <w:spacing w:line="240" w:lineRule="auto"/>
              <w:ind w:left="1140" w:hanging="443"/>
            </w:pPr>
            <w:r w:rsidRPr="005B5418">
              <w:t xml:space="preserve">a pricing policy that differs from the full cost or market pricing guidance set forth in OMB Circular </w:t>
            </w:r>
            <w:r w:rsidR="00032FCF" w:rsidRPr="005B5418">
              <w:t xml:space="preserve">No. </w:t>
            </w:r>
            <w:r w:rsidRPr="005B5418">
              <w:t>A-25</w:t>
            </w:r>
            <w:r w:rsidR="00032FCF" w:rsidRPr="005B5418">
              <w:t xml:space="preserve">, </w:t>
            </w:r>
            <w:r w:rsidR="00032FCF" w:rsidRPr="005B5418">
              <w:rPr>
                <w:i/>
                <w:iCs/>
              </w:rPr>
              <w:t>User Fees</w:t>
            </w:r>
            <w:r w:rsidR="00032FCF" w:rsidRPr="005B5418">
              <w:t>,</w:t>
            </w:r>
            <w:r w:rsidRPr="005B5418">
              <w:t xml:space="preserve"> and the possible effect on demand and revenue if prices were raised to reflect the market or full cost;</w:t>
            </w:r>
          </w:p>
          <w:p w14:paraId="617BC84A" w14:textId="77777777" w:rsidR="00A629E5" w:rsidRPr="005B5418" w:rsidRDefault="00A629E5" w:rsidP="005425ED">
            <w:pPr>
              <w:pStyle w:val="FAM-Table-outline2"/>
              <w:spacing w:line="240" w:lineRule="auto"/>
              <w:ind w:left="1140" w:hanging="443"/>
            </w:pPr>
            <w:r w:rsidRPr="005B5418">
              <w:t>exchange transactions with the public in which prices are set by law or executive order and are not based on full cost or market price, or the possible effect on demand and revenue if prices were raised to reflect the market or full cost;</w:t>
            </w:r>
          </w:p>
          <w:p w14:paraId="64BFB053" w14:textId="77777777" w:rsidR="00A629E5" w:rsidRPr="005B5418" w:rsidRDefault="00A629E5" w:rsidP="005425ED">
            <w:pPr>
              <w:pStyle w:val="FAM-Table-outline2"/>
              <w:spacing w:line="240" w:lineRule="auto"/>
              <w:ind w:left="1140" w:hanging="443"/>
            </w:pPr>
            <w:r w:rsidRPr="005B5418">
              <w:t>the nature of intragovernmental exchange transactions in which goods or services are provided free or at less than full cost and the reasons for differences between billing and full cost; and</w:t>
            </w:r>
          </w:p>
          <w:p w14:paraId="28DC3A25" w14:textId="09854E41" w:rsidR="00A629E5" w:rsidRPr="005B5418" w:rsidRDefault="00A629E5" w:rsidP="005425ED">
            <w:pPr>
              <w:pStyle w:val="FAM-Table-outline2"/>
              <w:spacing w:line="240" w:lineRule="auto"/>
              <w:ind w:left="1140" w:hanging="443"/>
            </w:pPr>
            <w:r w:rsidRPr="005B5418">
              <w:t>the full amount of any expected loss when specific goods or services are provided or made to order under a contract and a loss is both probable and measurable? (SFFAS 7, par</w:t>
            </w:r>
            <w:r w:rsidR="007314ED" w:rsidRPr="005B5418">
              <w:t>as</w:t>
            </w:r>
            <w:r w:rsidRPr="005B5418">
              <w:t>. 46</w:t>
            </w:r>
            <w:r w:rsidR="007314ED" w:rsidRPr="005B5418">
              <w:t>–</w:t>
            </w:r>
            <w:r w:rsidRPr="005B5418">
              <w:t>47)</w:t>
            </w:r>
          </w:p>
        </w:tc>
        <w:tc>
          <w:tcPr>
            <w:tcW w:w="965" w:type="dxa"/>
          </w:tcPr>
          <w:p w14:paraId="23AF56B0" w14:textId="77777777" w:rsidR="00A629E5" w:rsidRPr="005B5418" w:rsidRDefault="00A629E5" w:rsidP="008848DA">
            <w:pPr>
              <w:pStyle w:val="Table-Cell-CenterBoldBefore6ptAfter6pt"/>
              <w:spacing w:before="60" w:after="60"/>
              <w:rPr>
                <w:rFonts w:cs="Arial"/>
              </w:rPr>
            </w:pPr>
          </w:p>
        </w:tc>
        <w:tc>
          <w:tcPr>
            <w:tcW w:w="3211" w:type="dxa"/>
          </w:tcPr>
          <w:p w14:paraId="189D6F16" w14:textId="77777777" w:rsidR="00A629E5" w:rsidRPr="005B5418" w:rsidRDefault="00A629E5" w:rsidP="008848DA">
            <w:pPr>
              <w:pStyle w:val="Table-Cell-Left"/>
              <w:spacing w:before="60" w:after="60" w:line="240" w:lineRule="auto"/>
              <w:rPr>
                <w:rFonts w:cs="Arial"/>
              </w:rPr>
            </w:pPr>
          </w:p>
        </w:tc>
      </w:tr>
    </w:tbl>
    <w:p w14:paraId="337687CE" w14:textId="77777777" w:rsidR="00106068" w:rsidRPr="005B5418" w:rsidRDefault="00106068" w:rsidP="003B61E9">
      <w:pPr>
        <w:spacing w:line="240" w:lineRule="auto"/>
        <w:rPr>
          <w:rFonts w:cs="Arial"/>
        </w:rPr>
      </w:pPr>
    </w:p>
    <w:p w14:paraId="6544B2F7" w14:textId="77777777" w:rsidR="00106068" w:rsidRPr="005B5418" w:rsidRDefault="00106068">
      <w:pPr>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106068" w:rsidRPr="005B5418" w14:paraId="36370EBA" w14:textId="77777777" w:rsidTr="00996CB4">
        <w:trPr>
          <w:tblHeader/>
        </w:trPr>
        <w:tc>
          <w:tcPr>
            <w:tcW w:w="5400" w:type="dxa"/>
          </w:tcPr>
          <w:p w14:paraId="1792925D" w14:textId="0B7460F6" w:rsidR="00106068" w:rsidRPr="005B5418" w:rsidRDefault="00106068" w:rsidP="00C903F2">
            <w:pPr>
              <w:pStyle w:val="Heading4"/>
              <w:spacing w:before="60" w:after="60" w:line="240" w:lineRule="auto"/>
              <w:jc w:val="left"/>
              <w:rPr>
                <w:b/>
                <w:i/>
                <w:u w:val="none"/>
              </w:rPr>
            </w:pPr>
            <w:bookmarkStart w:id="212" w:name="_II.3.8.26_Inter-Entity_Costs"/>
            <w:bookmarkEnd w:id="212"/>
            <w:r w:rsidRPr="005B5418">
              <w:rPr>
                <w:b/>
                <w:u w:val="none"/>
              </w:rPr>
              <w:lastRenderedPageBreak/>
              <w:t>II.3.8.</w:t>
            </w:r>
            <w:r w:rsidR="00C903F2" w:rsidRPr="005B5418">
              <w:rPr>
                <w:b/>
                <w:u w:val="none"/>
              </w:rPr>
              <w:t xml:space="preserve">24 </w:t>
            </w:r>
            <w:r w:rsidR="00470016" w:rsidRPr="005B5418">
              <w:rPr>
                <w:b/>
                <w:u w:val="none"/>
              </w:rPr>
              <w:t>Inter-</w:t>
            </w:r>
            <w:r w:rsidRPr="005B5418">
              <w:rPr>
                <w:b/>
                <w:u w:val="none"/>
              </w:rPr>
              <w:t>Entity Costs</w:t>
            </w:r>
          </w:p>
        </w:tc>
        <w:tc>
          <w:tcPr>
            <w:tcW w:w="965" w:type="dxa"/>
          </w:tcPr>
          <w:p w14:paraId="6D05AB16" w14:textId="77777777" w:rsidR="00106068" w:rsidRPr="005B5418" w:rsidRDefault="00106068" w:rsidP="00996CB4">
            <w:pPr>
              <w:pStyle w:val="TableCellCenter"/>
              <w:jc w:val="left"/>
            </w:pPr>
            <w:r w:rsidRPr="005B5418">
              <w:t>Yes, No, or N/A</w:t>
            </w:r>
          </w:p>
        </w:tc>
        <w:tc>
          <w:tcPr>
            <w:tcW w:w="3211" w:type="dxa"/>
          </w:tcPr>
          <w:p w14:paraId="0D8158C4" w14:textId="2015B2FB" w:rsidR="00106068" w:rsidRPr="005B5418" w:rsidRDefault="00106068" w:rsidP="009B2FD1">
            <w:pPr>
              <w:pStyle w:val="TableCellCenter"/>
              <w:jc w:val="left"/>
            </w:pPr>
            <w:r w:rsidRPr="005B5418">
              <w:t xml:space="preserve">Explanation </w:t>
            </w:r>
            <w:r w:rsidR="009B2FD1" w:rsidRPr="005B5418">
              <w:t xml:space="preserve">and </w:t>
            </w:r>
            <w:r w:rsidRPr="005B5418">
              <w:t>Reference</w:t>
            </w:r>
          </w:p>
        </w:tc>
      </w:tr>
      <w:tr w:rsidR="00106068" w:rsidRPr="005B5418" w14:paraId="2A9ABB97" w14:textId="77777777" w:rsidTr="00200000">
        <w:trPr>
          <w:cantSplit/>
          <w:trHeight w:val="827"/>
        </w:trPr>
        <w:tc>
          <w:tcPr>
            <w:tcW w:w="9576" w:type="dxa"/>
            <w:gridSpan w:val="3"/>
          </w:tcPr>
          <w:p w14:paraId="793CBFE5" w14:textId="660ECEE2" w:rsidR="00106068" w:rsidRPr="005B5418" w:rsidRDefault="00470016" w:rsidP="00962CD1">
            <w:pPr>
              <w:pStyle w:val="Table-Note"/>
              <w:spacing w:before="60" w:after="60" w:line="240" w:lineRule="auto"/>
              <w:ind w:left="-23"/>
              <w:jc w:val="left"/>
              <w:rPr>
                <w:rFonts w:cs="Arial"/>
                <w:i w:val="0"/>
                <w:sz w:val="22"/>
                <w:szCs w:val="22"/>
              </w:rPr>
            </w:pPr>
            <w:r w:rsidRPr="005B5418">
              <w:rPr>
                <w:rFonts w:cs="Arial"/>
                <w:i w:val="0"/>
                <w:sz w:val="22"/>
                <w:szCs w:val="22"/>
              </w:rPr>
              <w:t>Inter-</w:t>
            </w:r>
            <w:r w:rsidR="009B2FD1" w:rsidRPr="005B5418">
              <w:rPr>
                <w:rFonts w:cs="Arial"/>
                <w:i w:val="0"/>
                <w:sz w:val="22"/>
                <w:szCs w:val="22"/>
              </w:rPr>
              <w:t xml:space="preserve">entity costs </w:t>
            </w:r>
            <w:r w:rsidR="00106068" w:rsidRPr="005B5418">
              <w:rPr>
                <w:rFonts w:cs="Arial"/>
                <w:i w:val="0"/>
                <w:sz w:val="22"/>
                <w:szCs w:val="22"/>
              </w:rPr>
              <w:t>a</w:t>
            </w:r>
            <w:r w:rsidRPr="005B5418">
              <w:rPr>
                <w:rFonts w:cs="Arial"/>
                <w:i w:val="0"/>
                <w:sz w:val="22"/>
                <w:szCs w:val="22"/>
              </w:rPr>
              <w:t>re addressed in section II.3.</w:t>
            </w:r>
            <w:r w:rsidR="00106068" w:rsidRPr="005B5418">
              <w:rPr>
                <w:rFonts w:cs="Arial"/>
                <w:i w:val="0"/>
                <w:sz w:val="22"/>
                <w:szCs w:val="22"/>
              </w:rPr>
              <w:t>3</w:t>
            </w:r>
            <w:r w:rsidR="009B2FD1" w:rsidRPr="005B5418">
              <w:rPr>
                <w:rFonts w:cs="Arial"/>
                <w:i w:val="0"/>
                <w:sz w:val="22"/>
                <w:szCs w:val="22"/>
              </w:rPr>
              <w:t>,</w:t>
            </w:r>
            <w:r w:rsidR="00106068" w:rsidRPr="005B5418">
              <w:rPr>
                <w:rFonts w:cs="Arial"/>
                <w:i w:val="0"/>
                <w:sz w:val="22"/>
                <w:szCs w:val="22"/>
              </w:rPr>
              <w:t xml:space="preserve"> </w:t>
            </w:r>
            <w:r w:rsidRPr="005B5418">
              <w:rPr>
                <w:rFonts w:cs="Arial"/>
                <w:i w:val="0"/>
                <w:sz w:val="22"/>
                <w:szCs w:val="22"/>
              </w:rPr>
              <w:t>Statement of Net Cost</w:t>
            </w:r>
            <w:r w:rsidR="009B2FD1" w:rsidRPr="005B5418">
              <w:rPr>
                <w:rFonts w:cs="Arial"/>
                <w:i w:val="0"/>
                <w:sz w:val="22"/>
                <w:szCs w:val="22"/>
              </w:rPr>
              <w:t>,</w:t>
            </w:r>
            <w:r w:rsidRPr="005B5418">
              <w:rPr>
                <w:rFonts w:cs="Arial"/>
                <w:i w:val="0"/>
                <w:sz w:val="22"/>
                <w:szCs w:val="22"/>
              </w:rPr>
              <w:t xml:space="preserve"> and </w:t>
            </w:r>
            <w:r w:rsidR="00131945" w:rsidRPr="005B5418">
              <w:rPr>
                <w:rFonts w:cs="Arial"/>
                <w:i w:val="0"/>
                <w:sz w:val="22"/>
                <w:szCs w:val="22"/>
              </w:rPr>
              <w:t>II.3.8.1</w:t>
            </w:r>
            <w:r w:rsidR="009B2FD1" w:rsidRPr="005B5418">
              <w:rPr>
                <w:rFonts w:cs="Arial"/>
                <w:i w:val="0"/>
                <w:sz w:val="22"/>
                <w:szCs w:val="22"/>
              </w:rPr>
              <w:t>,</w:t>
            </w:r>
            <w:r w:rsidR="00131945" w:rsidRPr="005B5418">
              <w:rPr>
                <w:rFonts w:cs="Arial"/>
                <w:i w:val="0"/>
                <w:sz w:val="22"/>
                <w:szCs w:val="22"/>
              </w:rPr>
              <w:t xml:space="preserve"> </w:t>
            </w:r>
            <w:r w:rsidRPr="005B5418">
              <w:rPr>
                <w:rFonts w:cs="Arial"/>
                <w:i w:val="0"/>
                <w:sz w:val="22"/>
                <w:szCs w:val="22"/>
              </w:rPr>
              <w:t>Significant Accounting Policies</w:t>
            </w:r>
            <w:r w:rsidR="00106068" w:rsidRPr="005B5418">
              <w:rPr>
                <w:rFonts w:cs="Arial"/>
                <w:i w:val="0"/>
                <w:sz w:val="22"/>
                <w:szCs w:val="22"/>
              </w:rPr>
              <w:t xml:space="preserve">. </w:t>
            </w:r>
          </w:p>
        </w:tc>
      </w:tr>
    </w:tbl>
    <w:p w14:paraId="0D1B4C07" w14:textId="77777777" w:rsidR="00A629E5" w:rsidRPr="005B5418" w:rsidRDefault="00A629E5" w:rsidP="003B61E9">
      <w:pPr>
        <w:spacing w:line="240" w:lineRule="auto"/>
        <w:rPr>
          <w:rFonts w:cs="Arial"/>
        </w:rPr>
      </w:pPr>
    </w:p>
    <w:p w14:paraId="6B40568C" w14:textId="77777777" w:rsidR="00A629E5" w:rsidRPr="005B5418" w:rsidRDefault="00A629E5"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A629E5" w:rsidRPr="005B5418" w14:paraId="1A6E71BD" w14:textId="77777777" w:rsidTr="00996CB4">
        <w:trPr>
          <w:tblHeader/>
        </w:trPr>
        <w:tc>
          <w:tcPr>
            <w:tcW w:w="5400" w:type="dxa"/>
          </w:tcPr>
          <w:p w14:paraId="1E4526EE" w14:textId="39833CB8" w:rsidR="00A629E5" w:rsidRPr="005B5418" w:rsidRDefault="00A629E5" w:rsidP="00C903F2">
            <w:pPr>
              <w:pStyle w:val="Heading4"/>
              <w:spacing w:before="60" w:after="60" w:line="240" w:lineRule="auto"/>
              <w:jc w:val="left"/>
              <w:rPr>
                <w:b/>
                <w:u w:val="none"/>
              </w:rPr>
            </w:pPr>
            <w:bookmarkStart w:id="213" w:name="_II.3.8.27-II.3.8.34_Budgetary_Resou"/>
            <w:bookmarkStart w:id="214" w:name="_II.3.8.26_Statement_of"/>
            <w:bookmarkStart w:id="215" w:name="_Ref8657127"/>
            <w:bookmarkEnd w:id="213"/>
            <w:bookmarkEnd w:id="214"/>
            <w:r w:rsidRPr="005B5418">
              <w:rPr>
                <w:b/>
                <w:u w:val="none"/>
              </w:rPr>
              <w:lastRenderedPageBreak/>
              <w:t>II.3.8.</w:t>
            </w:r>
            <w:bookmarkEnd w:id="215"/>
            <w:r w:rsidR="00C903F2" w:rsidRPr="005B5418">
              <w:rPr>
                <w:b/>
                <w:u w:val="none"/>
              </w:rPr>
              <w:t xml:space="preserve">25 </w:t>
            </w:r>
            <w:r w:rsidR="008F3A0B" w:rsidRPr="005B5418">
              <w:rPr>
                <w:b/>
                <w:u w:val="none"/>
              </w:rPr>
              <w:t>Statement of Budgetary Resources</w:t>
            </w:r>
          </w:p>
        </w:tc>
        <w:tc>
          <w:tcPr>
            <w:tcW w:w="965" w:type="dxa"/>
          </w:tcPr>
          <w:p w14:paraId="5DF34BDB" w14:textId="77777777" w:rsidR="00A629E5" w:rsidRPr="005B5418" w:rsidRDefault="00A629E5" w:rsidP="00996CB4">
            <w:pPr>
              <w:pStyle w:val="TableCellCenter"/>
              <w:jc w:val="left"/>
            </w:pPr>
            <w:r w:rsidRPr="005B5418">
              <w:t>Yes, No, or N/A</w:t>
            </w:r>
          </w:p>
        </w:tc>
        <w:tc>
          <w:tcPr>
            <w:tcW w:w="3211" w:type="dxa"/>
          </w:tcPr>
          <w:p w14:paraId="59B1F0C4" w14:textId="3A148480" w:rsidR="00A629E5" w:rsidRPr="005B5418" w:rsidRDefault="00A629E5" w:rsidP="00446BC2">
            <w:pPr>
              <w:pStyle w:val="TableCellCenter"/>
              <w:jc w:val="left"/>
            </w:pPr>
            <w:r w:rsidRPr="005B5418">
              <w:t xml:space="preserve">Explanation </w:t>
            </w:r>
            <w:r w:rsidR="00446BC2" w:rsidRPr="005B5418">
              <w:t xml:space="preserve">and </w:t>
            </w:r>
            <w:r w:rsidRPr="005B5418">
              <w:t>Reference</w:t>
            </w:r>
          </w:p>
        </w:tc>
      </w:tr>
      <w:tr w:rsidR="001E6C06" w:rsidRPr="005B5418" w14:paraId="507D147B" w14:textId="77777777" w:rsidTr="00FF51DC">
        <w:tc>
          <w:tcPr>
            <w:tcW w:w="9576" w:type="dxa"/>
            <w:gridSpan w:val="3"/>
          </w:tcPr>
          <w:p w14:paraId="330B3856" w14:textId="77777777" w:rsidR="001E6C06" w:rsidRPr="005B5418" w:rsidRDefault="001E6C06" w:rsidP="008848DA">
            <w:pPr>
              <w:pStyle w:val="Table-Cell-CenterBoldBefore6ptAfter6pt"/>
              <w:spacing w:before="60" w:after="60"/>
              <w:jc w:val="left"/>
              <w:rPr>
                <w:rFonts w:cs="Arial"/>
              </w:rPr>
            </w:pPr>
            <w:r w:rsidRPr="005B5418">
              <w:rPr>
                <w:rFonts w:cs="Arial"/>
              </w:rPr>
              <w:t>Disclosure</w:t>
            </w:r>
          </w:p>
        </w:tc>
      </w:tr>
      <w:tr w:rsidR="00A629E5" w:rsidRPr="005B5418" w14:paraId="22B7CE32" w14:textId="77777777" w:rsidTr="006C5478">
        <w:trPr>
          <w:trHeight w:val="1313"/>
        </w:trPr>
        <w:tc>
          <w:tcPr>
            <w:tcW w:w="5400" w:type="dxa"/>
          </w:tcPr>
          <w:p w14:paraId="69879955" w14:textId="5115F0DF" w:rsidR="00A629E5" w:rsidRPr="005B5418" w:rsidRDefault="00A629E5" w:rsidP="00343610">
            <w:pPr>
              <w:pStyle w:val="FAM-Table-outline"/>
              <w:widowControl/>
              <w:numPr>
                <w:ilvl w:val="0"/>
                <w:numId w:val="24"/>
              </w:numPr>
              <w:adjustRightInd/>
              <w:spacing w:line="240" w:lineRule="auto"/>
              <w:textAlignment w:val="auto"/>
              <w:rPr>
                <w:rFonts w:cs="Arial"/>
              </w:rPr>
            </w:pPr>
            <w:r w:rsidRPr="005B5418">
              <w:rPr>
                <w:rFonts w:cs="Arial"/>
              </w:rPr>
              <w:t>Does the entity disclose and explain material adjustments during the reporting period to budgetary resources available at the beginning of the year</w:t>
            </w:r>
            <w:r w:rsidR="008F3A0B" w:rsidRPr="005B5418">
              <w:rPr>
                <w:rFonts w:cs="Arial"/>
              </w:rPr>
              <w:t xml:space="preserve"> </w:t>
            </w:r>
            <w:r w:rsidR="00965A18" w:rsidRPr="005B5418">
              <w:rPr>
                <w:rFonts w:cs="Arial"/>
              </w:rPr>
              <w:t>(</w:t>
            </w:r>
            <w:r w:rsidR="008F3A0B" w:rsidRPr="005B5418">
              <w:rPr>
                <w:rFonts w:cs="Arial"/>
              </w:rPr>
              <w:t>net adjustments to unobligated balance brought forward</w:t>
            </w:r>
            <w:r w:rsidR="00965A18" w:rsidRPr="005B5418">
              <w:rPr>
                <w:rFonts w:cs="Arial"/>
              </w:rPr>
              <w:t>)</w:t>
            </w:r>
            <w:r w:rsidRPr="005B5418">
              <w:rPr>
                <w:rFonts w:cs="Arial"/>
              </w:rPr>
              <w:t xml:space="preserve"> </w:t>
            </w:r>
            <w:r w:rsidR="00147A0C" w:rsidRPr="005B5418">
              <w:rPr>
                <w:spacing w:val="1"/>
              </w:rPr>
              <w:t xml:space="preserve">that are necessary to reconcile the beginning balance to the prior year’s ending balance </w:t>
            </w:r>
            <w:r w:rsidRPr="005B5418">
              <w:rPr>
                <w:rFonts w:cs="Arial"/>
              </w:rPr>
              <w:t>and expla</w:t>
            </w:r>
            <w:r w:rsidR="00147A0C" w:rsidRPr="005B5418">
              <w:rPr>
                <w:rFonts w:cs="Arial"/>
              </w:rPr>
              <w:t>i</w:t>
            </w:r>
            <w:r w:rsidRPr="005B5418">
              <w:rPr>
                <w:rFonts w:cs="Arial"/>
              </w:rPr>
              <w:t>n the adjustments in accordance with SFFAS 7, pa</w:t>
            </w:r>
            <w:r w:rsidR="00447E88" w:rsidRPr="005B5418">
              <w:rPr>
                <w:rFonts w:cs="Arial"/>
              </w:rPr>
              <w:t>ragraph 79? (A-136, section II.</w:t>
            </w:r>
            <w:r w:rsidRPr="005B5418">
              <w:rPr>
                <w:rFonts w:cs="Arial"/>
              </w:rPr>
              <w:t>3.8.</w:t>
            </w:r>
            <w:r w:rsidR="00C903F2" w:rsidRPr="005B5418">
              <w:rPr>
                <w:rFonts w:cs="Arial"/>
              </w:rPr>
              <w:t>25</w:t>
            </w:r>
            <w:r w:rsidRPr="005B5418">
              <w:rPr>
                <w:rFonts w:cs="Arial"/>
              </w:rPr>
              <w:t>)</w:t>
            </w:r>
          </w:p>
          <w:p w14:paraId="12124C3D" w14:textId="77777777" w:rsidR="00A629E5" w:rsidRPr="005B5418" w:rsidRDefault="00A629E5" w:rsidP="007C7489">
            <w:pPr>
              <w:pStyle w:val="FAM-Table-outline"/>
              <w:numPr>
                <w:ilvl w:val="0"/>
                <w:numId w:val="0"/>
              </w:numPr>
              <w:spacing w:line="240" w:lineRule="auto"/>
              <w:ind w:left="72"/>
            </w:pPr>
          </w:p>
        </w:tc>
        <w:tc>
          <w:tcPr>
            <w:tcW w:w="965" w:type="dxa"/>
          </w:tcPr>
          <w:p w14:paraId="63038B63" w14:textId="77777777" w:rsidR="00A629E5" w:rsidRPr="005B5418" w:rsidRDefault="00A629E5" w:rsidP="003B61E9">
            <w:pPr>
              <w:pStyle w:val="Table-Cell-CenterBoldBefore6ptAfter6pt"/>
              <w:rPr>
                <w:rFonts w:cs="Arial"/>
              </w:rPr>
            </w:pPr>
          </w:p>
        </w:tc>
        <w:tc>
          <w:tcPr>
            <w:tcW w:w="3211" w:type="dxa"/>
          </w:tcPr>
          <w:p w14:paraId="1A073CE5" w14:textId="77777777" w:rsidR="00A629E5" w:rsidRPr="005B5418" w:rsidRDefault="00A629E5" w:rsidP="003B61E9">
            <w:pPr>
              <w:pStyle w:val="Table-Cell-Left"/>
              <w:spacing w:line="240" w:lineRule="auto"/>
              <w:rPr>
                <w:rFonts w:cs="Arial"/>
              </w:rPr>
            </w:pPr>
          </w:p>
        </w:tc>
      </w:tr>
      <w:tr w:rsidR="00E438DA" w:rsidRPr="005B5418" w14:paraId="0B4975D5" w14:textId="77777777" w:rsidTr="006C5478">
        <w:trPr>
          <w:trHeight w:val="1313"/>
        </w:trPr>
        <w:tc>
          <w:tcPr>
            <w:tcW w:w="5400" w:type="dxa"/>
          </w:tcPr>
          <w:p w14:paraId="02CC7234" w14:textId="51C68329" w:rsidR="00E438DA" w:rsidRPr="005B5418" w:rsidRDefault="00E438DA" w:rsidP="00C903F2">
            <w:pPr>
              <w:pStyle w:val="FAM-Table-outline"/>
              <w:widowControl/>
              <w:numPr>
                <w:ilvl w:val="0"/>
                <w:numId w:val="24"/>
              </w:numPr>
              <w:adjustRightInd/>
              <w:spacing w:line="240" w:lineRule="auto"/>
              <w:textAlignment w:val="auto"/>
              <w:rPr>
                <w:rFonts w:cs="Arial"/>
              </w:rPr>
            </w:pPr>
            <w:r w:rsidRPr="005B5418">
              <w:rPr>
                <w:rFonts w:cs="Arial"/>
              </w:rPr>
              <w:t xml:space="preserve">Does the entity disclose all adjustments made to the prior year’s ending unobligated balance (i.e., the current year’s beginning unobligated balance) reported on line 1020 of the SF-133, </w:t>
            </w:r>
            <w:r w:rsidRPr="005B5418">
              <w:rPr>
                <w:rFonts w:cs="Arial"/>
                <w:i/>
              </w:rPr>
              <w:t>Report on Budget Execution and Budgetary Resources</w:t>
            </w:r>
            <w:r w:rsidRPr="005B5418">
              <w:rPr>
                <w:rFonts w:cs="Arial"/>
              </w:rPr>
              <w:t>? (A-136, section II.3.8.</w:t>
            </w:r>
            <w:r w:rsidR="00C903F2" w:rsidRPr="005B5418">
              <w:rPr>
                <w:rFonts w:cs="Arial"/>
              </w:rPr>
              <w:t>25</w:t>
            </w:r>
            <w:r w:rsidRPr="005B5418">
              <w:rPr>
                <w:rFonts w:cs="Arial"/>
              </w:rPr>
              <w:t>)</w:t>
            </w:r>
          </w:p>
        </w:tc>
        <w:tc>
          <w:tcPr>
            <w:tcW w:w="965" w:type="dxa"/>
          </w:tcPr>
          <w:p w14:paraId="7845F33A" w14:textId="77777777" w:rsidR="00E438DA" w:rsidRPr="005B5418" w:rsidRDefault="00E438DA" w:rsidP="003B61E9">
            <w:pPr>
              <w:pStyle w:val="Table-Cell-CenterBoldBefore6ptAfter6pt"/>
              <w:rPr>
                <w:rFonts w:cs="Arial"/>
              </w:rPr>
            </w:pPr>
          </w:p>
        </w:tc>
        <w:tc>
          <w:tcPr>
            <w:tcW w:w="3211" w:type="dxa"/>
          </w:tcPr>
          <w:p w14:paraId="2E90FD12" w14:textId="77777777" w:rsidR="00E438DA" w:rsidRPr="005B5418" w:rsidRDefault="00E438DA" w:rsidP="003B61E9">
            <w:pPr>
              <w:pStyle w:val="Table-Cell-Left"/>
              <w:spacing w:line="240" w:lineRule="auto"/>
              <w:rPr>
                <w:rFonts w:cs="Arial"/>
              </w:rPr>
            </w:pPr>
          </w:p>
        </w:tc>
      </w:tr>
      <w:tr w:rsidR="00A629E5" w:rsidRPr="005B5418" w14:paraId="719E5BD7" w14:textId="77777777" w:rsidTr="006C5478">
        <w:trPr>
          <w:trHeight w:val="1313"/>
        </w:trPr>
        <w:tc>
          <w:tcPr>
            <w:tcW w:w="5400" w:type="dxa"/>
          </w:tcPr>
          <w:p w14:paraId="6A8A538C" w14:textId="47A2A82A" w:rsidR="00A629E5" w:rsidRPr="005B5418" w:rsidRDefault="00A629E5" w:rsidP="001C7E28">
            <w:pPr>
              <w:pStyle w:val="FAM-Table-outline"/>
              <w:widowControl/>
              <w:numPr>
                <w:ilvl w:val="0"/>
                <w:numId w:val="24"/>
              </w:numPr>
              <w:adjustRightInd/>
              <w:spacing w:line="240" w:lineRule="auto"/>
              <w:textAlignment w:val="auto"/>
              <w:rPr>
                <w:rFonts w:cs="Arial"/>
              </w:rPr>
            </w:pPr>
            <w:r w:rsidRPr="005B5418">
              <w:rPr>
                <w:rFonts w:cs="Arial"/>
              </w:rPr>
              <w:t>Are the repayment requirements, financing sources for repayment, and other terms of borrowing authority used disclosed? (</w:t>
            </w:r>
            <w:r w:rsidR="00CE54F0" w:rsidRPr="005B5418">
              <w:rPr>
                <w:rFonts w:cs="Arial"/>
              </w:rPr>
              <w:t>SFFAS 7, par</w:t>
            </w:r>
            <w:r w:rsidR="00352171" w:rsidRPr="005B5418">
              <w:rPr>
                <w:rFonts w:cs="Arial"/>
              </w:rPr>
              <w:t>a</w:t>
            </w:r>
            <w:r w:rsidR="00447E88" w:rsidRPr="005B5418">
              <w:rPr>
                <w:rFonts w:cs="Arial"/>
              </w:rPr>
              <w:t xml:space="preserve">. </w:t>
            </w:r>
            <w:r w:rsidR="00CE54F0" w:rsidRPr="005B5418">
              <w:rPr>
                <w:rFonts w:cs="Arial"/>
              </w:rPr>
              <w:t xml:space="preserve">79(c); </w:t>
            </w:r>
            <w:r w:rsidRPr="005B5418">
              <w:rPr>
                <w:rFonts w:cs="Arial"/>
              </w:rPr>
              <w:t>A-136, section II.3.8.</w:t>
            </w:r>
            <w:r w:rsidR="001C7E28" w:rsidRPr="005B5418">
              <w:rPr>
                <w:rFonts w:cs="Arial"/>
              </w:rPr>
              <w:t>25</w:t>
            </w:r>
            <w:r w:rsidRPr="005B5418">
              <w:rPr>
                <w:rFonts w:cs="Arial"/>
              </w:rPr>
              <w:t>)</w:t>
            </w:r>
          </w:p>
        </w:tc>
        <w:tc>
          <w:tcPr>
            <w:tcW w:w="965" w:type="dxa"/>
          </w:tcPr>
          <w:p w14:paraId="57B41210" w14:textId="77777777" w:rsidR="00A629E5" w:rsidRPr="005B5418" w:rsidRDefault="00A629E5" w:rsidP="003B61E9">
            <w:pPr>
              <w:pStyle w:val="Table-Cell-CenterBoldBefore6ptAfter6pt"/>
              <w:rPr>
                <w:rFonts w:cs="Arial"/>
              </w:rPr>
            </w:pPr>
          </w:p>
        </w:tc>
        <w:tc>
          <w:tcPr>
            <w:tcW w:w="3211" w:type="dxa"/>
          </w:tcPr>
          <w:p w14:paraId="3225DD0F" w14:textId="77777777" w:rsidR="00A629E5" w:rsidRPr="005B5418" w:rsidRDefault="00A629E5" w:rsidP="003B61E9">
            <w:pPr>
              <w:pStyle w:val="Table-Cell-Left"/>
              <w:spacing w:line="240" w:lineRule="auto"/>
              <w:rPr>
                <w:rFonts w:cs="Arial"/>
              </w:rPr>
            </w:pPr>
          </w:p>
        </w:tc>
      </w:tr>
      <w:tr w:rsidR="00A629E5" w:rsidRPr="005B5418" w14:paraId="7819D259" w14:textId="77777777" w:rsidTr="006C5478">
        <w:trPr>
          <w:trHeight w:val="1115"/>
        </w:trPr>
        <w:tc>
          <w:tcPr>
            <w:tcW w:w="5400" w:type="dxa"/>
          </w:tcPr>
          <w:p w14:paraId="231CD190" w14:textId="77F5AA95" w:rsidR="00A629E5" w:rsidRPr="005B5418" w:rsidRDefault="00A629E5" w:rsidP="001C7E28">
            <w:pPr>
              <w:pStyle w:val="FAM-Table-outline"/>
              <w:widowControl/>
              <w:numPr>
                <w:ilvl w:val="0"/>
                <w:numId w:val="24"/>
              </w:numPr>
              <w:adjustRightInd/>
              <w:spacing w:line="240" w:lineRule="auto"/>
              <w:textAlignment w:val="auto"/>
              <w:rPr>
                <w:rFonts w:cs="Arial"/>
              </w:rPr>
            </w:pPr>
            <w:r w:rsidRPr="005B5418">
              <w:rPr>
                <w:rFonts w:cs="Arial"/>
              </w:rPr>
              <w:t>Is the amount of available borrowing and contract authority at the end of the period disclosed? (</w:t>
            </w:r>
            <w:r w:rsidR="00CE54F0" w:rsidRPr="005B5418">
              <w:rPr>
                <w:rFonts w:cs="Arial"/>
              </w:rPr>
              <w:t>SFFAS 7, par</w:t>
            </w:r>
            <w:r w:rsidR="00352171" w:rsidRPr="005B5418">
              <w:rPr>
                <w:rFonts w:cs="Arial"/>
              </w:rPr>
              <w:t>a</w:t>
            </w:r>
            <w:r w:rsidR="00447E88" w:rsidRPr="005B5418">
              <w:rPr>
                <w:rFonts w:cs="Arial"/>
              </w:rPr>
              <w:t>.</w:t>
            </w:r>
            <w:r w:rsidR="00CE54F0" w:rsidRPr="005B5418">
              <w:rPr>
                <w:rFonts w:cs="Arial"/>
              </w:rPr>
              <w:t xml:space="preserve"> 79(b); </w:t>
            </w:r>
            <w:r w:rsidRPr="005B5418">
              <w:rPr>
                <w:rFonts w:cs="Arial"/>
              </w:rPr>
              <w:t>A-136, section II.3.8.</w:t>
            </w:r>
            <w:r w:rsidR="001C7E28" w:rsidRPr="005B5418">
              <w:rPr>
                <w:rFonts w:cs="Arial"/>
              </w:rPr>
              <w:t>25</w:t>
            </w:r>
            <w:r w:rsidRPr="005B5418">
              <w:rPr>
                <w:rFonts w:cs="Arial"/>
              </w:rPr>
              <w:t>)</w:t>
            </w:r>
          </w:p>
        </w:tc>
        <w:tc>
          <w:tcPr>
            <w:tcW w:w="965" w:type="dxa"/>
          </w:tcPr>
          <w:p w14:paraId="23A03431" w14:textId="77777777" w:rsidR="00A629E5" w:rsidRPr="005B5418" w:rsidRDefault="00A629E5" w:rsidP="003B61E9">
            <w:pPr>
              <w:pStyle w:val="Table-Cell-CenterBoldBefore6ptAfter6pt"/>
              <w:rPr>
                <w:rFonts w:cs="Arial"/>
              </w:rPr>
            </w:pPr>
          </w:p>
        </w:tc>
        <w:tc>
          <w:tcPr>
            <w:tcW w:w="3211" w:type="dxa"/>
          </w:tcPr>
          <w:p w14:paraId="53FEFC17" w14:textId="77777777" w:rsidR="00A629E5" w:rsidRPr="005B5418" w:rsidRDefault="00A629E5" w:rsidP="003B61E9">
            <w:pPr>
              <w:spacing w:line="240" w:lineRule="auto"/>
              <w:rPr>
                <w:rFonts w:cs="Arial"/>
              </w:rPr>
            </w:pPr>
          </w:p>
        </w:tc>
      </w:tr>
      <w:tr w:rsidR="00A629E5" w:rsidRPr="005B5418" w14:paraId="0FC9E7A4" w14:textId="77777777" w:rsidTr="006C5478">
        <w:trPr>
          <w:trHeight w:val="1565"/>
        </w:trPr>
        <w:tc>
          <w:tcPr>
            <w:tcW w:w="5400" w:type="dxa"/>
          </w:tcPr>
          <w:p w14:paraId="1CE17098" w14:textId="06DAC250" w:rsidR="00A629E5" w:rsidRPr="005B5418" w:rsidRDefault="00A629E5" w:rsidP="001C7E28">
            <w:pPr>
              <w:pStyle w:val="FAM-Table-outline"/>
              <w:widowControl/>
              <w:numPr>
                <w:ilvl w:val="0"/>
                <w:numId w:val="24"/>
              </w:numPr>
              <w:adjustRightInd/>
              <w:spacing w:line="240" w:lineRule="auto"/>
              <w:textAlignment w:val="auto"/>
              <w:rPr>
                <w:rFonts w:cs="Arial"/>
              </w:rPr>
            </w:pPr>
            <w:r w:rsidRPr="005B5418">
              <w:rPr>
                <w:rFonts w:cs="Arial"/>
              </w:rPr>
              <w:t>Is the amount of budgetary resources obligated for undelivered orders at the end of the period separately disclos</w:t>
            </w:r>
            <w:r w:rsidR="008D0E86" w:rsidRPr="005B5418">
              <w:rPr>
                <w:rFonts w:cs="Arial"/>
              </w:rPr>
              <w:t>ed for</w:t>
            </w:r>
            <w:r w:rsidRPr="005B5418">
              <w:rPr>
                <w:rFonts w:cs="Arial"/>
              </w:rPr>
              <w:t xml:space="preserve"> </w:t>
            </w:r>
            <w:r w:rsidR="00C51618" w:rsidRPr="005B5418">
              <w:rPr>
                <w:rFonts w:cs="Arial"/>
              </w:rPr>
              <w:t>paid and unpaid amounts for</w:t>
            </w:r>
            <w:r w:rsidR="00023353" w:rsidRPr="005B5418">
              <w:rPr>
                <w:rFonts w:cs="Arial"/>
              </w:rPr>
              <w:t xml:space="preserve"> both</w:t>
            </w:r>
            <w:r w:rsidR="00C51618" w:rsidRPr="005B5418">
              <w:rPr>
                <w:rFonts w:cs="Arial"/>
              </w:rPr>
              <w:t xml:space="preserve"> </w:t>
            </w:r>
            <w:r w:rsidR="00447E88" w:rsidRPr="005B5418">
              <w:rPr>
                <w:rFonts w:cs="Arial"/>
              </w:rPr>
              <w:t>f</w:t>
            </w:r>
            <w:r w:rsidRPr="005B5418">
              <w:rPr>
                <w:rFonts w:cs="Arial"/>
              </w:rPr>
              <w:t>ederal</w:t>
            </w:r>
            <w:r w:rsidR="00C51618" w:rsidRPr="005B5418">
              <w:rPr>
                <w:rFonts w:cs="Arial"/>
              </w:rPr>
              <w:t xml:space="preserve"> and </w:t>
            </w:r>
            <w:r w:rsidRPr="005B5418">
              <w:rPr>
                <w:rFonts w:cs="Arial"/>
              </w:rPr>
              <w:t>nonfederal</w:t>
            </w:r>
            <w:r w:rsidR="00C51618" w:rsidRPr="005B5418">
              <w:rPr>
                <w:rFonts w:cs="Arial"/>
              </w:rPr>
              <w:t xml:space="preserve"> orders</w:t>
            </w:r>
            <w:r w:rsidRPr="005B5418">
              <w:rPr>
                <w:rFonts w:cs="Arial"/>
              </w:rPr>
              <w:t>? (A-136, section II.3.8.</w:t>
            </w:r>
            <w:r w:rsidR="001C7E28" w:rsidRPr="005B5418">
              <w:rPr>
                <w:rFonts w:cs="Arial"/>
              </w:rPr>
              <w:t>25</w:t>
            </w:r>
            <w:r w:rsidRPr="005B5418">
              <w:rPr>
                <w:rFonts w:cs="Arial"/>
              </w:rPr>
              <w:t>)</w:t>
            </w:r>
          </w:p>
        </w:tc>
        <w:tc>
          <w:tcPr>
            <w:tcW w:w="965" w:type="dxa"/>
          </w:tcPr>
          <w:p w14:paraId="0FA93916" w14:textId="77777777" w:rsidR="00A629E5" w:rsidRPr="005B5418" w:rsidRDefault="00A629E5" w:rsidP="003B61E9">
            <w:pPr>
              <w:pStyle w:val="Table-Cell-CenterBoldBefore6ptAfter6pt"/>
              <w:rPr>
                <w:rFonts w:cs="Arial"/>
              </w:rPr>
            </w:pPr>
          </w:p>
        </w:tc>
        <w:tc>
          <w:tcPr>
            <w:tcW w:w="3211" w:type="dxa"/>
          </w:tcPr>
          <w:p w14:paraId="69FFA781" w14:textId="77777777" w:rsidR="00A629E5" w:rsidRPr="005B5418" w:rsidRDefault="00A629E5" w:rsidP="003B61E9">
            <w:pPr>
              <w:spacing w:line="240" w:lineRule="auto"/>
              <w:rPr>
                <w:rFonts w:cs="Arial"/>
              </w:rPr>
            </w:pPr>
          </w:p>
        </w:tc>
      </w:tr>
      <w:tr w:rsidR="00A629E5" w:rsidRPr="005B5418" w14:paraId="5AC264E5" w14:textId="77777777" w:rsidTr="006C5478">
        <w:trPr>
          <w:trHeight w:val="1196"/>
        </w:trPr>
        <w:tc>
          <w:tcPr>
            <w:tcW w:w="5400" w:type="dxa"/>
          </w:tcPr>
          <w:p w14:paraId="7DBF4D3D" w14:textId="1A5E261C" w:rsidR="00A629E5" w:rsidRPr="005B5418" w:rsidRDefault="00A629E5" w:rsidP="001C7E28">
            <w:pPr>
              <w:pStyle w:val="FAM-Table-outline"/>
              <w:widowControl/>
              <w:numPr>
                <w:ilvl w:val="0"/>
                <w:numId w:val="24"/>
              </w:numPr>
              <w:adjustRightInd/>
              <w:spacing w:line="240" w:lineRule="auto"/>
              <w:textAlignment w:val="auto"/>
              <w:rPr>
                <w:rFonts w:cs="Arial"/>
              </w:rPr>
            </w:pPr>
            <w:r w:rsidRPr="005B5418">
              <w:rPr>
                <w:rFonts w:cs="Arial"/>
              </w:rPr>
              <w:t>Does the entity disclose the existence, purpose, and availability of permanent indefinite appropriations? (</w:t>
            </w:r>
            <w:r w:rsidR="00C4331A" w:rsidRPr="005B5418">
              <w:rPr>
                <w:rFonts w:cs="Arial"/>
              </w:rPr>
              <w:t>SFFAS 7, par</w:t>
            </w:r>
            <w:r w:rsidR="003E6D24" w:rsidRPr="005B5418">
              <w:rPr>
                <w:rFonts w:cs="Arial"/>
              </w:rPr>
              <w:t>a</w:t>
            </w:r>
            <w:r w:rsidR="00447E88" w:rsidRPr="005B5418">
              <w:rPr>
                <w:rFonts w:cs="Arial"/>
              </w:rPr>
              <w:t>.</w:t>
            </w:r>
            <w:r w:rsidR="00C4331A" w:rsidRPr="005B5418">
              <w:rPr>
                <w:rFonts w:cs="Arial"/>
              </w:rPr>
              <w:t xml:space="preserve"> 79</w:t>
            </w:r>
            <w:r w:rsidR="008C7462" w:rsidRPr="005B5418">
              <w:rPr>
                <w:rFonts w:cs="Arial"/>
              </w:rPr>
              <w:t>(e)</w:t>
            </w:r>
            <w:r w:rsidR="008D0E86" w:rsidRPr="005B5418">
              <w:rPr>
                <w:rFonts w:cs="Arial"/>
              </w:rPr>
              <w:t>;</w:t>
            </w:r>
            <w:r w:rsidR="008C7462" w:rsidRPr="005B5418">
              <w:rPr>
                <w:rFonts w:cs="Arial"/>
              </w:rPr>
              <w:t xml:space="preserve"> </w:t>
            </w:r>
            <w:r w:rsidRPr="005B5418">
              <w:rPr>
                <w:rFonts w:cs="Arial"/>
              </w:rPr>
              <w:t>A-136, section II.3.8.</w:t>
            </w:r>
            <w:r w:rsidR="001C7E28" w:rsidRPr="005B5418">
              <w:rPr>
                <w:rFonts w:cs="Arial"/>
              </w:rPr>
              <w:t>25</w:t>
            </w:r>
            <w:r w:rsidRPr="005B5418">
              <w:rPr>
                <w:rFonts w:cs="Arial"/>
              </w:rPr>
              <w:t>)</w:t>
            </w:r>
          </w:p>
        </w:tc>
        <w:tc>
          <w:tcPr>
            <w:tcW w:w="965" w:type="dxa"/>
          </w:tcPr>
          <w:p w14:paraId="2F03278E" w14:textId="77777777" w:rsidR="00A629E5" w:rsidRPr="005B5418" w:rsidRDefault="00A629E5" w:rsidP="003B61E9">
            <w:pPr>
              <w:pStyle w:val="Table-Cell-CenterBoldBefore6ptAfter6pt"/>
              <w:rPr>
                <w:rFonts w:cs="Arial"/>
              </w:rPr>
            </w:pPr>
          </w:p>
        </w:tc>
        <w:tc>
          <w:tcPr>
            <w:tcW w:w="3211" w:type="dxa"/>
          </w:tcPr>
          <w:p w14:paraId="271138F2" w14:textId="77777777" w:rsidR="00A629E5" w:rsidRPr="005B5418" w:rsidRDefault="00A629E5" w:rsidP="003B61E9">
            <w:pPr>
              <w:spacing w:line="240" w:lineRule="auto"/>
              <w:rPr>
                <w:rFonts w:cs="Arial"/>
              </w:rPr>
            </w:pPr>
          </w:p>
        </w:tc>
      </w:tr>
      <w:tr w:rsidR="00A629E5" w:rsidRPr="005B5418" w14:paraId="7B24B24A" w14:textId="77777777" w:rsidTr="006C5478">
        <w:trPr>
          <w:trHeight w:val="1556"/>
        </w:trPr>
        <w:tc>
          <w:tcPr>
            <w:tcW w:w="5400" w:type="dxa"/>
          </w:tcPr>
          <w:p w14:paraId="1A29E6BC" w14:textId="28E8AEC7" w:rsidR="00A629E5" w:rsidRPr="005B5418" w:rsidRDefault="00A629E5" w:rsidP="001C7E28">
            <w:pPr>
              <w:pStyle w:val="FAM-Table-outline"/>
              <w:widowControl/>
              <w:numPr>
                <w:ilvl w:val="0"/>
                <w:numId w:val="24"/>
              </w:numPr>
              <w:adjustRightInd/>
              <w:spacing w:line="240" w:lineRule="auto"/>
              <w:textAlignment w:val="auto"/>
              <w:rPr>
                <w:rFonts w:cs="Arial"/>
              </w:rPr>
            </w:pPr>
            <w:r w:rsidRPr="005B5418">
              <w:rPr>
                <w:rFonts w:cs="Arial"/>
              </w:rPr>
              <w:t>Does the entity disclose information about legal arrangements affecting the use of unobligated balances of budget authority</w:t>
            </w:r>
            <w:r w:rsidR="003E6D24" w:rsidRPr="005B5418">
              <w:rPr>
                <w:rFonts w:cs="Arial"/>
              </w:rPr>
              <w:t>,</w:t>
            </w:r>
            <w:r w:rsidRPr="005B5418">
              <w:rPr>
                <w:rFonts w:cs="Arial"/>
              </w:rPr>
              <w:t xml:space="preserve"> such as time limits, purpose, and obligation limitations? (</w:t>
            </w:r>
            <w:r w:rsidR="008C7462" w:rsidRPr="005B5418">
              <w:rPr>
                <w:rFonts w:cs="Arial"/>
              </w:rPr>
              <w:t>SFFAS 7, par</w:t>
            </w:r>
            <w:r w:rsidR="003E6D24" w:rsidRPr="005B5418">
              <w:rPr>
                <w:rFonts w:cs="Arial"/>
              </w:rPr>
              <w:t>a</w:t>
            </w:r>
            <w:r w:rsidR="00447E88" w:rsidRPr="005B5418">
              <w:rPr>
                <w:rFonts w:cs="Arial"/>
              </w:rPr>
              <w:t>.</w:t>
            </w:r>
            <w:r w:rsidR="008C7462" w:rsidRPr="005B5418">
              <w:rPr>
                <w:rFonts w:cs="Arial"/>
              </w:rPr>
              <w:t xml:space="preserve"> 79(f)</w:t>
            </w:r>
            <w:r w:rsidR="00B962CB" w:rsidRPr="005B5418">
              <w:rPr>
                <w:rFonts w:cs="Arial"/>
              </w:rPr>
              <w:t>;</w:t>
            </w:r>
            <w:r w:rsidR="008C7462" w:rsidRPr="005B5418">
              <w:rPr>
                <w:rFonts w:cs="Arial"/>
              </w:rPr>
              <w:t xml:space="preserve"> </w:t>
            </w:r>
            <w:r w:rsidRPr="005B5418">
              <w:rPr>
                <w:rFonts w:cs="Arial"/>
              </w:rPr>
              <w:t>A-136, section II.3.8.</w:t>
            </w:r>
            <w:r w:rsidR="001C7E28" w:rsidRPr="005B5418">
              <w:rPr>
                <w:rFonts w:cs="Arial"/>
              </w:rPr>
              <w:t>25</w:t>
            </w:r>
            <w:r w:rsidRPr="005B5418">
              <w:rPr>
                <w:rFonts w:cs="Arial"/>
              </w:rPr>
              <w:t>)</w:t>
            </w:r>
          </w:p>
        </w:tc>
        <w:tc>
          <w:tcPr>
            <w:tcW w:w="965" w:type="dxa"/>
          </w:tcPr>
          <w:p w14:paraId="54857557" w14:textId="77777777" w:rsidR="00A629E5" w:rsidRPr="005B5418" w:rsidRDefault="00A629E5" w:rsidP="003B61E9">
            <w:pPr>
              <w:pStyle w:val="Table-Cell-CenterBoldBefore6ptAfter6pt"/>
              <w:rPr>
                <w:rFonts w:cs="Arial"/>
              </w:rPr>
            </w:pPr>
          </w:p>
        </w:tc>
        <w:tc>
          <w:tcPr>
            <w:tcW w:w="3211" w:type="dxa"/>
          </w:tcPr>
          <w:p w14:paraId="1EF3698B" w14:textId="77777777" w:rsidR="00A629E5" w:rsidRPr="005B5418" w:rsidRDefault="00A629E5" w:rsidP="003B61E9">
            <w:pPr>
              <w:spacing w:line="240" w:lineRule="auto"/>
              <w:rPr>
                <w:rFonts w:cs="Arial"/>
              </w:rPr>
            </w:pPr>
          </w:p>
        </w:tc>
      </w:tr>
      <w:tr w:rsidR="00A629E5" w:rsidRPr="005B5418" w14:paraId="59512D33" w14:textId="77777777" w:rsidTr="006C5478">
        <w:trPr>
          <w:trHeight w:val="1457"/>
        </w:trPr>
        <w:tc>
          <w:tcPr>
            <w:tcW w:w="5400" w:type="dxa"/>
          </w:tcPr>
          <w:p w14:paraId="2F3DD216" w14:textId="77777777" w:rsidR="00A629E5" w:rsidRPr="005B5418" w:rsidRDefault="00A629E5" w:rsidP="00343610">
            <w:pPr>
              <w:pStyle w:val="FAM-Table-outline"/>
              <w:widowControl/>
              <w:numPr>
                <w:ilvl w:val="0"/>
                <w:numId w:val="24"/>
              </w:numPr>
              <w:adjustRightInd/>
              <w:spacing w:line="240" w:lineRule="auto"/>
              <w:textAlignment w:val="auto"/>
              <w:rPr>
                <w:rFonts w:cs="Arial"/>
              </w:rPr>
            </w:pPr>
            <w:r w:rsidRPr="005B5418">
              <w:rPr>
                <w:rFonts w:cs="Arial"/>
              </w:rPr>
              <w:lastRenderedPageBreak/>
              <w:t>Does the entity disclosure identify and explain material differences between</w:t>
            </w:r>
          </w:p>
          <w:p w14:paraId="71B15EE5" w14:textId="7A95E0FF" w:rsidR="00A629E5" w:rsidRPr="005B5418" w:rsidRDefault="00447E88" w:rsidP="005425ED">
            <w:pPr>
              <w:pStyle w:val="FAM-Table-outline2"/>
              <w:numPr>
                <w:ilvl w:val="1"/>
                <w:numId w:val="65"/>
              </w:numPr>
              <w:spacing w:line="240" w:lineRule="auto"/>
              <w:ind w:left="1140" w:hanging="443"/>
            </w:pPr>
            <w:r w:rsidRPr="005B5418">
              <w:t>t</w:t>
            </w:r>
            <w:r w:rsidR="00A629E5" w:rsidRPr="005B5418">
              <w:t xml:space="preserve">he budgetary resources, </w:t>
            </w:r>
            <w:r w:rsidR="00F17A8B" w:rsidRPr="005B5418">
              <w:t xml:space="preserve">new </w:t>
            </w:r>
            <w:r w:rsidR="00A629E5" w:rsidRPr="005B5418">
              <w:t>obligations,</w:t>
            </w:r>
            <w:r w:rsidR="00F17A8B" w:rsidRPr="005B5418">
              <w:t xml:space="preserve"> upward adjustments,</w:t>
            </w:r>
            <w:r w:rsidR="00A629E5" w:rsidRPr="005B5418">
              <w:t xml:space="preserve"> and net outlay amounts from the prior year SBR and the actual amounts from the “Detailed Budget Estimates by Agency” found in the Appendix of the Budget and </w:t>
            </w:r>
          </w:p>
          <w:p w14:paraId="3C926D47" w14:textId="0185E163" w:rsidR="00A629E5" w:rsidRPr="005B5418" w:rsidRDefault="00447E88" w:rsidP="005425ED">
            <w:pPr>
              <w:pStyle w:val="FAM-Table-outline2"/>
              <w:numPr>
                <w:ilvl w:val="1"/>
                <w:numId w:val="65"/>
              </w:numPr>
              <w:spacing w:line="240" w:lineRule="auto"/>
              <w:ind w:left="1140" w:hanging="443"/>
              <w:rPr>
                <w:rFonts w:cs="Arial"/>
              </w:rPr>
            </w:pPr>
            <w:r w:rsidRPr="005B5418">
              <w:t>t</w:t>
            </w:r>
            <w:r w:rsidR="00A629E5" w:rsidRPr="005B5418">
              <w:t>he distributed offsetting receipts amount from the prior year SBR and the actual amount from the “Federal Budget by Agency and Account” in the Analytical Perspectives of the Budget</w:t>
            </w:r>
            <w:r w:rsidRPr="005B5418">
              <w:t xml:space="preserve">? </w:t>
            </w:r>
            <w:r w:rsidR="00A629E5" w:rsidRPr="005B5418">
              <w:t>(A-136, section II.3.8.</w:t>
            </w:r>
            <w:r w:rsidR="001C7E28" w:rsidRPr="005B5418">
              <w:t>25</w:t>
            </w:r>
            <w:r w:rsidR="00A629E5" w:rsidRPr="005B5418">
              <w:t>)</w:t>
            </w:r>
          </w:p>
        </w:tc>
        <w:tc>
          <w:tcPr>
            <w:tcW w:w="965" w:type="dxa"/>
          </w:tcPr>
          <w:p w14:paraId="587720D2" w14:textId="77777777" w:rsidR="00A629E5" w:rsidRPr="005B5418" w:rsidRDefault="00A629E5" w:rsidP="003B61E9">
            <w:pPr>
              <w:pStyle w:val="Table-Cell-CenterBoldBefore6ptAfter6pt"/>
              <w:rPr>
                <w:rFonts w:cs="Arial"/>
              </w:rPr>
            </w:pPr>
          </w:p>
        </w:tc>
        <w:tc>
          <w:tcPr>
            <w:tcW w:w="3211" w:type="dxa"/>
          </w:tcPr>
          <w:p w14:paraId="6D3304EF" w14:textId="77777777" w:rsidR="00A629E5" w:rsidRPr="005B5418" w:rsidRDefault="00A629E5" w:rsidP="003B61E9">
            <w:pPr>
              <w:spacing w:line="240" w:lineRule="auto"/>
              <w:rPr>
                <w:rFonts w:cs="Arial"/>
              </w:rPr>
            </w:pPr>
          </w:p>
        </w:tc>
      </w:tr>
      <w:tr w:rsidR="0033262C" w:rsidRPr="005B5418" w14:paraId="52544346" w14:textId="77777777" w:rsidTr="006C5478">
        <w:trPr>
          <w:trHeight w:val="1457"/>
        </w:trPr>
        <w:tc>
          <w:tcPr>
            <w:tcW w:w="5400" w:type="dxa"/>
          </w:tcPr>
          <w:p w14:paraId="1A3FD86B" w14:textId="40D383AC" w:rsidR="0033262C" w:rsidRPr="005B5418" w:rsidRDefault="0033262C" w:rsidP="00343610">
            <w:pPr>
              <w:pStyle w:val="FAM-Table-outline"/>
              <w:widowControl/>
              <w:numPr>
                <w:ilvl w:val="0"/>
                <w:numId w:val="24"/>
              </w:numPr>
              <w:adjustRightInd/>
              <w:spacing w:line="240" w:lineRule="auto"/>
              <w:textAlignment w:val="auto"/>
              <w:rPr>
                <w:rFonts w:cs="Arial"/>
              </w:rPr>
            </w:pPr>
            <w:r w:rsidRPr="005B5418">
              <w:rPr>
                <w:rFonts w:eastAsia="Arial Unicode MS"/>
              </w:rPr>
              <w:t>Does the entity disclose the nature of permanent indefinite appropriations and legal arrangements affecting the use of unobligated balances in either</w:t>
            </w:r>
            <w:r w:rsidR="00C40E56" w:rsidRPr="005B5418">
              <w:rPr>
                <w:rFonts w:eastAsia="Arial Unicode MS"/>
              </w:rPr>
              <w:t xml:space="preserve"> the Reporting Entity and Summary of Significant Accounting Policies</w:t>
            </w:r>
            <w:r w:rsidRPr="005B5418">
              <w:rPr>
                <w:rFonts w:eastAsia="Arial Unicode MS"/>
              </w:rPr>
              <w:t xml:space="preserve"> </w:t>
            </w:r>
            <w:r w:rsidR="00C40E56" w:rsidRPr="005B5418">
              <w:rPr>
                <w:rFonts w:eastAsia="Arial Unicode MS"/>
              </w:rPr>
              <w:t>note</w:t>
            </w:r>
            <w:r w:rsidRPr="005B5418">
              <w:rPr>
                <w:rFonts w:eastAsia="Arial Unicode MS"/>
              </w:rPr>
              <w:t xml:space="preserve"> or a separate note to the SBR? (A-136, section II.3.5.6)</w:t>
            </w:r>
          </w:p>
        </w:tc>
        <w:tc>
          <w:tcPr>
            <w:tcW w:w="965" w:type="dxa"/>
          </w:tcPr>
          <w:p w14:paraId="1E5E4103" w14:textId="77777777" w:rsidR="0033262C" w:rsidRPr="005B5418" w:rsidRDefault="0033262C" w:rsidP="003B61E9">
            <w:pPr>
              <w:pStyle w:val="Table-Cell-CenterBoldBefore6ptAfter6pt"/>
              <w:rPr>
                <w:rFonts w:cs="Arial"/>
              </w:rPr>
            </w:pPr>
          </w:p>
        </w:tc>
        <w:tc>
          <w:tcPr>
            <w:tcW w:w="3211" w:type="dxa"/>
          </w:tcPr>
          <w:p w14:paraId="20F0D626" w14:textId="77777777" w:rsidR="0033262C" w:rsidRPr="005B5418" w:rsidRDefault="0033262C" w:rsidP="003B61E9">
            <w:pPr>
              <w:spacing w:line="240" w:lineRule="auto"/>
              <w:rPr>
                <w:rFonts w:cs="Arial"/>
              </w:rPr>
            </w:pPr>
          </w:p>
        </w:tc>
      </w:tr>
      <w:tr w:rsidR="00A629E5" w:rsidRPr="005B5418" w14:paraId="64AB17B6" w14:textId="77777777" w:rsidTr="006C5478">
        <w:trPr>
          <w:trHeight w:val="1709"/>
        </w:trPr>
        <w:tc>
          <w:tcPr>
            <w:tcW w:w="5400" w:type="dxa"/>
          </w:tcPr>
          <w:p w14:paraId="05A5BB9C" w14:textId="1436E117" w:rsidR="00A629E5" w:rsidRPr="005B5418" w:rsidRDefault="00A629E5" w:rsidP="00343610">
            <w:pPr>
              <w:pStyle w:val="FAM-Table-outline"/>
              <w:widowControl/>
              <w:numPr>
                <w:ilvl w:val="0"/>
                <w:numId w:val="24"/>
              </w:numPr>
              <w:adjustRightInd/>
              <w:spacing w:line="240" w:lineRule="auto"/>
              <w:textAlignment w:val="auto"/>
              <w:rPr>
                <w:rFonts w:cs="Arial"/>
              </w:rPr>
            </w:pPr>
            <w:r w:rsidRPr="005B5418">
              <w:rPr>
                <w:rFonts w:cs="Arial"/>
              </w:rPr>
              <w:t>Does the agency disclose that the Budget with the actual amounts for the current year will be available at a later date? (A-136, section II.3.8.</w:t>
            </w:r>
            <w:r w:rsidR="001C7E28" w:rsidRPr="005B5418">
              <w:rPr>
                <w:rFonts w:cs="Arial"/>
              </w:rPr>
              <w:t>25</w:t>
            </w:r>
            <w:r w:rsidRPr="005B5418">
              <w:rPr>
                <w:rFonts w:cs="Arial"/>
              </w:rPr>
              <w:t>)</w:t>
            </w:r>
          </w:p>
          <w:p w14:paraId="421B07B8" w14:textId="7CE6439E" w:rsidR="00B1570E" w:rsidRPr="005B5418" w:rsidRDefault="00B1570E" w:rsidP="00744642">
            <w:pPr>
              <w:pStyle w:val="FAM-Table-outline"/>
              <w:widowControl/>
              <w:numPr>
                <w:ilvl w:val="0"/>
                <w:numId w:val="0"/>
              </w:numPr>
              <w:adjustRightInd/>
              <w:spacing w:line="240" w:lineRule="auto"/>
              <w:ind w:left="690"/>
              <w:textAlignment w:val="auto"/>
              <w:rPr>
                <w:rFonts w:cs="Arial"/>
              </w:rPr>
            </w:pPr>
            <w:r w:rsidRPr="005B5418">
              <w:rPr>
                <w:rFonts w:cs="Arial"/>
              </w:rPr>
              <w:t>[See illustrative schedule in A-136</w:t>
            </w:r>
            <w:r w:rsidR="00E93D81" w:rsidRPr="005B5418">
              <w:rPr>
                <w:rFonts w:cs="Arial"/>
              </w:rPr>
              <w:t>.</w:t>
            </w:r>
            <w:r w:rsidRPr="005B5418">
              <w:rPr>
                <w:rFonts w:cs="Arial"/>
              </w:rPr>
              <w:t>]</w:t>
            </w:r>
          </w:p>
        </w:tc>
        <w:tc>
          <w:tcPr>
            <w:tcW w:w="965" w:type="dxa"/>
          </w:tcPr>
          <w:p w14:paraId="2203F297" w14:textId="77777777" w:rsidR="00A629E5" w:rsidRPr="005B5418" w:rsidRDefault="00A629E5" w:rsidP="003B61E9">
            <w:pPr>
              <w:pStyle w:val="Table-Cell-CenterBoldBefore6ptAfter6pt"/>
              <w:rPr>
                <w:rFonts w:cs="Arial"/>
              </w:rPr>
            </w:pPr>
          </w:p>
        </w:tc>
        <w:tc>
          <w:tcPr>
            <w:tcW w:w="3211" w:type="dxa"/>
          </w:tcPr>
          <w:p w14:paraId="0C7E4F0B" w14:textId="77777777" w:rsidR="00A629E5" w:rsidRPr="005B5418" w:rsidRDefault="00A629E5" w:rsidP="003B61E9">
            <w:pPr>
              <w:spacing w:line="240" w:lineRule="auto"/>
              <w:rPr>
                <w:rFonts w:cs="Arial"/>
              </w:rPr>
            </w:pPr>
          </w:p>
        </w:tc>
      </w:tr>
      <w:tr w:rsidR="00A629E5" w:rsidRPr="005B5418" w14:paraId="60E508EF" w14:textId="77777777" w:rsidTr="006C5478">
        <w:trPr>
          <w:trHeight w:val="1376"/>
        </w:trPr>
        <w:tc>
          <w:tcPr>
            <w:tcW w:w="5400" w:type="dxa"/>
          </w:tcPr>
          <w:p w14:paraId="4C0E50BB" w14:textId="1A2ECDAC" w:rsidR="00A629E5" w:rsidRPr="005B5418" w:rsidRDefault="00A629E5" w:rsidP="00F93E71">
            <w:pPr>
              <w:pStyle w:val="FAM-Table-outline"/>
              <w:widowControl/>
              <w:numPr>
                <w:ilvl w:val="0"/>
                <w:numId w:val="24"/>
              </w:numPr>
              <w:adjustRightInd/>
              <w:spacing w:line="240" w:lineRule="auto"/>
              <w:textAlignment w:val="auto"/>
              <w:rPr>
                <w:rFonts w:cs="Arial"/>
              </w:rPr>
            </w:pPr>
            <w:r w:rsidRPr="005B5418">
              <w:rPr>
                <w:rFonts w:cs="Arial"/>
              </w:rPr>
              <w:t xml:space="preserve">Does the entity disclose the amount of any capital </w:t>
            </w:r>
            <w:r w:rsidR="008C7462" w:rsidRPr="005B5418">
              <w:rPr>
                <w:rFonts w:cs="Arial"/>
              </w:rPr>
              <w:t xml:space="preserve">infusion </w:t>
            </w:r>
            <w:r w:rsidRPr="005B5418">
              <w:rPr>
                <w:rFonts w:cs="Arial"/>
              </w:rPr>
              <w:t>received</w:t>
            </w:r>
            <w:r w:rsidR="00DC2B7D" w:rsidRPr="005B5418">
              <w:rPr>
                <w:rFonts w:cs="Arial"/>
              </w:rPr>
              <w:t xml:space="preserve">, </w:t>
            </w:r>
            <w:r w:rsidRPr="005B5418">
              <w:rPr>
                <w:rFonts w:cs="Arial"/>
              </w:rPr>
              <w:t>during the reporting period</w:t>
            </w:r>
            <w:r w:rsidR="006C2496" w:rsidRPr="005B5418">
              <w:rPr>
                <w:rFonts w:cs="Arial"/>
              </w:rPr>
              <w:t xml:space="preserve"> in accordance with SFFAS 7, paragraph 79</w:t>
            </w:r>
            <w:r w:rsidR="005A6BBB" w:rsidRPr="005B5418">
              <w:rPr>
                <w:rFonts w:cs="Arial"/>
              </w:rPr>
              <w:t>(i)</w:t>
            </w:r>
            <w:r w:rsidRPr="005B5418">
              <w:rPr>
                <w:rFonts w:cs="Arial"/>
              </w:rPr>
              <w:t xml:space="preserve">? </w:t>
            </w:r>
          </w:p>
        </w:tc>
        <w:tc>
          <w:tcPr>
            <w:tcW w:w="965" w:type="dxa"/>
          </w:tcPr>
          <w:p w14:paraId="5C3BFB03" w14:textId="77777777" w:rsidR="00A629E5" w:rsidRPr="005B5418" w:rsidRDefault="00A629E5" w:rsidP="003B61E9">
            <w:pPr>
              <w:pStyle w:val="Table-Cell-CenterBoldBefore6ptAfter6pt"/>
              <w:rPr>
                <w:rFonts w:cs="Arial"/>
              </w:rPr>
            </w:pPr>
          </w:p>
        </w:tc>
        <w:tc>
          <w:tcPr>
            <w:tcW w:w="3211" w:type="dxa"/>
          </w:tcPr>
          <w:p w14:paraId="04197D35" w14:textId="77777777" w:rsidR="00A629E5" w:rsidRPr="005B5418" w:rsidRDefault="00A629E5" w:rsidP="003B61E9">
            <w:pPr>
              <w:spacing w:line="240" w:lineRule="auto"/>
              <w:rPr>
                <w:rFonts w:cs="Arial"/>
              </w:rPr>
            </w:pPr>
          </w:p>
        </w:tc>
      </w:tr>
    </w:tbl>
    <w:p w14:paraId="4D9498E2" w14:textId="77777777" w:rsidR="00A629E5" w:rsidRPr="005B5418" w:rsidRDefault="00A629E5" w:rsidP="003B61E9">
      <w:pPr>
        <w:spacing w:line="240" w:lineRule="auto"/>
        <w:rPr>
          <w:rFonts w:cs="Arial"/>
        </w:rPr>
      </w:pPr>
    </w:p>
    <w:p w14:paraId="58B9EAB2" w14:textId="77777777" w:rsidR="00A629E5" w:rsidRPr="005B5418" w:rsidRDefault="00A629E5"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A629E5" w:rsidRPr="005B5418" w14:paraId="1E53257F" w14:textId="77777777" w:rsidTr="00A94CBC">
        <w:trPr>
          <w:tblHeader/>
        </w:trPr>
        <w:tc>
          <w:tcPr>
            <w:tcW w:w="5400" w:type="dxa"/>
          </w:tcPr>
          <w:p w14:paraId="6F6D8B46" w14:textId="109507DE" w:rsidR="00A629E5" w:rsidRPr="005B5418" w:rsidRDefault="00417E77" w:rsidP="00E152ED">
            <w:pPr>
              <w:pStyle w:val="Heading4"/>
              <w:spacing w:before="60" w:after="60" w:line="240" w:lineRule="auto"/>
              <w:jc w:val="left"/>
              <w:rPr>
                <w:b/>
                <w:u w:val="none"/>
              </w:rPr>
            </w:pPr>
            <w:bookmarkStart w:id="216" w:name="_II.3.8.35_Incidental_Custodial"/>
            <w:bookmarkStart w:id="217" w:name="_Ref8657149"/>
            <w:bookmarkEnd w:id="216"/>
            <w:r w:rsidRPr="005B5418">
              <w:rPr>
                <w:b/>
                <w:u w:val="none"/>
              </w:rPr>
              <w:lastRenderedPageBreak/>
              <w:t>II.3.8.</w:t>
            </w:r>
            <w:r w:rsidR="00E152ED" w:rsidRPr="005B5418">
              <w:rPr>
                <w:b/>
                <w:u w:val="none"/>
              </w:rPr>
              <w:t xml:space="preserve">26 </w:t>
            </w:r>
            <w:r w:rsidRPr="005B5418">
              <w:rPr>
                <w:b/>
                <w:u w:val="none"/>
              </w:rPr>
              <w:t xml:space="preserve">Incidental </w:t>
            </w:r>
            <w:r w:rsidR="00A629E5" w:rsidRPr="005B5418">
              <w:rPr>
                <w:b/>
                <w:u w:val="none"/>
              </w:rPr>
              <w:t xml:space="preserve">Custodial </w:t>
            </w:r>
            <w:bookmarkEnd w:id="217"/>
            <w:r w:rsidRPr="005B5418">
              <w:rPr>
                <w:b/>
                <w:u w:val="none"/>
              </w:rPr>
              <w:t>Collections</w:t>
            </w:r>
            <w:r w:rsidR="00A629E5" w:rsidRPr="005B5418">
              <w:rPr>
                <w:b/>
                <w:u w:val="none"/>
              </w:rPr>
              <w:t xml:space="preserve"> </w:t>
            </w:r>
          </w:p>
        </w:tc>
        <w:tc>
          <w:tcPr>
            <w:tcW w:w="965" w:type="dxa"/>
          </w:tcPr>
          <w:p w14:paraId="5884E9C0" w14:textId="77777777" w:rsidR="00A629E5" w:rsidRPr="005B5418" w:rsidRDefault="00A629E5" w:rsidP="00A94CBC">
            <w:pPr>
              <w:pStyle w:val="TableCellCenter"/>
              <w:jc w:val="left"/>
            </w:pPr>
            <w:r w:rsidRPr="005B5418">
              <w:t>Yes, No, or N/A</w:t>
            </w:r>
          </w:p>
        </w:tc>
        <w:tc>
          <w:tcPr>
            <w:tcW w:w="3211" w:type="dxa"/>
          </w:tcPr>
          <w:p w14:paraId="7E08452F" w14:textId="433D3B7C" w:rsidR="00A629E5" w:rsidRPr="005B5418" w:rsidRDefault="00A629E5" w:rsidP="00A94CBC">
            <w:pPr>
              <w:pStyle w:val="TableCellCenter"/>
              <w:jc w:val="left"/>
            </w:pPr>
            <w:r w:rsidRPr="005B5418">
              <w:t xml:space="preserve">Explanation </w:t>
            </w:r>
            <w:r w:rsidR="00D808F2" w:rsidRPr="005B5418">
              <w:t>and</w:t>
            </w:r>
            <w:r w:rsidRPr="005B5418">
              <w:t xml:space="preserve"> Reference</w:t>
            </w:r>
          </w:p>
        </w:tc>
      </w:tr>
      <w:tr w:rsidR="001E6C06" w:rsidRPr="005B5418" w14:paraId="78C9CBE9" w14:textId="77777777" w:rsidTr="0038293D">
        <w:trPr>
          <w:trHeight w:val="521"/>
        </w:trPr>
        <w:tc>
          <w:tcPr>
            <w:tcW w:w="9576" w:type="dxa"/>
            <w:gridSpan w:val="3"/>
          </w:tcPr>
          <w:p w14:paraId="76D231B4" w14:textId="77777777" w:rsidR="001E6C06" w:rsidRPr="005B5418" w:rsidRDefault="001E6C06" w:rsidP="008848DA">
            <w:pPr>
              <w:spacing w:before="60" w:after="60" w:line="240" w:lineRule="auto"/>
              <w:rPr>
                <w:rFonts w:ascii="Arial" w:hAnsi="Arial" w:cs="Arial"/>
                <w:b/>
              </w:rPr>
            </w:pPr>
            <w:r w:rsidRPr="005B5418">
              <w:rPr>
                <w:rFonts w:ascii="Arial" w:hAnsi="Arial" w:cs="Arial"/>
                <w:b/>
              </w:rPr>
              <w:t>Disclosure</w:t>
            </w:r>
          </w:p>
        </w:tc>
      </w:tr>
      <w:tr w:rsidR="00A629E5" w:rsidRPr="005B5418" w14:paraId="16743E29" w14:textId="77777777" w:rsidTr="006C5478">
        <w:trPr>
          <w:trHeight w:val="2160"/>
        </w:trPr>
        <w:tc>
          <w:tcPr>
            <w:tcW w:w="5400" w:type="dxa"/>
          </w:tcPr>
          <w:p w14:paraId="70A09DDB" w14:textId="6C6D88FD" w:rsidR="00A629E5" w:rsidRPr="005B5418" w:rsidRDefault="00A629E5" w:rsidP="00E152ED">
            <w:pPr>
              <w:pStyle w:val="FAM-Table-outline"/>
              <w:widowControl/>
              <w:numPr>
                <w:ilvl w:val="0"/>
                <w:numId w:val="25"/>
              </w:numPr>
              <w:adjustRightInd/>
              <w:spacing w:line="240" w:lineRule="auto"/>
              <w:textAlignment w:val="auto"/>
            </w:pPr>
            <w:r w:rsidRPr="005B5418">
              <w:t>If custodial revenues are incidental to the entity’s primary mission and are not reported separately on the Statement of Custodial Activity</w:t>
            </w:r>
            <w:r w:rsidR="00C6585D" w:rsidRPr="005B5418">
              <w:t xml:space="preserve"> or </w:t>
            </w:r>
            <w:r w:rsidR="00210A09" w:rsidRPr="005B5418">
              <w:t xml:space="preserve">on the </w:t>
            </w:r>
            <w:r w:rsidR="00FB66C6" w:rsidRPr="005B5418">
              <w:t xml:space="preserve">Statement of Changes in Net Position (Option </w:t>
            </w:r>
            <w:r w:rsidR="00E152ED" w:rsidRPr="005B5418">
              <w:t>B</w:t>
            </w:r>
            <w:r w:rsidR="00FB66C6" w:rsidRPr="005B5418">
              <w:t>)</w:t>
            </w:r>
            <w:r w:rsidRPr="005B5418">
              <w:t>,</w:t>
            </w:r>
            <w:r w:rsidR="00FB66C6" w:rsidRPr="005B5418">
              <w:t xml:space="preserve"> does the entity disclose the sources and amounts of the collections</w:t>
            </w:r>
            <w:r w:rsidR="00210A09" w:rsidRPr="005B5418">
              <w:t xml:space="preserve"> and the amounts</w:t>
            </w:r>
            <w:r w:rsidR="00FB66C6" w:rsidRPr="005B5418">
              <w:t xml:space="preserve"> to be distributed to others?</w:t>
            </w:r>
            <w:r w:rsidRPr="005B5418">
              <w:t xml:space="preserve"> (A-136, section II.3.8.</w:t>
            </w:r>
            <w:r w:rsidR="00E152ED" w:rsidRPr="005B5418">
              <w:t>26</w:t>
            </w:r>
            <w:r w:rsidRPr="005B5418">
              <w:t>)</w:t>
            </w:r>
          </w:p>
        </w:tc>
        <w:tc>
          <w:tcPr>
            <w:tcW w:w="965" w:type="dxa"/>
          </w:tcPr>
          <w:p w14:paraId="5CD4D045" w14:textId="77777777" w:rsidR="00A629E5" w:rsidRPr="005B5418" w:rsidRDefault="00A629E5" w:rsidP="003B61E9">
            <w:pPr>
              <w:pStyle w:val="Table-Cell-CenterBoldBefore6ptAfter6pt"/>
              <w:rPr>
                <w:rFonts w:cs="Arial"/>
              </w:rPr>
            </w:pPr>
          </w:p>
        </w:tc>
        <w:tc>
          <w:tcPr>
            <w:tcW w:w="3211" w:type="dxa"/>
          </w:tcPr>
          <w:p w14:paraId="6B46CEB1" w14:textId="77777777" w:rsidR="00A629E5" w:rsidRPr="005B5418" w:rsidRDefault="00A629E5" w:rsidP="003B61E9">
            <w:pPr>
              <w:spacing w:line="240" w:lineRule="auto"/>
              <w:rPr>
                <w:rFonts w:cs="Arial"/>
              </w:rPr>
            </w:pPr>
          </w:p>
        </w:tc>
      </w:tr>
    </w:tbl>
    <w:p w14:paraId="04816711" w14:textId="77777777" w:rsidR="00A629E5" w:rsidRPr="005B5418" w:rsidRDefault="00A629E5" w:rsidP="003B61E9">
      <w:pPr>
        <w:spacing w:line="240" w:lineRule="auto"/>
        <w:rPr>
          <w:rFonts w:cs="Arial"/>
        </w:rPr>
      </w:pPr>
    </w:p>
    <w:p w14:paraId="735BA52E" w14:textId="77777777" w:rsidR="00417E77" w:rsidRPr="005B5418" w:rsidRDefault="00417E77"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65"/>
        <w:gridCol w:w="3211"/>
      </w:tblGrid>
      <w:tr w:rsidR="00417E77" w:rsidRPr="005B5418" w14:paraId="0A9CD1FF" w14:textId="77777777" w:rsidTr="00A94CBC">
        <w:trPr>
          <w:tblHeader/>
        </w:trPr>
        <w:tc>
          <w:tcPr>
            <w:tcW w:w="5400" w:type="dxa"/>
          </w:tcPr>
          <w:p w14:paraId="1DDCC3C8" w14:textId="412D3B09" w:rsidR="00417E77" w:rsidRPr="005B5418" w:rsidRDefault="00417E77" w:rsidP="00E152ED">
            <w:pPr>
              <w:pStyle w:val="Heading4"/>
              <w:spacing w:before="60" w:after="60" w:line="240" w:lineRule="auto"/>
              <w:jc w:val="left"/>
              <w:rPr>
                <w:b/>
                <w:u w:val="none"/>
              </w:rPr>
            </w:pPr>
            <w:bookmarkStart w:id="218" w:name="_II.3.8.36_Custodial_Revenues"/>
            <w:bookmarkEnd w:id="218"/>
            <w:r w:rsidRPr="005B5418">
              <w:rPr>
                <w:b/>
                <w:u w:val="none"/>
              </w:rPr>
              <w:lastRenderedPageBreak/>
              <w:t>II.3.8.</w:t>
            </w:r>
            <w:r w:rsidR="00E152ED" w:rsidRPr="005B5418">
              <w:rPr>
                <w:b/>
                <w:u w:val="none"/>
              </w:rPr>
              <w:t xml:space="preserve">27 </w:t>
            </w:r>
            <w:r w:rsidRPr="005B5418">
              <w:rPr>
                <w:b/>
                <w:u w:val="none"/>
              </w:rPr>
              <w:t>Custodial Revenues</w:t>
            </w:r>
          </w:p>
        </w:tc>
        <w:tc>
          <w:tcPr>
            <w:tcW w:w="965" w:type="dxa"/>
          </w:tcPr>
          <w:p w14:paraId="394FA30D" w14:textId="77777777" w:rsidR="00417E77" w:rsidRPr="005B5418" w:rsidRDefault="00417E77" w:rsidP="00A94CBC">
            <w:pPr>
              <w:pStyle w:val="TableCellCenter"/>
              <w:jc w:val="left"/>
            </w:pPr>
            <w:r w:rsidRPr="005B5418">
              <w:t>Yes, No, or N/A</w:t>
            </w:r>
          </w:p>
        </w:tc>
        <w:tc>
          <w:tcPr>
            <w:tcW w:w="3211" w:type="dxa"/>
          </w:tcPr>
          <w:p w14:paraId="3F2F09EE" w14:textId="00325A1E" w:rsidR="00417E77" w:rsidRPr="005B5418" w:rsidRDefault="00417E77" w:rsidP="008439DE">
            <w:pPr>
              <w:pStyle w:val="TableCellCenter"/>
              <w:jc w:val="left"/>
            </w:pPr>
            <w:r w:rsidRPr="005B5418">
              <w:t xml:space="preserve">Explanation </w:t>
            </w:r>
            <w:r w:rsidR="008439DE" w:rsidRPr="005B5418">
              <w:t xml:space="preserve">and </w:t>
            </w:r>
            <w:r w:rsidRPr="005B5418">
              <w:t>Reference</w:t>
            </w:r>
          </w:p>
        </w:tc>
      </w:tr>
      <w:tr w:rsidR="00417E77" w:rsidRPr="005B5418" w14:paraId="0D8CA9A1" w14:textId="77777777" w:rsidTr="00417E77">
        <w:tc>
          <w:tcPr>
            <w:tcW w:w="9576" w:type="dxa"/>
            <w:gridSpan w:val="3"/>
          </w:tcPr>
          <w:p w14:paraId="3D30D1A5" w14:textId="4B35D82E" w:rsidR="00417E77" w:rsidRPr="005B5418" w:rsidRDefault="00417E77" w:rsidP="008848DA">
            <w:pPr>
              <w:pStyle w:val="Table-Note"/>
              <w:keepNext w:val="0"/>
              <w:spacing w:before="60" w:after="60" w:line="240" w:lineRule="auto"/>
              <w:ind w:left="-23"/>
              <w:jc w:val="left"/>
              <w:rPr>
                <w:rFonts w:eastAsia="Arial Unicode MS" w:cs="Arial"/>
                <w:i w:val="0"/>
                <w:sz w:val="22"/>
                <w:szCs w:val="22"/>
              </w:rPr>
            </w:pPr>
            <w:r w:rsidRPr="005B5418">
              <w:rPr>
                <w:rFonts w:eastAsia="Arial Unicode MS" w:cs="Arial"/>
                <w:i w:val="0"/>
                <w:sz w:val="22"/>
                <w:szCs w:val="22"/>
              </w:rPr>
              <w:t>Collecting entities do not recognize as revenue those collections that have been or should be transferred to others as revenues.</w:t>
            </w:r>
            <w:r w:rsidRPr="005B5418">
              <w:rPr>
                <w:rStyle w:val="FootnoteReference"/>
                <w:rFonts w:eastAsia="Arial Unicode MS" w:cs="Arial"/>
                <w:i w:val="0"/>
                <w:sz w:val="22"/>
                <w:szCs w:val="22"/>
              </w:rPr>
              <w:footnoteReference w:id="247"/>
            </w:r>
            <w:r w:rsidRPr="005B5418">
              <w:rPr>
                <w:rFonts w:eastAsia="Arial Unicode MS" w:cs="Arial"/>
                <w:i w:val="0"/>
                <w:sz w:val="22"/>
                <w:szCs w:val="22"/>
              </w:rPr>
              <w:t xml:space="preserve"> Rather, they shall </w:t>
            </w:r>
            <w:r w:rsidR="00497C1C" w:rsidRPr="005B5418">
              <w:rPr>
                <w:rFonts w:eastAsia="Arial Unicode MS" w:cs="Arial"/>
                <w:i w:val="0"/>
                <w:sz w:val="22"/>
                <w:szCs w:val="22"/>
              </w:rPr>
              <w:t xml:space="preserve">report </w:t>
            </w:r>
            <w:r w:rsidRPr="005B5418">
              <w:rPr>
                <w:rFonts w:eastAsia="Arial Unicode MS" w:cs="Arial"/>
                <w:i w:val="0"/>
                <w:sz w:val="22"/>
                <w:szCs w:val="22"/>
              </w:rPr>
              <w:t xml:space="preserve">for sources and disposition of the collections on the </w:t>
            </w:r>
            <w:r w:rsidR="008360DA" w:rsidRPr="005B5418">
              <w:rPr>
                <w:rFonts w:eastAsia="Arial Unicode MS" w:cs="Arial"/>
                <w:i w:val="0"/>
                <w:sz w:val="22"/>
                <w:szCs w:val="22"/>
              </w:rPr>
              <w:t>S</w:t>
            </w:r>
            <w:r w:rsidRPr="005B5418">
              <w:rPr>
                <w:rFonts w:eastAsia="Arial Unicode MS" w:cs="Arial"/>
                <w:i w:val="0"/>
                <w:sz w:val="22"/>
                <w:szCs w:val="22"/>
              </w:rPr>
              <w:t xml:space="preserve">tatement of </w:t>
            </w:r>
            <w:r w:rsidR="008360DA" w:rsidRPr="005B5418">
              <w:rPr>
                <w:rFonts w:eastAsia="Arial Unicode MS" w:cs="Arial"/>
                <w:i w:val="0"/>
                <w:sz w:val="22"/>
                <w:szCs w:val="22"/>
              </w:rPr>
              <w:t>C</w:t>
            </w:r>
            <w:r w:rsidRPr="005B5418">
              <w:rPr>
                <w:rFonts w:eastAsia="Arial Unicode MS" w:cs="Arial"/>
                <w:i w:val="0"/>
                <w:sz w:val="22"/>
                <w:szCs w:val="22"/>
              </w:rPr>
              <w:t xml:space="preserve">ustodial </w:t>
            </w:r>
            <w:r w:rsidR="008360DA" w:rsidRPr="005B5418">
              <w:rPr>
                <w:rFonts w:eastAsia="Arial Unicode MS" w:cs="Arial"/>
                <w:i w:val="0"/>
                <w:sz w:val="22"/>
                <w:szCs w:val="22"/>
              </w:rPr>
              <w:t>A</w:t>
            </w:r>
            <w:r w:rsidRPr="005B5418">
              <w:rPr>
                <w:rFonts w:eastAsia="Arial Unicode MS" w:cs="Arial"/>
                <w:i w:val="0"/>
                <w:sz w:val="22"/>
                <w:szCs w:val="22"/>
              </w:rPr>
              <w:t xml:space="preserve">ctivity. (A-136, section II.3.6.1) </w:t>
            </w:r>
          </w:p>
          <w:p w14:paraId="14E76EA7" w14:textId="02BA50E4" w:rsidR="00417E77" w:rsidRPr="005B5418" w:rsidRDefault="00417E77" w:rsidP="008848DA">
            <w:pPr>
              <w:pStyle w:val="Table-Cell-CenterBoldBefore6ptAfter6pt"/>
              <w:spacing w:before="60" w:after="60"/>
              <w:ind w:left="-23"/>
              <w:jc w:val="left"/>
              <w:rPr>
                <w:rFonts w:cs="Arial"/>
                <w:b w:val="0"/>
              </w:rPr>
            </w:pPr>
            <w:r w:rsidRPr="005B5418">
              <w:rPr>
                <w:rFonts w:eastAsia="Arial Unicode MS" w:cs="Arial"/>
                <w:b w:val="0"/>
                <w:szCs w:val="22"/>
              </w:rPr>
              <w:t xml:space="preserve">Custodial collections are normally nonexchange revenues, such as taxes and duties collected by the Internal Revenue Service and U.S. Customs and Border Protection. (A-136, section II.3.6.1) </w:t>
            </w:r>
          </w:p>
        </w:tc>
      </w:tr>
      <w:tr w:rsidR="00417E77" w:rsidRPr="005B5418" w14:paraId="1985CECF" w14:textId="77777777" w:rsidTr="00417E77">
        <w:trPr>
          <w:trHeight w:val="1349"/>
        </w:trPr>
        <w:tc>
          <w:tcPr>
            <w:tcW w:w="5400" w:type="dxa"/>
          </w:tcPr>
          <w:p w14:paraId="6854385D" w14:textId="08E5233E" w:rsidR="00417E77" w:rsidRPr="005B5418" w:rsidRDefault="00417E77" w:rsidP="00825C76">
            <w:pPr>
              <w:pStyle w:val="FAM-Table-outline"/>
              <w:widowControl/>
              <w:numPr>
                <w:ilvl w:val="0"/>
                <w:numId w:val="67"/>
              </w:numPr>
              <w:adjustRightInd/>
              <w:spacing w:line="240" w:lineRule="auto"/>
              <w:textAlignment w:val="auto"/>
              <w:rPr>
                <w:rFonts w:cs="Arial"/>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3E5C05" w:rsidRPr="005B5418">
              <w:rPr>
                <w:rFonts w:eastAsia="Arial Unicode MS" w:cs="Arial"/>
                <w:szCs w:val="22"/>
              </w:rPr>
              <w:t>.</w:t>
            </w:r>
            <w:r w:rsidRPr="005B5418">
              <w:rPr>
                <w:rFonts w:eastAsia="Arial Unicode MS" w:cs="Arial"/>
                <w:szCs w:val="22"/>
              </w:rPr>
              <w:t>)</w:t>
            </w:r>
          </w:p>
        </w:tc>
        <w:tc>
          <w:tcPr>
            <w:tcW w:w="965" w:type="dxa"/>
          </w:tcPr>
          <w:p w14:paraId="02032E71" w14:textId="77777777" w:rsidR="00417E77" w:rsidRPr="005B5418" w:rsidRDefault="00417E77" w:rsidP="003B61E9">
            <w:pPr>
              <w:pStyle w:val="Table-Cell-CenterBoldBefore6ptAfter6pt"/>
              <w:rPr>
                <w:rFonts w:cs="Arial"/>
              </w:rPr>
            </w:pPr>
          </w:p>
        </w:tc>
        <w:tc>
          <w:tcPr>
            <w:tcW w:w="3211" w:type="dxa"/>
          </w:tcPr>
          <w:p w14:paraId="4F1952AE" w14:textId="77777777" w:rsidR="00417E77" w:rsidRPr="005B5418" w:rsidRDefault="00417E77" w:rsidP="003B61E9">
            <w:pPr>
              <w:spacing w:line="240" w:lineRule="auto"/>
              <w:rPr>
                <w:rFonts w:cs="Arial"/>
              </w:rPr>
            </w:pPr>
          </w:p>
        </w:tc>
      </w:tr>
      <w:tr w:rsidR="00417E77" w:rsidRPr="005B5418" w14:paraId="7C4C76B7" w14:textId="77777777" w:rsidTr="00417E77">
        <w:trPr>
          <w:trHeight w:val="521"/>
        </w:trPr>
        <w:tc>
          <w:tcPr>
            <w:tcW w:w="9576" w:type="dxa"/>
            <w:gridSpan w:val="3"/>
          </w:tcPr>
          <w:p w14:paraId="3D5B8D67" w14:textId="77777777" w:rsidR="00417E77" w:rsidRPr="005B5418" w:rsidRDefault="00417E77" w:rsidP="008848DA">
            <w:pPr>
              <w:spacing w:before="60" w:after="60" w:line="240" w:lineRule="auto"/>
              <w:rPr>
                <w:rFonts w:ascii="Arial" w:hAnsi="Arial" w:cs="Arial"/>
                <w:b/>
              </w:rPr>
            </w:pPr>
            <w:r w:rsidRPr="005B5418">
              <w:rPr>
                <w:rFonts w:ascii="Arial" w:hAnsi="Arial" w:cs="Arial"/>
                <w:b/>
              </w:rPr>
              <w:t>Accounting</w:t>
            </w:r>
          </w:p>
        </w:tc>
      </w:tr>
      <w:tr w:rsidR="00417E77" w:rsidRPr="005B5418" w14:paraId="7FB1A5C0" w14:textId="77777777" w:rsidTr="00417E77">
        <w:trPr>
          <w:trHeight w:val="1610"/>
        </w:trPr>
        <w:tc>
          <w:tcPr>
            <w:tcW w:w="5400" w:type="dxa"/>
          </w:tcPr>
          <w:p w14:paraId="1C734391" w14:textId="676B5BBA"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eastAsia="Arial Unicode MS" w:cs="Arial"/>
                <w:szCs w:val="22"/>
              </w:rPr>
              <w:t xml:space="preserve">If the entity collects </w:t>
            </w:r>
            <w:r w:rsidRPr="005B5418">
              <w:rPr>
                <w:rFonts w:eastAsia="Arial Unicode MS" w:cs="Arial"/>
                <w:i/>
                <w:szCs w:val="22"/>
              </w:rPr>
              <w:t>exchange</w:t>
            </w:r>
            <w:r w:rsidRPr="005B5418">
              <w:rPr>
                <w:rFonts w:eastAsia="Arial Unicode MS" w:cs="Arial"/>
                <w:szCs w:val="22"/>
              </w:rPr>
              <w:t xml:space="preserve"> revenue (e.g., rents and royalties) on behalf of other entities and recognizes virtually no costs in connection with earning that revenue, does the entity account for it as a custodial activity? (SFFAS 7, par</w:t>
            </w:r>
            <w:r w:rsidR="003E5C05" w:rsidRPr="005B5418">
              <w:rPr>
                <w:rFonts w:eastAsia="Arial Unicode MS" w:cs="Arial"/>
                <w:szCs w:val="22"/>
              </w:rPr>
              <w:t>a</w:t>
            </w:r>
            <w:r w:rsidR="00CC1A1F" w:rsidRPr="005B5418">
              <w:rPr>
                <w:rFonts w:eastAsia="Arial Unicode MS" w:cs="Arial"/>
                <w:szCs w:val="22"/>
              </w:rPr>
              <w:t>s</w:t>
            </w:r>
            <w:r w:rsidRPr="005B5418">
              <w:rPr>
                <w:rFonts w:eastAsia="Arial Unicode MS" w:cs="Arial"/>
                <w:szCs w:val="22"/>
              </w:rPr>
              <w:t>. 45</w:t>
            </w:r>
            <w:r w:rsidR="00CC1A1F" w:rsidRPr="005B5418">
              <w:rPr>
                <w:rFonts w:eastAsia="Arial Unicode MS" w:cs="Arial"/>
                <w:szCs w:val="22"/>
              </w:rPr>
              <w:t xml:space="preserve"> and 45.1</w:t>
            </w:r>
            <w:r w:rsidRPr="005B5418">
              <w:rPr>
                <w:rFonts w:eastAsia="Arial Unicode MS" w:cs="Arial"/>
                <w:szCs w:val="22"/>
              </w:rPr>
              <w:t>)</w:t>
            </w:r>
          </w:p>
        </w:tc>
        <w:tc>
          <w:tcPr>
            <w:tcW w:w="965" w:type="dxa"/>
          </w:tcPr>
          <w:p w14:paraId="0CF3D989" w14:textId="77777777" w:rsidR="00417E77" w:rsidRPr="005B5418" w:rsidRDefault="00417E77" w:rsidP="003B61E9">
            <w:pPr>
              <w:pStyle w:val="Table-Cell-CenterBoldBefore6ptAfter6pt"/>
              <w:rPr>
                <w:rFonts w:cs="Arial"/>
              </w:rPr>
            </w:pPr>
          </w:p>
        </w:tc>
        <w:tc>
          <w:tcPr>
            <w:tcW w:w="3211" w:type="dxa"/>
          </w:tcPr>
          <w:p w14:paraId="01ED17AB" w14:textId="77777777" w:rsidR="00417E77" w:rsidRPr="005B5418" w:rsidRDefault="00417E77" w:rsidP="003B61E9">
            <w:pPr>
              <w:spacing w:line="240" w:lineRule="auto"/>
              <w:rPr>
                <w:rFonts w:cs="Arial"/>
              </w:rPr>
            </w:pPr>
          </w:p>
        </w:tc>
      </w:tr>
      <w:tr w:rsidR="00417E77" w:rsidRPr="005B5418" w14:paraId="65FA45C2" w14:textId="77777777" w:rsidTr="00A94CBC">
        <w:trPr>
          <w:trHeight w:val="1187"/>
        </w:trPr>
        <w:tc>
          <w:tcPr>
            <w:tcW w:w="5400" w:type="dxa"/>
          </w:tcPr>
          <w:p w14:paraId="5D30C484" w14:textId="77777777" w:rsidR="00417E77" w:rsidRPr="005B5418" w:rsidRDefault="00417E77" w:rsidP="007C7489">
            <w:pPr>
              <w:pStyle w:val="FAM-Table-outline"/>
              <w:spacing w:line="240" w:lineRule="auto"/>
              <w:rPr>
                <w:rFonts w:eastAsia="Arial Unicode MS"/>
              </w:rPr>
            </w:pPr>
            <w:r w:rsidRPr="005B5418">
              <w:rPr>
                <w:rFonts w:eastAsia="Arial Unicode MS"/>
              </w:rPr>
              <w:t>Are transactions recognized as taxes and other nonexchange revenues from the public for</w:t>
            </w:r>
          </w:p>
          <w:p w14:paraId="32EFDFFC" w14:textId="33AAE881" w:rsidR="00417E77" w:rsidRPr="005B5418" w:rsidRDefault="00417E77" w:rsidP="005425ED">
            <w:pPr>
              <w:pStyle w:val="FAM-Table-outline2"/>
              <w:spacing w:line="240" w:lineRule="auto"/>
              <w:ind w:left="1140" w:hanging="443"/>
            </w:pPr>
            <w:r w:rsidRPr="005B5418">
              <w:t>individual and corporate income taxes, social insurance taxes and contributions, excise taxes, estate and gift taxes, and customs duties</w:t>
            </w:r>
            <w:r w:rsidR="003E5C05" w:rsidRPr="005B5418">
              <w:t>;</w:t>
            </w:r>
          </w:p>
          <w:p w14:paraId="37708CD5" w14:textId="426035D6" w:rsidR="00417E77" w:rsidRPr="005B5418" w:rsidRDefault="00417E77" w:rsidP="005425ED">
            <w:pPr>
              <w:pStyle w:val="FAM-Table-outline2"/>
              <w:spacing w:line="240" w:lineRule="auto"/>
              <w:ind w:left="1140" w:hanging="443"/>
            </w:pPr>
            <w:r w:rsidRPr="005B5418">
              <w:t>social insurance taxes and contributions paid by federal employees</w:t>
            </w:r>
            <w:r w:rsidR="003E5C05" w:rsidRPr="005B5418">
              <w:t>;</w:t>
            </w:r>
          </w:p>
          <w:p w14:paraId="73D78963" w14:textId="4A1F2A54" w:rsidR="00417E77" w:rsidRPr="005B5418" w:rsidRDefault="00417E77" w:rsidP="005425ED">
            <w:pPr>
              <w:pStyle w:val="FAM-Table-outline2"/>
              <w:spacing w:line="240" w:lineRule="auto"/>
              <w:ind w:left="1140" w:hanging="443"/>
            </w:pPr>
            <w:r w:rsidRPr="005B5418">
              <w:t>deposits by states for unemployment trust funds</w:t>
            </w:r>
            <w:r w:rsidR="003E5C05" w:rsidRPr="005B5418">
              <w:t>;</w:t>
            </w:r>
          </w:p>
          <w:p w14:paraId="2EBE9C25" w14:textId="527FDA25" w:rsidR="00417E77" w:rsidRPr="005B5418" w:rsidRDefault="00417E77" w:rsidP="005425ED">
            <w:pPr>
              <w:pStyle w:val="FAM-Table-outline2"/>
              <w:spacing w:line="240" w:lineRule="auto"/>
              <w:ind w:left="1140" w:hanging="443"/>
            </w:pPr>
            <w:r w:rsidRPr="005B5418">
              <w:t>user fees and harbor maintenance trust fund payments</w:t>
            </w:r>
            <w:r w:rsidR="003E5C05" w:rsidRPr="005B5418">
              <w:t>;</w:t>
            </w:r>
          </w:p>
          <w:p w14:paraId="6178F09C" w14:textId="095ABFE8" w:rsidR="00417E77" w:rsidRPr="005B5418" w:rsidRDefault="00417E77" w:rsidP="005425ED">
            <w:pPr>
              <w:pStyle w:val="FAM-Table-outline2"/>
              <w:spacing w:line="240" w:lineRule="auto"/>
              <w:ind w:left="1140" w:hanging="443"/>
            </w:pPr>
            <w:r w:rsidRPr="005B5418">
              <w:t>customs service fees</w:t>
            </w:r>
            <w:r w:rsidR="003E5C05" w:rsidRPr="005B5418">
              <w:t>;</w:t>
            </w:r>
          </w:p>
          <w:p w14:paraId="77B38136" w14:textId="064DFC02" w:rsidR="00417E77" w:rsidRPr="005B5418" w:rsidRDefault="00417E77" w:rsidP="005425ED">
            <w:pPr>
              <w:pStyle w:val="FAM-Table-outline2"/>
              <w:spacing w:line="240" w:lineRule="auto"/>
              <w:ind w:left="1140" w:hanging="443"/>
            </w:pPr>
            <w:r w:rsidRPr="005B5418">
              <w:t>deposits of earnings from the Federal Reserve System</w:t>
            </w:r>
            <w:r w:rsidR="003E5C05" w:rsidRPr="005B5418">
              <w:t>;</w:t>
            </w:r>
          </w:p>
          <w:p w14:paraId="3C70EE14" w14:textId="64E7BBED" w:rsidR="00417E77" w:rsidRPr="005B5418" w:rsidRDefault="00417E77" w:rsidP="005425ED">
            <w:pPr>
              <w:pStyle w:val="FAM-Table-outline2"/>
              <w:spacing w:line="240" w:lineRule="auto"/>
              <w:ind w:left="1140" w:hanging="443"/>
            </w:pPr>
            <w:r w:rsidRPr="005B5418">
              <w:t>donations, except types of PP&amp;E that are expensed</w:t>
            </w:r>
            <w:r w:rsidR="003E5C05" w:rsidRPr="005B5418">
              <w:t>;</w:t>
            </w:r>
          </w:p>
          <w:p w14:paraId="536A39AD" w14:textId="178D4519" w:rsidR="00417E77" w:rsidRPr="005B5418" w:rsidRDefault="00417E77" w:rsidP="005425ED">
            <w:pPr>
              <w:pStyle w:val="FAM-Table-outline2"/>
              <w:spacing w:line="240" w:lineRule="auto"/>
              <w:ind w:left="1140" w:hanging="443"/>
            </w:pPr>
            <w:r w:rsidRPr="005B5418">
              <w:t>fines and penalties</w:t>
            </w:r>
            <w:r w:rsidR="003E5C05" w:rsidRPr="005B5418">
              <w:t>;</w:t>
            </w:r>
          </w:p>
          <w:p w14:paraId="2D337578" w14:textId="49052BE5" w:rsidR="00417E77" w:rsidRPr="005B5418" w:rsidRDefault="00417E77" w:rsidP="005425ED">
            <w:pPr>
              <w:pStyle w:val="FAM-Table-outline2"/>
              <w:spacing w:line="240" w:lineRule="auto"/>
              <w:ind w:left="1140" w:hanging="443"/>
            </w:pPr>
            <w:r w:rsidRPr="005B5418">
              <w:t xml:space="preserve">penalties due to delinquent taxes in </w:t>
            </w:r>
            <w:r w:rsidRPr="005B5418">
              <w:lastRenderedPageBreak/>
              <w:t>connection with custodial activity</w:t>
            </w:r>
            <w:r w:rsidR="00367569" w:rsidRPr="005B5418">
              <w:t>;</w:t>
            </w:r>
            <w:r w:rsidRPr="005B5418">
              <w:t xml:space="preserve"> and</w:t>
            </w:r>
          </w:p>
          <w:p w14:paraId="2A2E4B58" w14:textId="6D0FBB22" w:rsidR="00417E77" w:rsidRPr="005B5418" w:rsidRDefault="00417E77" w:rsidP="005425ED">
            <w:pPr>
              <w:pStyle w:val="FAM-Table-outline2"/>
              <w:spacing w:line="240" w:lineRule="auto"/>
              <w:ind w:left="1140" w:hanging="443"/>
              <w:rPr>
                <w:rFonts w:eastAsia="Arial Unicode MS"/>
              </w:rPr>
            </w:pPr>
            <w:r w:rsidRPr="005B5418">
              <w:t>forfeitures? (SFFAS 7, par</w:t>
            </w:r>
            <w:r w:rsidR="00441B52" w:rsidRPr="005B5418">
              <w:t>as</w:t>
            </w:r>
            <w:r w:rsidRPr="005B5418">
              <w:t>. 49 and 61;</w:t>
            </w:r>
            <w:r w:rsidR="00FF0DFA" w:rsidRPr="005B5418">
              <w:t xml:space="preserve"> SFFAS 7</w:t>
            </w:r>
            <w:r w:rsidRPr="005B5418">
              <w:t xml:space="preserve"> </w:t>
            </w:r>
            <w:r w:rsidR="00441B52" w:rsidRPr="005B5418">
              <w:t xml:space="preserve">app. </w:t>
            </w:r>
            <w:r w:rsidRPr="005B5418">
              <w:t>B, par</w:t>
            </w:r>
            <w:r w:rsidR="00441B52" w:rsidRPr="005B5418">
              <w:t>as</w:t>
            </w:r>
            <w:r w:rsidRPr="005B5418">
              <w:t>. 242</w:t>
            </w:r>
            <w:r w:rsidR="00441B52" w:rsidRPr="005B5418">
              <w:t>–</w:t>
            </w:r>
            <w:r w:rsidRPr="005B5418">
              <w:t>264)</w:t>
            </w:r>
          </w:p>
        </w:tc>
        <w:tc>
          <w:tcPr>
            <w:tcW w:w="965" w:type="dxa"/>
          </w:tcPr>
          <w:p w14:paraId="4D0D4523" w14:textId="77777777" w:rsidR="00417E77" w:rsidRPr="005B5418" w:rsidRDefault="00417E77" w:rsidP="003B61E9">
            <w:pPr>
              <w:pStyle w:val="Table-Cell-CenterBoldBefore6ptAfter6pt"/>
              <w:rPr>
                <w:rFonts w:cs="Arial"/>
              </w:rPr>
            </w:pPr>
          </w:p>
        </w:tc>
        <w:tc>
          <w:tcPr>
            <w:tcW w:w="3211" w:type="dxa"/>
          </w:tcPr>
          <w:p w14:paraId="11222536" w14:textId="77777777" w:rsidR="00417E77" w:rsidRPr="005B5418" w:rsidRDefault="00417E77" w:rsidP="003B61E9">
            <w:pPr>
              <w:spacing w:line="240" w:lineRule="auto"/>
              <w:rPr>
                <w:rFonts w:cs="Arial"/>
              </w:rPr>
            </w:pPr>
          </w:p>
        </w:tc>
      </w:tr>
      <w:tr w:rsidR="00417E77" w:rsidRPr="005B5418" w14:paraId="35D98CE5" w14:textId="77777777" w:rsidTr="00417E77">
        <w:trPr>
          <w:trHeight w:val="1547"/>
        </w:trPr>
        <w:tc>
          <w:tcPr>
            <w:tcW w:w="5400" w:type="dxa"/>
          </w:tcPr>
          <w:p w14:paraId="4D5305B5" w14:textId="6138A261"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eastAsia="Arial Unicode MS"/>
              </w:rPr>
              <w:t>Does the collecting entity measure taxes and duties on a cash basis and then modify that with an accrual adjustment to determine the amount of revenue to be recognized? (SFFAS 7, par</w:t>
            </w:r>
            <w:r w:rsidR="00562335" w:rsidRPr="005B5418">
              <w:rPr>
                <w:rFonts w:eastAsia="Arial Unicode MS"/>
              </w:rPr>
              <w:t>as</w:t>
            </w:r>
            <w:r w:rsidRPr="005B5418">
              <w:rPr>
                <w:rFonts w:eastAsia="Arial Unicode MS"/>
              </w:rPr>
              <w:t>. 49 and 52)</w:t>
            </w:r>
          </w:p>
        </w:tc>
        <w:tc>
          <w:tcPr>
            <w:tcW w:w="965" w:type="dxa"/>
          </w:tcPr>
          <w:p w14:paraId="050ECF9E" w14:textId="77777777" w:rsidR="00417E77" w:rsidRPr="005B5418" w:rsidRDefault="00417E77" w:rsidP="003B61E9">
            <w:pPr>
              <w:pStyle w:val="Table-Cell-CenterBoldBefore6ptAfter6pt"/>
              <w:rPr>
                <w:rFonts w:cs="Arial"/>
              </w:rPr>
            </w:pPr>
          </w:p>
        </w:tc>
        <w:tc>
          <w:tcPr>
            <w:tcW w:w="3211" w:type="dxa"/>
          </w:tcPr>
          <w:p w14:paraId="243F923A" w14:textId="77777777" w:rsidR="00417E77" w:rsidRPr="005B5418" w:rsidRDefault="00417E77" w:rsidP="003B61E9">
            <w:pPr>
              <w:spacing w:line="240" w:lineRule="auto"/>
              <w:rPr>
                <w:rFonts w:cs="Arial"/>
              </w:rPr>
            </w:pPr>
          </w:p>
        </w:tc>
      </w:tr>
      <w:tr w:rsidR="00417E77" w:rsidRPr="005B5418" w14:paraId="464C5B2E" w14:textId="77777777" w:rsidTr="00417E77">
        <w:trPr>
          <w:trHeight w:val="1520"/>
        </w:trPr>
        <w:tc>
          <w:tcPr>
            <w:tcW w:w="5400" w:type="dxa"/>
          </w:tcPr>
          <w:p w14:paraId="75FEEE27" w14:textId="58C269D0"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eastAsia="Arial Unicode MS"/>
              </w:rPr>
              <w:t>Except for deposits, are cash collections</w:t>
            </w:r>
            <w:r w:rsidR="00562335" w:rsidRPr="005B5418">
              <w:t xml:space="preserve"> </w:t>
            </w:r>
            <w:r w:rsidR="00562335" w:rsidRPr="005B5418">
              <w:rPr>
                <w:rFonts w:eastAsia="Arial Unicode MS"/>
              </w:rPr>
              <w:t>based on amounts actually received during the fiscal period,</w:t>
            </w:r>
            <w:r w:rsidRPr="005B5418">
              <w:rPr>
                <w:rStyle w:val="FootnoteReference"/>
                <w:rFonts w:eastAsia="Arial Unicode MS"/>
              </w:rPr>
              <w:footnoteReference w:id="248"/>
            </w:r>
            <w:r w:rsidRPr="005B5418">
              <w:rPr>
                <w:rFonts w:eastAsia="Arial Unicode MS"/>
              </w:rPr>
              <w:t xml:space="preserve"> including withholdings, estimated payments, final payments, and collections of receivables? (SFFAS 7, par</w:t>
            </w:r>
            <w:r w:rsidR="00562335" w:rsidRPr="005B5418">
              <w:rPr>
                <w:rFonts w:eastAsia="Arial Unicode MS"/>
              </w:rPr>
              <w:t>as</w:t>
            </w:r>
            <w:r w:rsidRPr="005B5418">
              <w:rPr>
                <w:rFonts w:eastAsia="Arial Unicode MS"/>
              </w:rPr>
              <w:t>. 50 and 59)</w:t>
            </w:r>
          </w:p>
        </w:tc>
        <w:tc>
          <w:tcPr>
            <w:tcW w:w="965" w:type="dxa"/>
          </w:tcPr>
          <w:p w14:paraId="50033A83" w14:textId="77777777" w:rsidR="00417E77" w:rsidRPr="005B5418" w:rsidRDefault="00417E77" w:rsidP="003B61E9">
            <w:pPr>
              <w:pStyle w:val="Table-Cell-CenterBoldBefore6ptAfter6pt"/>
              <w:rPr>
                <w:rFonts w:cs="Arial"/>
              </w:rPr>
            </w:pPr>
          </w:p>
        </w:tc>
        <w:tc>
          <w:tcPr>
            <w:tcW w:w="3211" w:type="dxa"/>
          </w:tcPr>
          <w:p w14:paraId="26E8A69B" w14:textId="77777777" w:rsidR="00417E77" w:rsidRPr="005B5418" w:rsidRDefault="00417E77" w:rsidP="003B61E9">
            <w:pPr>
              <w:spacing w:line="240" w:lineRule="auto"/>
              <w:rPr>
                <w:rFonts w:cs="Arial"/>
              </w:rPr>
            </w:pPr>
          </w:p>
        </w:tc>
      </w:tr>
      <w:tr w:rsidR="00417E77" w:rsidRPr="005B5418" w14:paraId="3F7F7C68" w14:textId="77777777" w:rsidTr="00417E77">
        <w:trPr>
          <w:trHeight w:val="1250"/>
        </w:trPr>
        <w:tc>
          <w:tcPr>
            <w:tcW w:w="5400" w:type="dxa"/>
          </w:tcPr>
          <w:p w14:paraId="7A52C980" w14:textId="7E07BC6C"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eastAsia="Arial Unicode MS"/>
              </w:rPr>
              <w:t>Are the components of cash collections classified by source and nature of collection, such as by type of tax or duty? (A-136, section II.3.6.3)</w:t>
            </w:r>
          </w:p>
        </w:tc>
        <w:tc>
          <w:tcPr>
            <w:tcW w:w="965" w:type="dxa"/>
          </w:tcPr>
          <w:p w14:paraId="550932E1" w14:textId="77777777" w:rsidR="00417E77" w:rsidRPr="005B5418" w:rsidRDefault="00417E77" w:rsidP="003B61E9">
            <w:pPr>
              <w:pStyle w:val="Table-Cell-CenterBoldBefore6ptAfter6pt"/>
              <w:rPr>
                <w:rFonts w:cs="Arial"/>
              </w:rPr>
            </w:pPr>
          </w:p>
        </w:tc>
        <w:tc>
          <w:tcPr>
            <w:tcW w:w="3211" w:type="dxa"/>
          </w:tcPr>
          <w:p w14:paraId="5CF1B37C" w14:textId="77777777" w:rsidR="00417E77" w:rsidRPr="005B5418" w:rsidRDefault="00417E77" w:rsidP="003B61E9">
            <w:pPr>
              <w:spacing w:line="240" w:lineRule="auto"/>
              <w:rPr>
                <w:rFonts w:cs="Arial"/>
              </w:rPr>
            </w:pPr>
          </w:p>
        </w:tc>
      </w:tr>
      <w:tr w:rsidR="00417E77" w:rsidRPr="005B5418" w14:paraId="765B131F" w14:textId="77777777" w:rsidTr="00417E77">
        <w:trPr>
          <w:trHeight w:val="1025"/>
        </w:trPr>
        <w:tc>
          <w:tcPr>
            <w:tcW w:w="5400" w:type="dxa"/>
          </w:tcPr>
          <w:p w14:paraId="18D46BE3" w14:textId="0DD51858"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eastAsia="Arial Unicode MS"/>
              </w:rPr>
              <w:t>Are cash refunds of nonexchange revenue based on refunds of taxes and duties during the period? (SFFAS 7, par</w:t>
            </w:r>
            <w:r w:rsidR="00562335" w:rsidRPr="005B5418">
              <w:rPr>
                <w:rFonts w:eastAsia="Arial Unicode MS"/>
              </w:rPr>
              <w:t>a</w:t>
            </w:r>
            <w:r w:rsidRPr="005B5418">
              <w:rPr>
                <w:rFonts w:eastAsia="Arial Unicode MS"/>
              </w:rPr>
              <w:t>. 51)</w:t>
            </w:r>
          </w:p>
        </w:tc>
        <w:tc>
          <w:tcPr>
            <w:tcW w:w="965" w:type="dxa"/>
          </w:tcPr>
          <w:p w14:paraId="283BAF98" w14:textId="77777777" w:rsidR="00417E77" w:rsidRPr="005B5418" w:rsidRDefault="00417E77" w:rsidP="003B61E9">
            <w:pPr>
              <w:pStyle w:val="Table-Cell-CenterBoldBefore6ptAfter6pt"/>
              <w:rPr>
                <w:rFonts w:cs="Arial"/>
              </w:rPr>
            </w:pPr>
          </w:p>
        </w:tc>
        <w:tc>
          <w:tcPr>
            <w:tcW w:w="3211" w:type="dxa"/>
          </w:tcPr>
          <w:p w14:paraId="14CC22AD" w14:textId="77777777" w:rsidR="00417E77" w:rsidRPr="005B5418" w:rsidRDefault="00417E77" w:rsidP="003B61E9">
            <w:pPr>
              <w:spacing w:line="240" w:lineRule="auto"/>
              <w:rPr>
                <w:rFonts w:cs="Arial"/>
              </w:rPr>
            </w:pPr>
          </w:p>
        </w:tc>
      </w:tr>
      <w:tr w:rsidR="00417E77" w:rsidRPr="005B5418" w14:paraId="176EF27E" w14:textId="77777777" w:rsidTr="00417E77">
        <w:trPr>
          <w:trHeight w:val="980"/>
        </w:trPr>
        <w:tc>
          <w:tcPr>
            <w:tcW w:w="5400" w:type="dxa"/>
          </w:tcPr>
          <w:p w14:paraId="1EF98905" w14:textId="13F02955"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eastAsia="Arial Unicode MS"/>
              </w:rPr>
              <w:t>Do cash refunds of nonexchange revenue for taxes and duties include refund offsets</w:t>
            </w:r>
            <w:r w:rsidRPr="005B5418">
              <w:rPr>
                <w:rStyle w:val="FootnoteReference"/>
                <w:rFonts w:eastAsia="Arial Unicode MS"/>
              </w:rPr>
              <w:footnoteReference w:id="249"/>
            </w:r>
            <w:r w:rsidRPr="005B5418">
              <w:rPr>
                <w:rFonts w:eastAsia="Arial Unicode MS"/>
              </w:rPr>
              <w:t xml:space="preserve"> and drawbacks?</w:t>
            </w:r>
            <w:r w:rsidRPr="005B5418">
              <w:rPr>
                <w:rStyle w:val="FootnoteReference"/>
                <w:rFonts w:eastAsia="Arial Unicode MS"/>
              </w:rPr>
              <w:footnoteReference w:id="250"/>
            </w:r>
            <w:r w:rsidRPr="005B5418">
              <w:rPr>
                <w:rFonts w:eastAsia="Arial Unicode MS"/>
              </w:rPr>
              <w:t xml:space="preserve"> (SFFAS 7, par</w:t>
            </w:r>
            <w:r w:rsidR="00562335" w:rsidRPr="005B5418">
              <w:rPr>
                <w:rFonts w:eastAsia="Arial Unicode MS"/>
              </w:rPr>
              <w:t>a</w:t>
            </w:r>
            <w:r w:rsidRPr="005B5418">
              <w:rPr>
                <w:rFonts w:eastAsia="Arial Unicode MS"/>
              </w:rPr>
              <w:t>. 51)</w:t>
            </w:r>
          </w:p>
        </w:tc>
        <w:tc>
          <w:tcPr>
            <w:tcW w:w="965" w:type="dxa"/>
          </w:tcPr>
          <w:p w14:paraId="660A48ED" w14:textId="77777777" w:rsidR="00417E77" w:rsidRPr="005B5418" w:rsidRDefault="00417E77" w:rsidP="003B61E9">
            <w:pPr>
              <w:pStyle w:val="Table-Cell-CenterBoldBefore6ptAfter6pt"/>
              <w:rPr>
                <w:rFonts w:cs="Arial"/>
              </w:rPr>
            </w:pPr>
          </w:p>
        </w:tc>
        <w:tc>
          <w:tcPr>
            <w:tcW w:w="3211" w:type="dxa"/>
          </w:tcPr>
          <w:p w14:paraId="339C8A35" w14:textId="77777777" w:rsidR="00417E77" w:rsidRPr="005B5418" w:rsidRDefault="00417E77" w:rsidP="003B61E9">
            <w:pPr>
              <w:spacing w:line="240" w:lineRule="auto"/>
              <w:rPr>
                <w:rFonts w:cs="Arial"/>
              </w:rPr>
            </w:pPr>
          </w:p>
        </w:tc>
      </w:tr>
      <w:tr w:rsidR="00417E77" w:rsidRPr="005B5418" w14:paraId="2F8519DD" w14:textId="77777777" w:rsidTr="00417E77">
        <w:trPr>
          <w:trHeight w:val="2160"/>
        </w:trPr>
        <w:tc>
          <w:tcPr>
            <w:tcW w:w="5400" w:type="dxa"/>
          </w:tcPr>
          <w:p w14:paraId="16597A15" w14:textId="6D9D0A88"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eastAsia="Arial Unicode MS"/>
              </w:rPr>
              <w:t>If information on actual collections is not currently available from the collecting entity, do the trust funds that are legally entitled to receive only excise taxes that are actually collected by the collecting entity recognize revenue from excise taxes on the basis of assessments in lieu of excise taxes actually collected? (SFFAS 7, par</w:t>
            </w:r>
            <w:r w:rsidR="00562335" w:rsidRPr="005B5418">
              <w:rPr>
                <w:rFonts w:eastAsia="Arial Unicode MS"/>
              </w:rPr>
              <w:t>a</w:t>
            </w:r>
            <w:r w:rsidRPr="005B5418">
              <w:rPr>
                <w:rFonts w:eastAsia="Arial Unicode MS"/>
              </w:rPr>
              <w:t>. 60.1)</w:t>
            </w:r>
          </w:p>
        </w:tc>
        <w:tc>
          <w:tcPr>
            <w:tcW w:w="965" w:type="dxa"/>
          </w:tcPr>
          <w:p w14:paraId="01AD34D9" w14:textId="77777777" w:rsidR="00417E77" w:rsidRPr="005B5418" w:rsidRDefault="00417E77" w:rsidP="003B61E9">
            <w:pPr>
              <w:pStyle w:val="Table-Cell-CenterBoldBefore6ptAfter6pt"/>
              <w:rPr>
                <w:rFonts w:cs="Arial"/>
              </w:rPr>
            </w:pPr>
          </w:p>
        </w:tc>
        <w:tc>
          <w:tcPr>
            <w:tcW w:w="3211" w:type="dxa"/>
          </w:tcPr>
          <w:p w14:paraId="6CD12BAA" w14:textId="77777777" w:rsidR="00417E77" w:rsidRPr="005B5418" w:rsidRDefault="00417E77" w:rsidP="003B61E9">
            <w:pPr>
              <w:spacing w:line="240" w:lineRule="auto"/>
              <w:rPr>
                <w:rFonts w:cs="Arial"/>
              </w:rPr>
            </w:pPr>
          </w:p>
        </w:tc>
      </w:tr>
      <w:tr w:rsidR="00417E77" w:rsidRPr="005B5418" w14:paraId="66D6F035" w14:textId="77777777" w:rsidTr="00417E77">
        <w:trPr>
          <w:trHeight w:val="2160"/>
        </w:trPr>
        <w:tc>
          <w:tcPr>
            <w:tcW w:w="5400" w:type="dxa"/>
          </w:tcPr>
          <w:p w14:paraId="203DFC7E" w14:textId="2F405420"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eastAsia="Arial Unicode MS"/>
              </w:rPr>
              <w:lastRenderedPageBreak/>
              <w:t xml:space="preserve">Is the amount of revenue recognized by the </w:t>
            </w:r>
            <w:r w:rsidR="00B90262" w:rsidRPr="005B5418">
              <w:rPr>
                <w:rFonts w:eastAsia="Arial Unicode MS"/>
              </w:rPr>
              <w:t xml:space="preserve">Social Security </w:t>
            </w:r>
            <w:r w:rsidRPr="005B5418">
              <w:rPr>
                <w:rFonts w:eastAsia="Arial Unicode MS"/>
              </w:rPr>
              <w:t xml:space="preserve">trust fund based on the best available information (i.e., on the higher of the amount of Internal Revenue Service assessments or the amounts actually reported by employers to </w:t>
            </w:r>
            <w:r w:rsidR="00B90262" w:rsidRPr="005B5418">
              <w:rPr>
                <w:rFonts w:eastAsia="Arial Unicode MS"/>
              </w:rPr>
              <w:t xml:space="preserve">the </w:t>
            </w:r>
            <w:r w:rsidRPr="005B5418">
              <w:rPr>
                <w:rFonts w:eastAsia="Arial Unicode MS"/>
              </w:rPr>
              <w:t>Social Security Administration)? (SFFAS 7, par</w:t>
            </w:r>
            <w:r w:rsidR="00B90262" w:rsidRPr="005B5418">
              <w:rPr>
                <w:rFonts w:eastAsia="Arial Unicode MS"/>
              </w:rPr>
              <w:t>a</w:t>
            </w:r>
            <w:r w:rsidRPr="005B5418">
              <w:rPr>
                <w:rFonts w:eastAsia="Arial Unicode MS"/>
              </w:rPr>
              <w:t>. 60.2)</w:t>
            </w:r>
          </w:p>
        </w:tc>
        <w:tc>
          <w:tcPr>
            <w:tcW w:w="965" w:type="dxa"/>
          </w:tcPr>
          <w:p w14:paraId="050C3303" w14:textId="77777777" w:rsidR="00417E77" w:rsidRPr="005B5418" w:rsidRDefault="00417E77" w:rsidP="003B61E9">
            <w:pPr>
              <w:pStyle w:val="Table-Cell-CenterBoldBefore6ptAfter6pt"/>
              <w:rPr>
                <w:rFonts w:cs="Arial"/>
              </w:rPr>
            </w:pPr>
          </w:p>
        </w:tc>
        <w:tc>
          <w:tcPr>
            <w:tcW w:w="3211" w:type="dxa"/>
          </w:tcPr>
          <w:p w14:paraId="400DA746" w14:textId="77777777" w:rsidR="00417E77" w:rsidRPr="005B5418" w:rsidRDefault="00417E77" w:rsidP="003B61E9">
            <w:pPr>
              <w:spacing w:line="240" w:lineRule="auto"/>
              <w:rPr>
                <w:rFonts w:cs="Arial"/>
              </w:rPr>
            </w:pPr>
          </w:p>
        </w:tc>
      </w:tr>
      <w:tr w:rsidR="00417E77" w:rsidRPr="005B5418" w14:paraId="0B839667" w14:textId="77777777" w:rsidTr="00417E77">
        <w:trPr>
          <w:trHeight w:val="521"/>
        </w:trPr>
        <w:tc>
          <w:tcPr>
            <w:tcW w:w="9576" w:type="dxa"/>
            <w:gridSpan w:val="3"/>
          </w:tcPr>
          <w:p w14:paraId="5ECA21E7" w14:textId="77777777" w:rsidR="00417E77" w:rsidRPr="005B5418" w:rsidRDefault="00417E77" w:rsidP="008848DA">
            <w:pPr>
              <w:spacing w:before="60" w:after="60" w:line="240" w:lineRule="auto"/>
              <w:rPr>
                <w:rFonts w:ascii="Arial" w:hAnsi="Arial" w:cs="Arial"/>
                <w:b/>
              </w:rPr>
            </w:pPr>
            <w:r w:rsidRPr="005B5418">
              <w:rPr>
                <w:rFonts w:ascii="Arial" w:hAnsi="Arial" w:cs="Arial"/>
                <w:b/>
              </w:rPr>
              <w:t>Disclosure</w:t>
            </w:r>
          </w:p>
        </w:tc>
      </w:tr>
      <w:tr w:rsidR="00417E77" w:rsidRPr="005B5418" w14:paraId="669BEDA8" w14:textId="77777777" w:rsidTr="00417E77">
        <w:trPr>
          <w:trHeight w:val="2160"/>
        </w:trPr>
        <w:tc>
          <w:tcPr>
            <w:tcW w:w="5400" w:type="dxa"/>
          </w:tcPr>
          <w:p w14:paraId="522DAE15" w14:textId="77777777"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cs="Arial"/>
              </w:rPr>
              <w:t>Do entities that collect taxes and duties disclose in a note or narrative the</w:t>
            </w:r>
          </w:p>
          <w:p w14:paraId="3D7C2C1A" w14:textId="77777777" w:rsidR="00417E77" w:rsidRPr="005B5418" w:rsidRDefault="00417E77" w:rsidP="005425ED">
            <w:pPr>
              <w:pStyle w:val="FAM-Table-outline2"/>
              <w:spacing w:line="240" w:lineRule="auto"/>
              <w:ind w:left="1140" w:hanging="443"/>
            </w:pPr>
            <w:r w:rsidRPr="005B5418">
              <w:t>basis of accounting;</w:t>
            </w:r>
          </w:p>
          <w:p w14:paraId="5FB4BE6E" w14:textId="2D28594D" w:rsidR="00417E77" w:rsidRPr="005B5418" w:rsidRDefault="00417E77" w:rsidP="005425ED">
            <w:pPr>
              <w:pStyle w:val="FAM-Table-outline2"/>
              <w:spacing w:line="240" w:lineRule="auto"/>
              <w:ind w:left="1140" w:hanging="443"/>
            </w:pPr>
            <w:r w:rsidRPr="005B5418">
              <w:t xml:space="preserve">factors affecting the </w:t>
            </w:r>
            <w:r w:rsidR="005F0BB2" w:rsidRPr="005B5418">
              <w:t xml:space="preserve">collectibility </w:t>
            </w:r>
            <w:r w:rsidRPr="005B5418">
              <w:t>and timing of</w:t>
            </w:r>
            <w:r w:rsidR="002E6347" w:rsidRPr="005B5418">
              <w:t xml:space="preserve"> accounts receivable</w:t>
            </w:r>
            <w:r w:rsidR="00866204" w:rsidRPr="005B5418">
              <w:t>;</w:t>
            </w:r>
          </w:p>
          <w:p w14:paraId="33FA6BC3" w14:textId="77777777" w:rsidR="002E6347" w:rsidRPr="005B5418" w:rsidRDefault="00417E77" w:rsidP="005425ED">
            <w:pPr>
              <w:pStyle w:val="FAM-Table-outline2"/>
              <w:spacing w:line="240" w:lineRule="auto"/>
              <w:ind w:left="1140" w:hanging="443"/>
            </w:pPr>
            <w:r w:rsidRPr="005B5418">
              <w:t xml:space="preserve">cash collections and refunds by tax year and type of tax </w:t>
            </w:r>
            <w:r w:rsidR="002E6347" w:rsidRPr="005B5418">
              <w:t xml:space="preserve">during the current fiscal year and during the prior fiscal year, as appropriate; and </w:t>
            </w:r>
          </w:p>
          <w:p w14:paraId="2904DD9A" w14:textId="7F3E9C1C" w:rsidR="00417E77" w:rsidRPr="005B5418" w:rsidRDefault="002E6347" w:rsidP="005425ED">
            <w:pPr>
              <w:pStyle w:val="FAM-Table-outline2"/>
              <w:spacing w:line="240" w:lineRule="auto"/>
              <w:ind w:left="1140" w:hanging="443"/>
            </w:pPr>
            <w:r w:rsidRPr="005B5418">
              <w:t>the reason(s), if any, for not recording trust fund revenues in accordance with applicable law</w:t>
            </w:r>
            <w:r w:rsidR="00417E77" w:rsidRPr="005B5418">
              <w:t>?</w:t>
            </w:r>
            <w:r w:rsidR="00417E77" w:rsidRPr="005B5418">
              <w:br/>
              <w:t>(SFFAS 7, par</w:t>
            </w:r>
            <w:r w:rsidR="00866204" w:rsidRPr="005B5418">
              <w:t>as</w:t>
            </w:r>
            <w:r w:rsidR="00417E77" w:rsidRPr="005B5418">
              <w:t>. 64, 65.1</w:t>
            </w:r>
            <w:r w:rsidR="004854C8" w:rsidRPr="005B5418">
              <w:t xml:space="preserve">, </w:t>
            </w:r>
            <w:r w:rsidR="00417E77" w:rsidRPr="005B5418">
              <w:t>65.3</w:t>
            </w:r>
            <w:r w:rsidR="00422081" w:rsidRPr="005B5418">
              <w:t>, and 66</w:t>
            </w:r>
            <w:r w:rsidR="00417E77" w:rsidRPr="005B5418">
              <w:t>; A-136, section II.3.8.</w:t>
            </w:r>
            <w:r w:rsidR="00E152ED" w:rsidRPr="005B5418">
              <w:t>27</w:t>
            </w:r>
            <w:r w:rsidR="00417E77" w:rsidRPr="005B5418">
              <w:t>)</w:t>
            </w:r>
          </w:p>
        </w:tc>
        <w:tc>
          <w:tcPr>
            <w:tcW w:w="965" w:type="dxa"/>
          </w:tcPr>
          <w:p w14:paraId="3AB6148B" w14:textId="77777777" w:rsidR="00417E77" w:rsidRPr="005B5418" w:rsidRDefault="00417E77" w:rsidP="003B61E9">
            <w:pPr>
              <w:pStyle w:val="Table-Cell-CenterBoldBefore6ptAfter6pt"/>
              <w:rPr>
                <w:rFonts w:cs="Arial"/>
              </w:rPr>
            </w:pPr>
          </w:p>
        </w:tc>
        <w:tc>
          <w:tcPr>
            <w:tcW w:w="3211" w:type="dxa"/>
          </w:tcPr>
          <w:p w14:paraId="763EE9CA" w14:textId="77777777" w:rsidR="00417E77" w:rsidRPr="005B5418" w:rsidRDefault="00417E77" w:rsidP="003B61E9">
            <w:pPr>
              <w:spacing w:line="240" w:lineRule="auto"/>
              <w:rPr>
                <w:rFonts w:cs="Arial"/>
              </w:rPr>
            </w:pPr>
          </w:p>
        </w:tc>
      </w:tr>
      <w:tr w:rsidR="00417E77" w:rsidRPr="005B5418" w14:paraId="23146A4A" w14:textId="77777777" w:rsidTr="00417E77">
        <w:trPr>
          <w:trHeight w:val="557"/>
        </w:trPr>
        <w:tc>
          <w:tcPr>
            <w:tcW w:w="5400" w:type="dxa"/>
          </w:tcPr>
          <w:p w14:paraId="06F928DE" w14:textId="77777777"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cs="Arial"/>
              </w:rPr>
              <w:t>Does the collecting entity disclose and explain the</w:t>
            </w:r>
          </w:p>
          <w:p w14:paraId="1FA1702B" w14:textId="77777777" w:rsidR="00417E77" w:rsidRPr="005B5418" w:rsidRDefault="00417E77" w:rsidP="005425ED">
            <w:pPr>
              <w:pStyle w:val="FAM-Table-outline2"/>
              <w:spacing w:line="240" w:lineRule="auto"/>
              <w:ind w:left="1140" w:hanging="443"/>
            </w:pPr>
            <w:r w:rsidRPr="005B5418">
              <w:t>basis of accounting when application of the general rule for recognizing nonexchange revenue (i.e., specifically identifiable, legally enforceable, and reasonably estimable) results in a modified cash basis of accounting;</w:t>
            </w:r>
          </w:p>
          <w:p w14:paraId="0F58D8D9" w14:textId="77777777" w:rsidR="00417E77" w:rsidRPr="005B5418" w:rsidRDefault="00417E77" w:rsidP="005425ED">
            <w:pPr>
              <w:pStyle w:val="FAM-Table-outline2"/>
              <w:spacing w:line="240" w:lineRule="auto"/>
              <w:ind w:left="1140" w:hanging="443"/>
            </w:pPr>
            <w:r w:rsidRPr="005B5418">
              <w:t>specific potential accruals that are not made as a result of using the modified cash basis accounting;</w:t>
            </w:r>
          </w:p>
          <w:p w14:paraId="5E83AB49" w14:textId="77777777" w:rsidR="00417E77" w:rsidRPr="005B5418" w:rsidRDefault="00417E77" w:rsidP="005425ED">
            <w:pPr>
              <w:pStyle w:val="FAM-Table-outline2"/>
              <w:spacing w:line="240" w:lineRule="auto"/>
              <w:ind w:left="1140" w:hanging="443"/>
            </w:pPr>
            <w:r w:rsidRPr="005B5418">
              <w:t>practical and inherent limitations affecting the accrual of taxes and duties; and</w:t>
            </w:r>
          </w:p>
          <w:p w14:paraId="7C4F0108" w14:textId="3D4098C6" w:rsidR="00417E77" w:rsidRPr="005B5418" w:rsidRDefault="00417E77" w:rsidP="005425ED">
            <w:pPr>
              <w:pStyle w:val="FAM-Table-outline2"/>
              <w:spacing w:line="240" w:lineRule="auto"/>
              <w:ind w:left="1140" w:hanging="443"/>
            </w:pPr>
            <w:r w:rsidRPr="005B5418">
              <w:t>use of accrual-based accounting, if applicable? (SFFAS 7, par</w:t>
            </w:r>
            <w:r w:rsidR="00866204" w:rsidRPr="005B5418">
              <w:t>as</w:t>
            </w:r>
            <w:r w:rsidRPr="005B5418">
              <w:t>. 5</w:t>
            </w:r>
            <w:r w:rsidR="00866204" w:rsidRPr="005B5418">
              <w:t>–</w:t>
            </w:r>
            <w:r w:rsidRPr="005B5418">
              <w:t>6, 48</w:t>
            </w:r>
            <w:r w:rsidR="004854C8" w:rsidRPr="005B5418">
              <w:t>, and</w:t>
            </w:r>
            <w:r w:rsidRPr="005B5418">
              <w:t xml:space="preserve"> 64)</w:t>
            </w:r>
          </w:p>
        </w:tc>
        <w:tc>
          <w:tcPr>
            <w:tcW w:w="965" w:type="dxa"/>
          </w:tcPr>
          <w:p w14:paraId="7DE79739" w14:textId="77777777" w:rsidR="00417E77" w:rsidRPr="005B5418" w:rsidRDefault="00417E77" w:rsidP="003B61E9">
            <w:pPr>
              <w:pStyle w:val="Table-Cell-CenterBoldBefore6ptAfter6pt"/>
              <w:rPr>
                <w:rFonts w:cs="Arial"/>
              </w:rPr>
            </w:pPr>
          </w:p>
        </w:tc>
        <w:tc>
          <w:tcPr>
            <w:tcW w:w="3211" w:type="dxa"/>
          </w:tcPr>
          <w:p w14:paraId="38A167B5" w14:textId="77777777" w:rsidR="00417E77" w:rsidRPr="005B5418" w:rsidRDefault="00417E77" w:rsidP="003B61E9">
            <w:pPr>
              <w:spacing w:line="240" w:lineRule="auto"/>
              <w:rPr>
                <w:rFonts w:cs="Arial"/>
              </w:rPr>
            </w:pPr>
          </w:p>
        </w:tc>
      </w:tr>
      <w:tr w:rsidR="00417E77" w:rsidRPr="005B5418" w14:paraId="0F3386D7" w14:textId="77777777" w:rsidTr="00A94CBC">
        <w:trPr>
          <w:trHeight w:val="1097"/>
        </w:trPr>
        <w:tc>
          <w:tcPr>
            <w:tcW w:w="5400" w:type="dxa"/>
          </w:tcPr>
          <w:p w14:paraId="613E630F" w14:textId="13DF430E" w:rsidR="00417E77" w:rsidRPr="005B5418" w:rsidRDefault="00417E77" w:rsidP="00343610">
            <w:pPr>
              <w:pStyle w:val="FAM-Table-outline"/>
              <w:widowControl/>
              <w:numPr>
                <w:ilvl w:val="0"/>
                <w:numId w:val="25"/>
              </w:numPr>
              <w:adjustRightInd/>
              <w:spacing w:line="240" w:lineRule="auto"/>
              <w:textAlignment w:val="auto"/>
              <w:rPr>
                <w:rFonts w:cs="Arial"/>
              </w:rPr>
            </w:pPr>
            <w:r w:rsidRPr="005B5418">
              <w:rPr>
                <w:rFonts w:cs="Arial"/>
              </w:rPr>
              <w:lastRenderedPageBreak/>
              <w:t>If trust fund revenues are not recorded in accordance with applicable law, do the collecting and recipient entities disclose the reasons? (SFFAS 7, par</w:t>
            </w:r>
            <w:r w:rsidR="001B2C4B" w:rsidRPr="005B5418">
              <w:rPr>
                <w:rFonts w:cs="Arial"/>
              </w:rPr>
              <w:t>a</w:t>
            </w:r>
            <w:r w:rsidRPr="005B5418">
              <w:rPr>
                <w:rFonts w:cs="Arial"/>
              </w:rPr>
              <w:t>. 66)</w:t>
            </w:r>
          </w:p>
        </w:tc>
        <w:tc>
          <w:tcPr>
            <w:tcW w:w="965" w:type="dxa"/>
          </w:tcPr>
          <w:p w14:paraId="316B2FE9" w14:textId="77777777" w:rsidR="00417E77" w:rsidRPr="005B5418" w:rsidRDefault="00417E77" w:rsidP="003B61E9">
            <w:pPr>
              <w:pStyle w:val="Table-Cell-CenterBoldBefore6ptAfter6pt"/>
              <w:rPr>
                <w:rFonts w:cs="Arial"/>
              </w:rPr>
            </w:pPr>
          </w:p>
        </w:tc>
        <w:tc>
          <w:tcPr>
            <w:tcW w:w="3211" w:type="dxa"/>
          </w:tcPr>
          <w:p w14:paraId="7819C1FA" w14:textId="77777777" w:rsidR="00417E77" w:rsidRPr="005B5418" w:rsidRDefault="00417E77" w:rsidP="003B61E9">
            <w:pPr>
              <w:spacing w:line="240" w:lineRule="auto"/>
              <w:rPr>
                <w:rFonts w:cs="Arial"/>
              </w:rPr>
            </w:pPr>
          </w:p>
        </w:tc>
      </w:tr>
      <w:tr w:rsidR="00D544EB" w:rsidRPr="005B5418" w14:paraId="5276D0DB" w14:textId="77777777" w:rsidTr="00A94CBC">
        <w:trPr>
          <w:trHeight w:val="1097"/>
        </w:trPr>
        <w:tc>
          <w:tcPr>
            <w:tcW w:w="5400" w:type="dxa"/>
          </w:tcPr>
          <w:p w14:paraId="46C892B0" w14:textId="1FF7E831" w:rsidR="00D544EB" w:rsidRPr="005B5418" w:rsidRDefault="00D544EB" w:rsidP="00E152ED">
            <w:pPr>
              <w:pStyle w:val="FAM-Table-outline"/>
              <w:widowControl/>
              <w:numPr>
                <w:ilvl w:val="0"/>
                <w:numId w:val="25"/>
              </w:numPr>
              <w:adjustRightInd/>
              <w:spacing w:line="240" w:lineRule="auto"/>
              <w:textAlignment w:val="auto"/>
              <w:rPr>
                <w:rFonts w:cs="Arial"/>
              </w:rPr>
            </w:pPr>
            <w:r w:rsidRPr="005B5418">
              <w:t>For entities</w:t>
            </w:r>
            <w:r w:rsidR="002E6347" w:rsidRPr="005B5418">
              <w:t xml:space="preserve"> that collect </w:t>
            </w:r>
            <w:r w:rsidR="009D011E" w:rsidRPr="005B5418">
              <w:t xml:space="preserve">significant </w:t>
            </w:r>
            <w:r w:rsidR="002E6347" w:rsidRPr="005B5418">
              <w:t>taxes and duties</w:t>
            </w:r>
            <w:r w:rsidRPr="005B5418">
              <w:t xml:space="preserve">, does the entity disclose </w:t>
            </w:r>
            <w:r w:rsidR="002E6347" w:rsidRPr="005B5418">
              <w:t xml:space="preserve">custodial </w:t>
            </w:r>
            <w:r w:rsidRPr="005B5418">
              <w:t>non-exchange taxes, duties</w:t>
            </w:r>
            <w:r w:rsidR="004854C8" w:rsidRPr="005B5418">
              <w:t>,</w:t>
            </w:r>
            <w:r w:rsidR="002E6347" w:rsidRPr="005B5418">
              <w:t xml:space="preserve"> collections</w:t>
            </w:r>
            <w:r w:rsidR="004854C8" w:rsidRPr="005B5418">
              <w:t>,</w:t>
            </w:r>
            <w:r w:rsidR="002E6347" w:rsidRPr="005B5418">
              <w:t xml:space="preserve"> and refunds</w:t>
            </w:r>
            <w:r w:rsidRPr="005B5418">
              <w:t>,</w:t>
            </w:r>
            <w:r w:rsidR="007F6DAD" w:rsidRPr="005B5418">
              <w:t xml:space="preserve"> </w:t>
            </w:r>
            <w:r w:rsidR="005A6EA1" w:rsidRPr="005B5418">
              <w:t>broken</w:t>
            </w:r>
            <w:r w:rsidR="00E10293" w:rsidRPr="005B5418">
              <w:t xml:space="preserve"> down by tax year and type of tax, during the current fiscal year and during the prior fiscal year(s) as shown in the illustrative tables</w:t>
            </w:r>
            <w:r w:rsidRPr="005B5418">
              <w:t>? (A-136, section II.3.8.</w:t>
            </w:r>
            <w:r w:rsidR="00E152ED" w:rsidRPr="005B5418">
              <w:t>27</w:t>
            </w:r>
            <w:r w:rsidRPr="005B5418">
              <w:t>)</w:t>
            </w:r>
          </w:p>
        </w:tc>
        <w:tc>
          <w:tcPr>
            <w:tcW w:w="965" w:type="dxa"/>
          </w:tcPr>
          <w:p w14:paraId="17B046B4" w14:textId="77777777" w:rsidR="00D544EB" w:rsidRPr="005B5418" w:rsidRDefault="00D544EB" w:rsidP="003B61E9">
            <w:pPr>
              <w:pStyle w:val="Table-Cell-CenterBoldBefore6ptAfter6pt"/>
              <w:rPr>
                <w:rFonts w:cs="Arial"/>
              </w:rPr>
            </w:pPr>
          </w:p>
        </w:tc>
        <w:tc>
          <w:tcPr>
            <w:tcW w:w="3211" w:type="dxa"/>
          </w:tcPr>
          <w:p w14:paraId="609515EB" w14:textId="77777777" w:rsidR="00D544EB" w:rsidRPr="005B5418" w:rsidRDefault="00D544EB" w:rsidP="003B61E9">
            <w:pPr>
              <w:spacing w:line="240" w:lineRule="auto"/>
              <w:rPr>
                <w:rFonts w:cs="Arial"/>
              </w:rPr>
            </w:pPr>
          </w:p>
        </w:tc>
      </w:tr>
    </w:tbl>
    <w:p w14:paraId="33373E65" w14:textId="77777777" w:rsidR="00417E77" w:rsidRPr="005B5418" w:rsidRDefault="00417E77"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A629E5" w:rsidRPr="005B5418" w14:paraId="62337DBB" w14:textId="77777777" w:rsidTr="00A94CBC">
        <w:trPr>
          <w:cantSplit/>
          <w:tblHeader/>
        </w:trPr>
        <w:tc>
          <w:tcPr>
            <w:tcW w:w="5400" w:type="dxa"/>
          </w:tcPr>
          <w:p w14:paraId="6961848D" w14:textId="049369C2" w:rsidR="00A629E5" w:rsidRPr="005B5418" w:rsidRDefault="00A629E5" w:rsidP="00E152ED">
            <w:pPr>
              <w:pStyle w:val="Heading4"/>
              <w:spacing w:before="60" w:after="60" w:line="240" w:lineRule="auto"/>
              <w:jc w:val="left"/>
              <w:rPr>
                <w:b/>
                <w:u w:val="none"/>
              </w:rPr>
            </w:pPr>
            <w:bookmarkStart w:id="219" w:name="_II.3.8.37_Social_Insurance"/>
            <w:bookmarkStart w:id="220" w:name="_Ref8657163"/>
            <w:bookmarkEnd w:id="219"/>
            <w:r w:rsidRPr="005B5418">
              <w:rPr>
                <w:b/>
                <w:u w:val="none"/>
              </w:rPr>
              <w:lastRenderedPageBreak/>
              <w:t>II.3.8.</w:t>
            </w:r>
            <w:r w:rsidR="00E152ED" w:rsidRPr="005B5418">
              <w:rPr>
                <w:b/>
                <w:u w:val="none"/>
              </w:rPr>
              <w:t xml:space="preserve">28 </w:t>
            </w:r>
            <w:r w:rsidR="00BF6F21" w:rsidRPr="005B5418">
              <w:rPr>
                <w:b/>
                <w:u w:val="none"/>
              </w:rPr>
              <w:t xml:space="preserve">Statement of </w:t>
            </w:r>
            <w:r w:rsidRPr="005B5418">
              <w:rPr>
                <w:b/>
                <w:u w:val="none"/>
              </w:rPr>
              <w:t>Social Insurance and Statement of Changes in Social Insurance Amounts</w:t>
            </w:r>
            <w:bookmarkEnd w:id="220"/>
            <w:r w:rsidRPr="005B5418">
              <w:rPr>
                <w:b/>
                <w:u w:val="none"/>
              </w:rPr>
              <w:t xml:space="preserve"> </w:t>
            </w:r>
          </w:p>
        </w:tc>
        <w:tc>
          <w:tcPr>
            <w:tcW w:w="965" w:type="dxa"/>
          </w:tcPr>
          <w:p w14:paraId="5D270996" w14:textId="77777777" w:rsidR="00A629E5" w:rsidRPr="005B5418" w:rsidRDefault="00A629E5" w:rsidP="00A94CBC">
            <w:pPr>
              <w:pStyle w:val="TableCellCenter"/>
              <w:jc w:val="left"/>
            </w:pPr>
            <w:r w:rsidRPr="005B5418">
              <w:t>Yes, No, or N/A</w:t>
            </w:r>
          </w:p>
        </w:tc>
        <w:tc>
          <w:tcPr>
            <w:tcW w:w="3211" w:type="dxa"/>
          </w:tcPr>
          <w:p w14:paraId="3DA79CB4" w14:textId="63A1A8FF" w:rsidR="00A629E5" w:rsidRPr="005B5418" w:rsidRDefault="00A629E5" w:rsidP="00106029">
            <w:pPr>
              <w:pStyle w:val="TableCellCenter"/>
              <w:jc w:val="left"/>
            </w:pPr>
            <w:r w:rsidRPr="005B5418">
              <w:t xml:space="preserve">Explanation </w:t>
            </w:r>
            <w:r w:rsidR="00106029" w:rsidRPr="005B5418">
              <w:t xml:space="preserve">and </w:t>
            </w:r>
            <w:r w:rsidRPr="005B5418">
              <w:t>Reference</w:t>
            </w:r>
          </w:p>
        </w:tc>
      </w:tr>
      <w:tr w:rsidR="00E30584" w:rsidRPr="005B5418" w14:paraId="53DE2242" w14:textId="77777777" w:rsidTr="00743514">
        <w:trPr>
          <w:cantSplit/>
          <w:trHeight w:val="1214"/>
        </w:trPr>
        <w:tc>
          <w:tcPr>
            <w:tcW w:w="9576" w:type="dxa"/>
            <w:gridSpan w:val="3"/>
          </w:tcPr>
          <w:p w14:paraId="6C6B4EB1" w14:textId="4CC42AA7" w:rsidR="00C87B72" w:rsidRPr="005B5418" w:rsidRDefault="00E30584" w:rsidP="008848DA">
            <w:pPr>
              <w:spacing w:before="60" w:after="60" w:line="240" w:lineRule="auto"/>
              <w:ind w:left="-35"/>
              <w:rPr>
                <w:rFonts w:ascii="Arial" w:eastAsia="Arial Unicode MS" w:hAnsi="Arial" w:cs="Arial"/>
              </w:rPr>
            </w:pPr>
            <w:r w:rsidRPr="005B5418">
              <w:rPr>
                <w:rFonts w:ascii="Arial" w:eastAsia="Arial Unicode MS" w:hAnsi="Arial" w:cs="Arial"/>
              </w:rPr>
              <w:t>Social insurance programs</w:t>
            </w:r>
            <w:r w:rsidR="001C1BB5" w:rsidRPr="005B5418">
              <w:rPr>
                <w:rFonts w:ascii="Arial" w:eastAsia="Arial Unicode MS" w:hAnsi="Arial" w:cs="Arial"/>
              </w:rPr>
              <w:t xml:space="preserve"> </w:t>
            </w:r>
            <w:r w:rsidR="00555D54" w:rsidRPr="005B5418">
              <w:rPr>
                <w:rFonts w:ascii="Arial" w:eastAsia="Arial Unicode MS" w:hAnsi="Arial" w:cs="Arial"/>
              </w:rPr>
              <w:t xml:space="preserve">are </w:t>
            </w:r>
            <w:r w:rsidRPr="005B5418">
              <w:rPr>
                <w:rFonts w:ascii="Arial" w:eastAsia="Arial Unicode MS" w:hAnsi="Arial" w:cs="Arial"/>
              </w:rPr>
              <w:t xml:space="preserve">Social Security, Medicare, Railroad Retirement Benefits, Black Lung Benefits, and Unemployment Insurance. </w:t>
            </w:r>
            <w:r w:rsidR="0026115E" w:rsidRPr="005B5418">
              <w:rPr>
                <w:rFonts w:ascii="Arial" w:eastAsia="Arial Unicode MS" w:hAnsi="Arial" w:cs="Arial"/>
              </w:rPr>
              <w:t>(</w:t>
            </w:r>
            <w:r w:rsidRPr="005B5418">
              <w:rPr>
                <w:rFonts w:ascii="Arial" w:eastAsia="Arial Unicode MS" w:hAnsi="Arial" w:cs="Arial"/>
              </w:rPr>
              <w:t>SFFAS 17, par</w:t>
            </w:r>
            <w:r w:rsidR="0026115E" w:rsidRPr="005B5418">
              <w:rPr>
                <w:rFonts w:ascii="Arial" w:eastAsia="Arial Unicode MS" w:hAnsi="Arial" w:cs="Arial"/>
              </w:rPr>
              <w:t>a</w:t>
            </w:r>
            <w:r w:rsidRPr="005B5418">
              <w:rPr>
                <w:rFonts w:ascii="Arial" w:eastAsia="Arial Unicode MS" w:hAnsi="Arial" w:cs="Arial"/>
              </w:rPr>
              <w:t xml:space="preserve">. </w:t>
            </w:r>
            <w:r w:rsidR="0026115E" w:rsidRPr="005B5418">
              <w:rPr>
                <w:rFonts w:ascii="Arial" w:eastAsia="Arial Unicode MS" w:hAnsi="Arial" w:cs="Arial"/>
              </w:rPr>
              <w:t>1</w:t>
            </w:r>
            <w:r w:rsidRPr="005B5418">
              <w:rPr>
                <w:rFonts w:ascii="Arial" w:eastAsia="Arial Unicode MS" w:hAnsi="Arial" w:cs="Arial"/>
              </w:rPr>
              <w:t>4)</w:t>
            </w:r>
          </w:p>
          <w:p w14:paraId="6BB6BB62" w14:textId="2889599E" w:rsidR="00C87B72" w:rsidRPr="005B5418" w:rsidRDefault="00C87B72" w:rsidP="008848DA">
            <w:pPr>
              <w:pStyle w:val="Table-Note"/>
              <w:tabs>
                <w:tab w:val="left" w:pos="4332"/>
              </w:tabs>
              <w:spacing w:before="60" w:after="60" w:line="240" w:lineRule="auto"/>
              <w:ind w:left="-35"/>
              <w:jc w:val="left"/>
              <w:rPr>
                <w:rFonts w:eastAsia="Arial Unicode MS" w:cs="Arial"/>
                <w:i w:val="0"/>
                <w:sz w:val="22"/>
                <w:szCs w:val="22"/>
              </w:rPr>
            </w:pPr>
            <w:r w:rsidRPr="005B5418">
              <w:rPr>
                <w:rFonts w:eastAsia="Arial Unicode MS" w:cs="Arial"/>
                <w:i w:val="0"/>
                <w:sz w:val="22"/>
                <w:szCs w:val="22"/>
              </w:rPr>
              <w:t xml:space="preserve">Reporting on stewardship responsibilities aids in assessing the federal government’s financial condition and the sufficiency of future budgetary resources to sustain public services and meet obligations as they become due. Information for social insurance programs is to be reported to address fundamental questions about the current and future financial condition of these programs. These fundamental questions include whether scheduled expenditures are sustainable with current scheduled income. Information </w:t>
            </w:r>
            <w:r w:rsidR="001C1BB5" w:rsidRPr="005B5418">
              <w:rPr>
                <w:rFonts w:eastAsia="Arial Unicode MS" w:cs="Arial"/>
                <w:i w:val="0"/>
                <w:sz w:val="22"/>
                <w:szCs w:val="22"/>
              </w:rPr>
              <w:t xml:space="preserve">that entities are </w:t>
            </w:r>
            <w:r w:rsidRPr="005B5418">
              <w:rPr>
                <w:rFonts w:eastAsia="Arial Unicode MS" w:cs="Arial"/>
                <w:i w:val="0"/>
                <w:sz w:val="22"/>
                <w:szCs w:val="22"/>
              </w:rPr>
              <w:t>required to disclose for social insurance programs is intended to facilitate an assessment of the long-term sustainability of the program</w:t>
            </w:r>
            <w:r w:rsidR="001C1BB5" w:rsidRPr="005B5418">
              <w:rPr>
                <w:rFonts w:eastAsia="Arial Unicode MS" w:cs="Arial"/>
                <w:i w:val="0"/>
                <w:sz w:val="22"/>
                <w:szCs w:val="22"/>
              </w:rPr>
              <w:t>s</w:t>
            </w:r>
            <w:r w:rsidRPr="005B5418">
              <w:rPr>
                <w:rFonts w:eastAsia="Arial Unicode MS" w:cs="Arial"/>
                <w:i w:val="0"/>
                <w:sz w:val="22"/>
                <w:szCs w:val="22"/>
              </w:rPr>
              <w:t xml:space="preserve"> as well as the</w:t>
            </w:r>
            <w:r w:rsidR="001C1BB5" w:rsidRPr="005B5418">
              <w:rPr>
                <w:rFonts w:eastAsia="Arial Unicode MS" w:cs="Arial"/>
                <w:i w:val="0"/>
                <w:sz w:val="22"/>
                <w:szCs w:val="22"/>
              </w:rPr>
              <w:t>ir</w:t>
            </w:r>
            <w:r w:rsidRPr="005B5418">
              <w:rPr>
                <w:rFonts w:eastAsia="Arial Unicode MS" w:cs="Arial"/>
                <w:i w:val="0"/>
                <w:sz w:val="22"/>
                <w:szCs w:val="22"/>
              </w:rPr>
              <w:t xml:space="preserve"> ability to raise resources from future program participants to pay for benefits to present participants. (SFFAS 17, par</w:t>
            </w:r>
            <w:r w:rsidR="001C1BB5" w:rsidRPr="005B5418">
              <w:rPr>
                <w:rFonts w:eastAsia="Arial Unicode MS" w:cs="Arial"/>
                <w:i w:val="0"/>
                <w:sz w:val="22"/>
                <w:szCs w:val="22"/>
              </w:rPr>
              <w:t>a</w:t>
            </w:r>
            <w:r w:rsidRPr="005B5418">
              <w:rPr>
                <w:rFonts w:eastAsia="Arial Unicode MS" w:cs="Arial"/>
                <w:i w:val="0"/>
                <w:sz w:val="22"/>
                <w:szCs w:val="22"/>
              </w:rPr>
              <w:t xml:space="preserve">. 1) </w:t>
            </w:r>
          </w:p>
          <w:p w14:paraId="5C3F8BC5" w14:textId="331B56E1" w:rsidR="00C87B72" w:rsidRPr="005B5418" w:rsidRDefault="00C87B72" w:rsidP="008848DA">
            <w:pPr>
              <w:pStyle w:val="Table-Note"/>
              <w:tabs>
                <w:tab w:val="left" w:pos="4332"/>
              </w:tabs>
              <w:spacing w:before="60" w:after="60" w:line="240" w:lineRule="auto"/>
              <w:ind w:left="-35"/>
              <w:jc w:val="left"/>
              <w:rPr>
                <w:rFonts w:eastAsia="Arial Unicode MS" w:cs="Arial"/>
                <w:i w:val="0"/>
                <w:sz w:val="22"/>
                <w:szCs w:val="22"/>
              </w:rPr>
            </w:pPr>
            <w:r w:rsidRPr="005B5418">
              <w:rPr>
                <w:rFonts w:eastAsia="Arial Unicode MS" w:cs="Arial"/>
                <w:i w:val="0"/>
                <w:sz w:val="22"/>
                <w:szCs w:val="22"/>
              </w:rPr>
              <w:t xml:space="preserve">A </w:t>
            </w:r>
            <w:r w:rsidR="001C1BB5" w:rsidRPr="005B5418">
              <w:rPr>
                <w:rFonts w:eastAsia="Arial Unicode MS" w:cs="Arial"/>
                <w:i w:val="0"/>
                <w:sz w:val="22"/>
                <w:szCs w:val="22"/>
              </w:rPr>
              <w:t xml:space="preserve">SOSI </w:t>
            </w:r>
            <w:r w:rsidRPr="005B5418">
              <w:rPr>
                <w:rFonts w:eastAsia="Arial Unicode MS" w:cs="Arial"/>
                <w:i w:val="0"/>
                <w:sz w:val="22"/>
                <w:szCs w:val="22"/>
              </w:rPr>
              <w:t>is required for programs defined as social insurance in SFFAS 17 with the exception of unemployment insurance for the general public</w:t>
            </w:r>
            <w:r w:rsidR="007E2DFD" w:rsidRPr="005B5418">
              <w:rPr>
                <w:rFonts w:eastAsia="Arial Unicode MS" w:cs="Arial"/>
                <w:i w:val="0"/>
                <w:sz w:val="22"/>
                <w:szCs w:val="22"/>
              </w:rPr>
              <w:t>,</w:t>
            </w:r>
            <w:r w:rsidRPr="005B5418">
              <w:rPr>
                <w:rFonts w:eastAsia="Arial Unicode MS" w:cs="Arial"/>
                <w:i w:val="0"/>
                <w:sz w:val="22"/>
                <w:szCs w:val="22"/>
              </w:rPr>
              <w:t xml:space="preserve"> which should report all available information as RSI following OMB Circular </w:t>
            </w:r>
            <w:r w:rsidR="00032FCF" w:rsidRPr="005B5418">
              <w:rPr>
                <w:rFonts w:eastAsia="Arial Unicode MS" w:cs="Arial"/>
                <w:i w:val="0"/>
                <w:sz w:val="22"/>
                <w:szCs w:val="22"/>
              </w:rPr>
              <w:t xml:space="preserve">No. </w:t>
            </w:r>
            <w:r w:rsidRPr="005B5418">
              <w:rPr>
                <w:rFonts w:eastAsia="Arial Unicode MS" w:cs="Arial"/>
                <w:i w:val="0"/>
                <w:sz w:val="22"/>
                <w:szCs w:val="22"/>
              </w:rPr>
              <w:t>A-136. (SFFAS 17, par</w:t>
            </w:r>
            <w:r w:rsidR="007E2DFD" w:rsidRPr="005B5418">
              <w:rPr>
                <w:rFonts w:eastAsia="Arial Unicode MS" w:cs="Arial"/>
                <w:i w:val="0"/>
                <w:sz w:val="22"/>
                <w:szCs w:val="22"/>
              </w:rPr>
              <w:t>as.</w:t>
            </w:r>
            <w:r w:rsidRPr="005B5418">
              <w:rPr>
                <w:rFonts w:eastAsia="Arial Unicode MS" w:cs="Arial"/>
                <w:i w:val="0"/>
                <w:sz w:val="22"/>
                <w:szCs w:val="22"/>
              </w:rPr>
              <w:t xml:space="preserve"> 27 (3) and 32(3); A-136, section II.3.7.1). SFFAS 37, par</w:t>
            </w:r>
            <w:r w:rsidR="007E2DFD" w:rsidRPr="005B5418">
              <w:rPr>
                <w:rFonts w:eastAsia="Arial Unicode MS" w:cs="Arial"/>
                <w:i w:val="0"/>
                <w:sz w:val="22"/>
                <w:szCs w:val="22"/>
              </w:rPr>
              <w:t>agraph</w:t>
            </w:r>
            <w:r w:rsidRPr="005B5418">
              <w:rPr>
                <w:rFonts w:eastAsia="Arial Unicode MS" w:cs="Arial"/>
                <w:i w:val="0"/>
                <w:sz w:val="22"/>
                <w:szCs w:val="22"/>
              </w:rPr>
              <w:t xml:space="preserve"> 31</w:t>
            </w:r>
            <w:r w:rsidR="007E2DFD" w:rsidRPr="005B5418">
              <w:rPr>
                <w:rFonts w:eastAsia="Arial Unicode MS" w:cs="Arial"/>
                <w:i w:val="0"/>
                <w:sz w:val="22"/>
                <w:szCs w:val="22"/>
              </w:rPr>
              <w:t>,</w:t>
            </w:r>
            <w:r w:rsidRPr="005B5418">
              <w:rPr>
                <w:rFonts w:eastAsia="Arial Unicode MS" w:cs="Arial"/>
                <w:i w:val="0"/>
                <w:sz w:val="22"/>
                <w:szCs w:val="22"/>
              </w:rPr>
              <w:t xml:space="preserve"> requires a basic financial statement (a </w:t>
            </w:r>
            <w:r w:rsidR="00182B75" w:rsidRPr="005B5418">
              <w:rPr>
                <w:rFonts w:eastAsia="Arial Unicode MS" w:cs="Arial"/>
                <w:i w:val="0"/>
                <w:sz w:val="22"/>
                <w:szCs w:val="22"/>
              </w:rPr>
              <w:t>SCSIA</w:t>
            </w:r>
            <w:r w:rsidRPr="005B5418">
              <w:rPr>
                <w:rFonts w:eastAsia="Arial Unicode MS" w:cs="Arial"/>
                <w:i w:val="0"/>
                <w:sz w:val="22"/>
                <w:szCs w:val="22"/>
              </w:rPr>
              <w:t xml:space="preserve">) to present significant components of the changes during the reporting period in the open group measure reported on the </w:t>
            </w:r>
            <w:r w:rsidR="007E2DFD" w:rsidRPr="005B5418">
              <w:rPr>
                <w:rFonts w:eastAsia="Arial Unicode MS" w:cs="Arial"/>
                <w:i w:val="0"/>
                <w:sz w:val="22"/>
                <w:szCs w:val="22"/>
              </w:rPr>
              <w:t>SOSI</w:t>
            </w:r>
            <w:r w:rsidRPr="005B5418">
              <w:rPr>
                <w:rFonts w:eastAsia="Arial Unicode MS" w:cs="Arial"/>
                <w:i w:val="0"/>
                <w:sz w:val="22"/>
                <w:szCs w:val="22"/>
              </w:rPr>
              <w:t xml:space="preserve">. </w:t>
            </w:r>
          </w:p>
          <w:p w14:paraId="0CE1F76F" w14:textId="7E922F47" w:rsidR="00C87B72" w:rsidRPr="005B5418" w:rsidRDefault="00C87B72" w:rsidP="008848DA">
            <w:pPr>
              <w:spacing w:before="60" w:after="60" w:line="240" w:lineRule="auto"/>
              <w:ind w:left="-35"/>
              <w:rPr>
                <w:rFonts w:cs="Arial"/>
                <w:lang w:val="pt-BR"/>
              </w:rPr>
            </w:pPr>
            <w:r w:rsidRPr="005B5418">
              <w:rPr>
                <w:rFonts w:ascii="Arial" w:eastAsia="Arial Unicode MS" w:hAnsi="Arial" w:cs="Arial"/>
              </w:rPr>
              <w:t>Note: Definitions of terms related to social insurance are in SFFAS 37, par</w:t>
            </w:r>
            <w:r w:rsidR="007E2DFD" w:rsidRPr="005B5418">
              <w:rPr>
                <w:rFonts w:ascii="Arial" w:eastAsia="Arial Unicode MS" w:hAnsi="Arial" w:cs="Arial"/>
              </w:rPr>
              <w:t xml:space="preserve">agraphs </w:t>
            </w:r>
            <w:r w:rsidRPr="005B5418">
              <w:rPr>
                <w:rFonts w:ascii="Arial" w:eastAsia="Arial Unicode MS" w:hAnsi="Arial" w:cs="Arial"/>
              </w:rPr>
              <w:t>15</w:t>
            </w:r>
            <w:r w:rsidR="007E2DFD" w:rsidRPr="005B5418">
              <w:rPr>
                <w:rFonts w:ascii="Arial" w:eastAsia="Arial Unicode MS" w:hAnsi="Arial" w:cs="Arial"/>
              </w:rPr>
              <w:t>–</w:t>
            </w:r>
            <w:r w:rsidRPr="005B5418">
              <w:rPr>
                <w:rFonts w:ascii="Arial" w:eastAsia="Arial Unicode MS" w:hAnsi="Arial" w:cs="Arial"/>
              </w:rPr>
              <w:t>22.</w:t>
            </w:r>
          </w:p>
        </w:tc>
      </w:tr>
      <w:tr w:rsidR="0056015E" w:rsidRPr="005B5418" w14:paraId="31E6860A" w14:textId="77777777" w:rsidTr="006C5478">
        <w:trPr>
          <w:cantSplit/>
          <w:trHeight w:val="1214"/>
        </w:trPr>
        <w:tc>
          <w:tcPr>
            <w:tcW w:w="5400" w:type="dxa"/>
          </w:tcPr>
          <w:p w14:paraId="0BD51C04" w14:textId="4DF7C0EC" w:rsidR="0056015E" w:rsidRPr="005B5418" w:rsidRDefault="005B2EE4" w:rsidP="00825C76">
            <w:pPr>
              <w:pStyle w:val="FAM-Table-outline"/>
              <w:numPr>
                <w:ilvl w:val="0"/>
                <w:numId w:val="54"/>
              </w:numPr>
              <w:spacing w:line="240" w:lineRule="auto"/>
              <w:rPr>
                <w:rFonts w:eastAsia="Arial Unicode MS"/>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7F1643" w:rsidRPr="005B5418">
              <w:rPr>
                <w:rFonts w:eastAsia="Arial Unicode MS" w:cs="Arial"/>
                <w:szCs w:val="22"/>
              </w:rPr>
              <w:t>.</w:t>
            </w:r>
            <w:r w:rsidRPr="005B5418">
              <w:rPr>
                <w:rFonts w:eastAsia="Arial Unicode MS" w:cs="Arial"/>
                <w:szCs w:val="22"/>
              </w:rPr>
              <w:t>)</w:t>
            </w:r>
          </w:p>
        </w:tc>
        <w:tc>
          <w:tcPr>
            <w:tcW w:w="965" w:type="dxa"/>
          </w:tcPr>
          <w:p w14:paraId="09A0775C" w14:textId="77777777" w:rsidR="0056015E" w:rsidRPr="005B5418" w:rsidRDefault="0056015E" w:rsidP="003B61E9">
            <w:pPr>
              <w:pStyle w:val="Table-Cell-CenterBoldBefore6ptAfter6pt"/>
              <w:rPr>
                <w:rFonts w:cs="Arial"/>
                <w:lang w:val="pt-BR"/>
              </w:rPr>
            </w:pPr>
          </w:p>
        </w:tc>
        <w:tc>
          <w:tcPr>
            <w:tcW w:w="3211" w:type="dxa"/>
          </w:tcPr>
          <w:p w14:paraId="6C0FB6D9" w14:textId="77777777" w:rsidR="0056015E" w:rsidRPr="005B5418" w:rsidRDefault="0056015E" w:rsidP="003B61E9">
            <w:pPr>
              <w:spacing w:line="240" w:lineRule="auto"/>
              <w:rPr>
                <w:rFonts w:cs="Arial"/>
                <w:lang w:val="pt-BR"/>
              </w:rPr>
            </w:pPr>
          </w:p>
        </w:tc>
      </w:tr>
      <w:tr w:rsidR="0056015E" w:rsidRPr="005B5418" w14:paraId="668D2040" w14:textId="77777777" w:rsidTr="0038293D">
        <w:trPr>
          <w:cantSplit/>
          <w:trHeight w:val="377"/>
        </w:trPr>
        <w:tc>
          <w:tcPr>
            <w:tcW w:w="9576" w:type="dxa"/>
            <w:gridSpan w:val="3"/>
          </w:tcPr>
          <w:p w14:paraId="73B0F3FD" w14:textId="77777777" w:rsidR="0056015E" w:rsidRPr="005B5418" w:rsidRDefault="0056015E" w:rsidP="008848DA">
            <w:pPr>
              <w:spacing w:before="60" w:after="60" w:line="240" w:lineRule="auto"/>
              <w:rPr>
                <w:rFonts w:ascii="Arial" w:hAnsi="Arial" w:cs="Arial"/>
                <w:b/>
                <w:lang w:val="pt-BR"/>
              </w:rPr>
            </w:pPr>
            <w:r w:rsidRPr="005B5418">
              <w:rPr>
                <w:rFonts w:ascii="Arial" w:hAnsi="Arial" w:cs="Arial"/>
                <w:b/>
                <w:lang w:val="pt-BR"/>
              </w:rPr>
              <w:t>Accounting</w:t>
            </w:r>
          </w:p>
        </w:tc>
      </w:tr>
      <w:tr w:rsidR="009522BB" w:rsidRPr="005B5418" w14:paraId="45B768C1" w14:textId="77777777" w:rsidTr="006C5478">
        <w:trPr>
          <w:cantSplit/>
          <w:trHeight w:val="1214"/>
        </w:trPr>
        <w:tc>
          <w:tcPr>
            <w:tcW w:w="5400" w:type="dxa"/>
          </w:tcPr>
          <w:p w14:paraId="4F1B3474" w14:textId="3304F7AB" w:rsidR="009522BB" w:rsidRPr="005B5418" w:rsidRDefault="009522BB" w:rsidP="00825C76">
            <w:pPr>
              <w:pStyle w:val="FAM-Table-outline"/>
              <w:numPr>
                <w:ilvl w:val="0"/>
                <w:numId w:val="54"/>
              </w:numPr>
              <w:spacing w:line="240" w:lineRule="auto"/>
              <w:rPr>
                <w:rFonts w:eastAsia="Arial Unicode MS"/>
              </w:rPr>
            </w:pPr>
            <w:r w:rsidRPr="005B5418">
              <w:rPr>
                <w:rFonts w:eastAsia="Arial Unicode MS"/>
              </w:rPr>
              <w:t>Does the entity recognize an expense for social insurance</w:t>
            </w:r>
            <w:r w:rsidRPr="005B5418">
              <w:rPr>
                <w:rStyle w:val="FootnoteReference"/>
                <w:rFonts w:eastAsia="Arial Unicode MS" w:cs="Arial"/>
                <w:szCs w:val="22"/>
              </w:rPr>
              <w:footnoteReference w:id="251"/>
            </w:r>
            <w:r w:rsidRPr="005B5418">
              <w:rPr>
                <w:rFonts w:eastAsia="Arial Unicode MS"/>
              </w:rPr>
              <w:t xml:space="preserve"> benefits paid during the reporting period plus any increase (or less any decrease) in the liability for social insurance benefits due and payable to or on behalf of beneficiaries, from the end of the prior period to the end of the current period? (SFFAS 17, par</w:t>
            </w:r>
            <w:r w:rsidR="007F1643" w:rsidRPr="005B5418">
              <w:rPr>
                <w:rFonts w:eastAsia="Arial Unicode MS"/>
              </w:rPr>
              <w:t>a</w:t>
            </w:r>
            <w:r w:rsidRPr="005B5418">
              <w:rPr>
                <w:rFonts w:eastAsia="Arial Unicode MS"/>
              </w:rPr>
              <w:t>. 22)</w:t>
            </w:r>
          </w:p>
        </w:tc>
        <w:tc>
          <w:tcPr>
            <w:tcW w:w="965" w:type="dxa"/>
          </w:tcPr>
          <w:p w14:paraId="61B833FC" w14:textId="77777777" w:rsidR="009522BB" w:rsidRPr="005B5418" w:rsidRDefault="009522BB" w:rsidP="003B61E9">
            <w:pPr>
              <w:pStyle w:val="Table-Cell-CenterBoldBefore6ptAfter6pt"/>
              <w:rPr>
                <w:rFonts w:cs="Arial"/>
                <w:lang w:val="pt-BR"/>
              </w:rPr>
            </w:pPr>
          </w:p>
        </w:tc>
        <w:tc>
          <w:tcPr>
            <w:tcW w:w="3211" w:type="dxa"/>
          </w:tcPr>
          <w:p w14:paraId="72AF2F53" w14:textId="77777777" w:rsidR="009522BB" w:rsidRPr="005B5418" w:rsidRDefault="009522BB" w:rsidP="003B61E9">
            <w:pPr>
              <w:spacing w:line="240" w:lineRule="auto"/>
              <w:rPr>
                <w:rFonts w:cs="Arial"/>
                <w:lang w:val="pt-BR"/>
              </w:rPr>
            </w:pPr>
          </w:p>
        </w:tc>
      </w:tr>
      <w:tr w:rsidR="009522BB" w:rsidRPr="005B5418" w14:paraId="183FBF32" w14:textId="77777777" w:rsidTr="006C5478">
        <w:trPr>
          <w:cantSplit/>
          <w:trHeight w:val="1214"/>
        </w:trPr>
        <w:tc>
          <w:tcPr>
            <w:tcW w:w="5400" w:type="dxa"/>
          </w:tcPr>
          <w:p w14:paraId="283A99A5" w14:textId="77777777" w:rsidR="009522BB" w:rsidRPr="005B5418" w:rsidRDefault="009522BB" w:rsidP="007C7489">
            <w:pPr>
              <w:pStyle w:val="FAM-Table-outline"/>
              <w:spacing w:line="240" w:lineRule="auto"/>
              <w:rPr>
                <w:rFonts w:eastAsia="Arial Unicode MS"/>
              </w:rPr>
            </w:pPr>
            <w:r w:rsidRPr="005B5418">
              <w:rPr>
                <w:rFonts w:eastAsia="Arial Unicode MS"/>
              </w:rPr>
              <w:lastRenderedPageBreak/>
              <w:t>Does the liability for unemployment insurance include</w:t>
            </w:r>
          </w:p>
          <w:p w14:paraId="6B250723" w14:textId="108F5B7F" w:rsidR="009522BB" w:rsidRPr="005B5418" w:rsidRDefault="009522BB" w:rsidP="005425ED">
            <w:pPr>
              <w:pStyle w:val="FAM-Table-outline2"/>
              <w:spacing w:line="240" w:lineRule="auto"/>
              <w:ind w:left="1140" w:hanging="443"/>
            </w:pPr>
            <w:r w:rsidRPr="005B5418">
              <w:t>amounts due to states and territories for benefits they have paid to beneficiaries but for which they have not withdrawn funds from the federal Unemployment Trust Fund (UTF) as of the fiscal year end, and</w:t>
            </w:r>
          </w:p>
          <w:p w14:paraId="068FAC66" w14:textId="346AA83E" w:rsidR="009522BB" w:rsidRPr="005B5418" w:rsidRDefault="009522BB" w:rsidP="005425ED">
            <w:pPr>
              <w:pStyle w:val="FAM-Table-outline2"/>
              <w:spacing w:line="240" w:lineRule="auto"/>
              <w:ind w:left="1140" w:hanging="443"/>
              <w:rPr>
                <w:rFonts w:eastAsia="Arial Unicode MS"/>
              </w:rPr>
            </w:pPr>
            <w:r w:rsidRPr="005B5418">
              <w:t>estimated amounts to be withdrawn from UTF and benefits paid by states and territories after fiscal year end for compensatory days occurring prior to fiscal year end? (SFFAS 17, par</w:t>
            </w:r>
            <w:r w:rsidR="007969F9" w:rsidRPr="005B5418">
              <w:t>a</w:t>
            </w:r>
            <w:r w:rsidRPr="005B5418">
              <w:t>. 23)</w:t>
            </w:r>
          </w:p>
        </w:tc>
        <w:tc>
          <w:tcPr>
            <w:tcW w:w="965" w:type="dxa"/>
          </w:tcPr>
          <w:p w14:paraId="50D58112" w14:textId="77777777" w:rsidR="009522BB" w:rsidRPr="005B5418" w:rsidRDefault="009522BB" w:rsidP="003B61E9">
            <w:pPr>
              <w:pStyle w:val="Table-Cell-CenterBoldBefore6ptAfter6pt"/>
              <w:rPr>
                <w:rFonts w:cs="Arial"/>
                <w:lang w:val="pt-BR"/>
              </w:rPr>
            </w:pPr>
          </w:p>
        </w:tc>
        <w:tc>
          <w:tcPr>
            <w:tcW w:w="3211" w:type="dxa"/>
          </w:tcPr>
          <w:p w14:paraId="29C57C56" w14:textId="77777777" w:rsidR="009522BB" w:rsidRPr="005B5418" w:rsidRDefault="009522BB" w:rsidP="003B61E9">
            <w:pPr>
              <w:spacing w:line="240" w:lineRule="auto"/>
              <w:rPr>
                <w:rFonts w:cs="Arial"/>
                <w:lang w:val="pt-BR"/>
              </w:rPr>
            </w:pPr>
          </w:p>
        </w:tc>
      </w:tr>
      <w:tr w:rsidR="00E30584" w:rsidRPr="005B5418" w14:paraId="507FDF22" w14:textId="77777777" w:rsidTr="006C5478">
        <w:trPr>
          <w:cantSplit/>
          <w:trHeight w:val="1214"/>
        </w:trPr>
        <w:tc>
          <w:tcPr>
            <w:tcW w:w="5400" w:type="dxa"/>
          </w:tcPr>
          <w:p w14:paraId="60968D5F" w14:textId="3246B6CD" w:rsidR="00E30584" w:rsidRPr="005B5418" w:rsidRDefault="00E30584" w:rsidP="00343610">
            <w:pPr>
              <w:pStyle w:val="FAM-Table-outline"/>
              <w:numPr>
                <w:ilvl w:val="0"/>
                <w:numId w:val="18"/>
              </w:numPr>
              <w:spacing w:line="240" w:lineRule="auto"/>
              <w:rPr>
                <w:rFonts w:cs="Arial"/>
              </w:rPr>
            </w:pPr>
            <w:r w:rsidRPr="005B5418">
              <w:rPr>
                <w:rFonts w:eastAsia="Arial Unicode MS"/>
              </w:rPr>
              <w:t>Does the entity recognize a liability for social insurance benefits due and payable</w:t>
            </w:r>
            <w:r w:rsidR="007969F9" w:rsidRPr="005B5418">
              <w:rPr>
                <w:rFonts w:eastAsia="Arial Unicode MS"/>
              </w:rPr>
              <w:t>,</w:t>
            </w:r>
            <w:r w:rsidRPr="005B5418">
              <w:rPr>
                <w:rFonts w:eastAsia="Arial Unicode MS"/>
              </w:rPr>
              <w:t xml:space="preserve"> including claims incurred but not reported? (SFFAS 17, par</w:t>
            </w:r>
            <w:r w:rsidR="007969F9" w:rsidRPr="005B5418">
              <w:rPr>
                <w:rFonts w:eastAsia="Arial Unicode MS"/>
              </w:rPr>
              <w:t>a</w:t>
            </w:r>
            <w:r w:rsidRPr="005B5418">
              <w:rPr>
                <w:rFonts w:eastAsia="Arial Unicode MS"/>
              </w:rPr>
              <w:t>. 22)</w:t>
            </w:r>
          </w:p>
        </w:tc>
        <w:tc>
          <w:tcPr>
            <w:tcW w:w="965" w:type="dxa"/>
          </w:tcPr>
          <w:p w14:paraId="0ABA55CC" w14:textId="77777777" w:rsidR="00E30584" w:rsidRPr="005B5418" w:rsidRDefault="00E30584" w:rsidP="003B61E9">
            <w:pPr>
              <w:pStyle w:val="Table-Cell-CenterBoldBefore6ptAfter6pt"/>
              <w:rPr>
                <w:rFonts w:cs="Arial"/>
                <w:lang w:val="pt-BR"/>
              </w:rPr>
            </w:pPr>
          </w:p>
        </w:tc>
        <w:tc>
          <w:tcPr>
            <w:tcW w:w="3211" w:type="dxa"/>
          </w:tcPr>
          <w:p w14:paraId="297A363F" w14:textId="77777777" w:rsidR="00E30584" w:rsidRPr="005B5418" w:rsidRDefault="00E30584" w:rsidP="003B61E9">
            <w:pPr>
              <w:spacing w:line="240" w:lineRule="auto"/>
              <w:rPr>
                <w:rFonts w:cs="Arial"/>
                <w:lang w:val="pt-BR"/>
              </w:rPr>
            </w:pPr>
          </w:p>
        </w:tc>
      </w:tr>
      <w:tr w:rsidR="00767A8F" w:rsidRPr="005B5418" w14:paraId="63387551" w14:textId="77777777" w:rsidTr="006C5478">
        <w:trPr>
          <w:cantSplit/>
          <w:trHeight w:val="1214"/>
        </w:trPr>
        <w:tc>
          <w:tcPr>
            <w:tcW w:w="5400" w:type="dxa"/>
          </w:tcPr>
          <w:p w14:paraId="54A009CC" w14:textId="36F9A3CF" w:rsidR="00767A8F" w:rsidRPr="005B5418" w:rsidRDefault="00767A8F" w:rsidP="00825C76">
            <w:pPr>
              <w:pStyle w:val="FAM-Table-outline"/>
              <w:widowControl/>
              <w:numPr>
                <w:ilvl w:val="0"/>
                <w:numId w:val="51"/>
              </w:numPr>
              <w:adjustRightInd/>
              <w:spacing w:line="240" w:lineRule="auto"/>
              <w:textAlignment w:val="auto"/>
              <w:rPr>
                <w:rFonts w:cs="Arial"/>
              </w:rPr>
            </w:pPr>
            <w:r w:rsidRPr="005B5418">
              <w:rPr>
                <w:rFonts w:eastAsia="Arial Unicode MS" w:cs="Arial"/>
                <w:szCs w:val="22"/>
              </w:rPr>
              <w:t>Are the projections and estimates used based on the entity’s reasonable estimates of demographic and economic assumptions</w:t>
            </w:r>
            <w:r w:rsidR="007969F9" w:rsidRPr="005B5418">
              <w:rPr>
                <w:rFonts w:eastAsia="Arial Unicode MS" w:cs="Arial"/>
                <w:szCs w:val="22"/>
              </w:rPr>
              <w:t>,</w:t>
            </w:r>
            <w:r w:rsidRPr="005B5418">
              <w:rPr>
                <w:rFonts w:eastAsia="Arial Unicode MS" w:cs="Arial"/>
                <w:szCs w:val="22"/>
              </w:rPr>
              <w:t xml:space="preserve"> taking each factor individually? (SFFAS 17, par</w:t>
            </w:r>
            <w:r w:rsidR="007969F9" w:rsidRPr="005B5418">
              <w:rPr>
                <w:rFonts w:eastAsia="Arial Unicode MS" w:cs="Arial"/>
                <w:szCs w:val="22"/>
              </w:rPr>
              <w:t>a</w:t>
            </w:r>
            <w:r w:rsidRPr="005B5418">
              <w:rPr>
                <w:rFonts w:eastAsia="Arial Unicode MS" w:cs="Arial"/>
                <w:szCs w:val="22"/>
              </w:rPr>
              <w:t>. 25)</w:t>
            </w:r>
          </w:p>
        </w:tc>
        <w:tc>
          <w:tcPr>
            <w:tcW w:w="965" w:type="dxa"/>
          </w:tcPr>
          <w:p w14:paraId="1AA4A6E9" w14:textId="77777777" w:rsidR="00767A8F" w:rsidRPr="005B5418" w:rsidRDefault="00767A8F" w:rsidP="003B61E9">
            <w:pPr>
              <w:pStyle w:val="Table-Cell-CenterBoldBefore6ptAfter6pt"/>
              <w:rPr>
                <w:rFonts w:cs="Arial"/>
                <w:lang w:val="pt-BR"/>
              </w:rPr>
            </w:pPr>
          </w:p>
        </w:tc>
        <w:tc>
          <w:tcPr>
            <w:tcW w:w="3211" w:type="dxa"/>
          </w:tcPr>
          <w:p w14:paraId="39A3FD48" w14:textId="77777777" w:rsidR="00767A8F" w:rsidRPr="005B5418" w:rsidRDefault="00767A8F" w:rsidP="003B61E9">
            <w:pPr>
              <w:spacing w:line="240" w:lineRule="auto"/>
              <w:rPr>
                <w:rFonts w:cs="Arial"/>
                <w:lang w:val="pt-BR"/>
              </w:rPr>
            </w:pPr>
          </w:p>
        </w:tc>
      </w:tr>
      <w:tr w:rsidR="00767A8F" w:rsidRPr="005B5418" w14:paraId="3B102B48" w14:textId="77777777" w:rsidTr="006C5478">
        <w:trPr>
          <w:cantSplit/>
          <w:trHeight w:val="1214"/>
        </w:trPr>
        <w:tc>
          <w:tcPr>
            <w:tcW w:w="5400" w:type="dxa"/>
          </w:tcPr>
          <w:p w14:paraId="07F98D2E" w14:textId="00E6BDE0" w:rsidR="00767A8F" w:rsidRPr="005B5418" w:rsidRDefault="00767A8F" w:rsidP="00825C76">
            <w:pPr>
              <w:pStyle w:val="FAM-Table-outline"/>
              <w:widowControl/>
              <w:numPr>
                <w:ilvl w:val="0"/>
                <w:numId w:val="51"/>
              </w:numPr>
              <w:adjustRightInd/>
              <w:spacing w:line="240" w:lineRule="auto"/>
              <w:textAlignment w:val="auto"/>
              <w:rPr>
                <w:rFonts w:cs="Arial"/>
              </w:rPr>
            </w:pPr>
            <w:r w:rsidRPr="005B5418">
              <w:rPr>
                <w:rFonts w:eastAsia="Arial Unicode MS"/>
              </w:rPr>
              <w:t>Are future changes mandated by current law incorporated into the entity’s demographic and economic assumptions</w:t>
            </w:r>
            <w:r w:rsidR="007969F9" w:rsidRPr="005B5418">
              <w:rPr>
                <w:rFonts w:eastAsia="Arial Unicode MS"/>
              </w:rPr>
              <w:t>,</w:t>
            </w:r>
            <w:r w:rsidRPr="005B5418">
              <w:rPr>
                <w:rFonts w:eastAsia="Arial Unicode MS"/>
              </w:rPr>
              <w:t xml:space="preserve"> and are significant assumptions disclosed? (SFFAS 17, par</w:t>
            </w:r>
            <w:r w:rsidR="007969F9" w:rsidRPr="005B5418">
              <w:rPr>
                <w:rFonts w:eastAsia="Arial Unicode MS"/>
              </w:rPr>
              <w:t>a</w:t>
            </w:r>
            <w:r w:rsidRPr="005B5418">
              <w:rPr>
                <w:rFonts w:eastAsia="Arial Unicode MS"/>
              </w:rPr>
              <w:t>. 25)</w:t>
            </w:r>
          </w:p>
        </w:tc>
        <w:tc>
          <w:tcPr>
            <w:tcW w:w="965" w:type="dxa"/>
          </w:tcPr>
          <w:p w14:paraId="0BA9CEA5" w14:textId="77777777" w:rsidR="00767A8F" w:rsidRPr="005B5418" w:rsidRDefault="00767A8F" w:rsidP="003B61E9">
            <w:pPr>
              <w:pStyle w:val="Table-Cell-CenterBoldBefore6ptAfter6pt"/>
              <w:rPr>
                <w:rFonts w:cs="Arial"/>
                <w:lang w:val="pt-BR"/>
              </w:rPr>
            </w:pPr>
          </w:p>
        </w:tc>
        <w:tc>
          <w:tcPr>
            <w:tcW w:w="3211" w:type="dxa"/>
          </w:tcPr>
          <w:p w14:paraId="0C693483" w14:textId="77777777" w:rsidR="00767A8F" w:rsidRPr="005B5418" w:rsidRDefault="00767A8F" w:rsidP="003B61E9">
            <w:pPr>
              <w:spacing w:line="240" w:lineRule="auto"/>
              <w:rPr>
                <w:rFonts w:cs="Arial"/>
                <w:lang w:val="pt-BR"/>
              </w:rPr>
            </w:pPr>
          </w:p>
        </w:tc>
      </w:tr>
      <w:tr w:rsidR="00767A8F" w:rsidRPr="005B5418" w14:paraId="5E90D08D" w14:textId="77777777" w:rsidTr="006C5478">
        <w:trPr>
          <w:cantSplit/>
          <w:trHeight w:val="1214"/>
        </w:trPr>
        <w:tc>
          <w:tcPr>
            <w:tcW w:w="5400" w:type="dxa"/>
          </w:tcPr>
          <w:p w14:paraId="76592AA4" w14:textId="4F9757EB" w:rsidR="00767A8F" w:rsidRPr="005B5418" w:rsidRDefault="00767A8F" w:rsidP="00AA3F05">
            <w:pPr>
              <w:pStyle w:val="FAM-Table-outline"/>
              <w:widowControl/>
              <w:numPr>
                <w:ilvl w:val="0"/>
                <w:numId w:val="51"/>
              </w:numPr>
              <w:adjustRightInd/>
              <w:spacing w:line="240" w:lineRule="auto"/>
              <w:textAlignment w:val="auto"/>
              <w:rPr>
                <w:rFonts w:cs="Arial"/>
              </w:rPr>
            </w:pPr>
            <w:r w:rsidRPr="005B5418">
              <w:rPr>
                <w:rFonts w:eastAsia="Arial Unicode MS"/>
              </w:rPr>
              <w:t xml:space="preserve">Are all projections and estimates made as of a date (the valuation date) as close to the end of the fiscal year (current year) being reported on as possible and no more than </w:t>
            </w:r>
            <w:r w:rsidR="007969F9" w:rsidRPr="005B5418">
              <w:rPr>
                <w:rFonts w:eastAsia="Arial Unicode MS"/>
              </w:rPr>
              <w:t>1</w:t>
            </w:r>
            <w:r w:rsidRPr="005B5418">
              <w:rPr>
                <w:rFonts w:eastAsia="Arial Unicode MS"/>
              </w:rPr>
              <w:t xml:space="preserve"> year prior to the end of the current year? (SFFAS 17, par</w:t>
            </w:r>
            <w:r w:rsidR="007969F9" w:rsidRPr="005B5418">
              <w:rPr>
                <w:rFonts w:eastAsia="Arial Unicode MS"/>
              </w:rPr>
              <w:t>a</w:t>
            </w:r>
            <w:r w:rsidRPr="005B5418">
              <w:rPr>
                <w:rFonts w:eastAsia="Arial Unicode MS"/>
              </w:rPr>
              <w:t>. 26)</w:t>
            </w:r>
          </w:p>
        </w:tc>
        <w:tc>
          <w:tcPr>
            <w:tcW w:w="965" w:type="dxa"/>
          </w:tcPr>
          <w:p w14:paraId="55C5CC57" w14:textId="77777777" w:rsidR="00767A8F" w:rsidRPr="005B5418" w:rsidRDefault="00767A8F" w:rsidP="003B61E9">
            <w:pPr>
              <w:pStyle w:val="Table-Cell-CenterBoldBefore6ptAfter6pt"/>
              <w:rPr>
                <w:rFonts w:cs="Arial"/>
                <w:lang w:val="pt-BR"/>
              </w:rPr>
            </w:pPr>
          </w:p>
        </w:tc>
        <w:tc>
          <w:tcPr>
            <w:tcW w:w="3211" w:type="dxa"/>
          </w:tcPr>
          <w:p w14:paraId="203CFBB3" w14:textId="77777777" w:rsidR="00767A8F" w:rsidRPr="005B5418" w:rsidRDefault="00767A8F" w:rsidP="003B61E9">
            <w:pPr>
              <w:spacing w:line="240" w:lineRule="auto"/>
              <w:rPr>
                <w:rFonts w:cs="Arial"/>
                <w:lang w:val="pt-BR"/>
              </w:rPr>
            </w:pPr>
          </w:p>
        </w:tc>
      </w:tr>
      <w:tr w:rsidR="00767A8F" w:rsidRPr="005B5418" w14:paraId="6EF4D7F6" w14:textId="77777777" w:rsidTr="00A94CBC">
        <w:trPr>
          <w:cantSplit/>
          <w:trHeight w:val="854"/>
        </w:trPr>
        <w:tc>
          <w:tcPr>
            <w:tcW w:w="5400" w:type="dxa"/>
          </w:tcPr>
          <w:p w14:paraId="749D98D8" w14:textId="73A6054E" w:rsidR="00767A8F" w:rsidRPr="005B5418" w:rsidRDefault="00767A8F" w:rsidP="00825C76">
            <w:pPr>
              <w:pStyle w:val="FAM-Table-outline"/>
              <w:widowControl/>
              <w:numPr>
                <w:ilvl w:val="0"/>
                <w:numId w:val="51"/>
              </w:numPr>
              <w:adjustRightInd/>
              <w:spacing w:line="240" w:lineRule="auto"/>
              <w:textAlignment w:val="auto"/>
              <w:rPr>
                <w:rFonts w:cs="Arial"/>
              </w:rPr>
            </w:pPr>
            <w:r w:rsidRPr="005B5418">
              <w:rPr>
                <w:rFonts w:eastAsia="Arial Unicode MS"/>
              </w:rPr>
              <w:t>Is the valuation date consistently followed from year to year? (SFFAS 17, par</w:t>
            </w:r>
            <w:r w:rsidR="007969F9" w:rsidRPr="005B5418">
              <w:rPr>
                <w:rFonts w:eastAsia="Arial Unicode MS"/>
              </w:rPr>
              <w:t>a</w:t>
            </w:r>
            <w:r w:rsidRPr="005B5418">
              <w:rPr>
                <w:rFonts w:eastAsia="Arial Unicode MS"/>
              </w:rPr>
              <w:t>. 26)</w:t>
            </w:r>
          </w:p>
        </w:tc>
        <w:tc>
          <w:tcPr>
            <w:tcW w:w="965" w:type="dxa"/>
          </w:tcPr>
          <w:p w14:paraId="5CFD9EB0" w14:textId="77777777" w:rsidR="00767A8F" w:rsidRPr="005B5418" w:rsidRDefault="00767A8F" w:rsidP="003B61E9">
            <w:pPr>
              <w:pStyle w:val="Table-Cell-CenterBoldBefore6ptAfter6pt"/>
              <w:rPr>
                <w:rFonts w:cs="Arial"/>
                <w:lang w:val="pt-BR"/>
              </w:rPr>
            </w:pPr>
          </w:p>
        </w:tc>
        <w:tc>
          <w:tcPr>
            <w:tcW w:w="3211" w:type="dxa"/>
          </w:tcPr>
          <w:p w14:paraId="08BDA879" w14:textId="77777777" w:rsidR="00767A8F" w:rsidRPr="005B5418" w:rsidRDefault="00767A8F" w:rsidP="003B61E9">
            <w:pPr>
              <w:spacing w:line="240" w:lineRule="auto"/>
              <w:rPr>
                <w:rFonts w:cs="Arial"/>
                <w:lang w:val="pt-BR"/>
              </w:rPr>
            </w:pPr>
          </w:p>
        </w:tc>
      </w:tr>
      <w:tr w:rsidR="00767A8F" w:rsidRPr="005B5418" w14:paraId="131DBF47" w14:textId="77777777" w:rsidTr="006C5478">
        <w:trPr>
          <w:cantSplit/>
          <w:trHeight w:val="1214"/>
        </w:trPr>
        <w:tc>
          <w:tcPr>
            <w:tcW w:w="5400" w:type="dxa"/>
          </w:tcPr>
          <w:p w14:paraId="420DE670" w14:textId="243423DA" w:rsidR="00767A8F" w:rsidRPr="005B5418" w:rsidRDefault="00767A8F" w:rsidP="00825C76">
            <w:pPr>
              <w:pStyle w:val="FAM-Table-outline"/>
              <w:widowControl/>
              <w:numPr>
                <w:ilvl w:val="0"/>
                <w:numId w:val="51"/>
              </w:numPr>
              <w:adjustRightInd/>
              <w:spacing w:line="240" w:lineRule="auto"/>
              <w:textAlignment w:val="auto"/>
              <w:rPr>
                <w:rFonts w:cs="Arial"/>
              </w:rPr>
            </w:pPr>
            <w:r w:rsidRPr="005B5418">
              <w:rPr>
                <w:rFonts w:eastAsia="Arial Unicode MS"/>
              </w:rPr>
              <w:lastRenderedPageBreak/>
              <w:t>If, after the valuation date, but prior to the end of the fiscal year, policy changes are enacted that could materially affect the basic statement, are the projections adjusted, if feasible, as if the policy changes took place as of the valuation date? (SFFAS 17, par</w:t>
            </w:r>
            <w:r w:rsidR="00B555E1" w:rsidRPr="005B5418">
              <w:rPr>
                <w:rFonts w:eastAsia="Arial Unicode MS"/>
              </w:rPr>
              <w:t>a</w:t>
            </w:r>
            <w:r w:rsidRPr="005B5418">
              <w:rPr>
                <w:rFonts w:eastAsia="Arial Unicode MS"/>
              </w:rPr>
              <w:t xml:space="preserve">. 26) </w:t>
            </w:r>
          </w:p>
        </w:tc>
        <w:tc>
          <w:tcPr>
            <w:tcW w:w="965" w:type="dxa"/>
          </w:tcPr>
          <w:p w14:paraId="2A4E2A16" w14:textId="77777777" w:rsidR="00767A8F" w:rsidRPr="005B5418" w:rsidRDefault="00767A8F" w:rsidP="003B61E9">
            <w:pPr>
              <w:pStyle w:val="Table-Cell-CenterBoldBefore6ptAfter6pt"/>
              <w:rPr>
                <w:rFonts w:cs="Arial"/>
                <w:lang w:val="pt-BR"/>
              </w:rPr>
            </w:pPr>
          </w:p>
        </w:tc>
        <w:tc>
          <w:tcPr>
            <w:tcW w:w="3211" w:type="dxa"/>
          </w:tcPr>
          <w:p w14:paraId="13B147D7" w14:textId="77777777" w:rsidR="00767A8F" w:rsidRPr="005B5418" w:rsidRDefault="00767A8F" w:rsidP="003B61E9">
            <w:pPr>
              <w:spacing w:line="240" w:lineRule="auto"/>
              <w:rPr>
                <w:rFonts w:cs="Arial"/>
                <w:lang w:val="pt-BR"/>
              </w:rPr>
            </w:pPr>
          </w:p>
        </w:tc>
      </w:tr>
      <w:tr w:rsidR="00767A8F" w:rsidRPr="005B5418" w14:paraId="4610C804" w14:textId="77777777" w:rsidTr="006C5478">
        <w:trPr>
          <w:cantSplit/>
          <w:trHeight w:val="1214"/>
        </w:trPr>
        <w:tc>
          <w:tcPr>
            <w:tcW w:w="5400" w:type="dxa"/>
          </w:tcPr>
          <w:p w14:paraId="773FB4CC" w14:textId="0F63C266" w:rsidR="00767A8F" w:rsidRPr="005B5418" w:rsidRDefault="00767A8F" w:rsidP="00825C76">
            <w:pPr>
              <w:pStyle w:val="FAM-Table-outline"/>
              <w:widowControl/>
              <w:numPr>
                <w:ilvl w:val="0"/>
                <w:numId w:val="51"/>
              </w:numPr>
              <w:adjustRightInd/>
              <w:spacing w:line="240" w:lineRule="auto"/>
              <w:textAlignment w:val="auto"/>
              <w:rPr>
                <w:rFonts w:cs="Arial"/>
              </w:rPr>
            </w:pPr>
            <w:r w:rsidRPr="005B5418">
              <w:rPr>
                <w:rFonts w:eastAsia="Arial Unicode MS"/>
              </w:rPr>
              <w:t>If, after the valuation date, but prior to the end of the fiscal year, policy changes are enacted that could materially affect the basic statement, but it is not feasible to adjust the projections, has the entity estimated the magnitude of the effect of the policy change on the projections, if possible? (SFFAS 17, par</w:t>
            </w:r>
            <w:r w:rsidR="00B555E1" w:rsidRPr="005B5418">
              <w:rPr>
                <w:rFonts w:eastAsia="Arial Unicode MS"/>
              </w:rPr>
              <w:t>a</w:t>
            </w:r>
            <w:r w:rsidRPr="005B5418">
              <w:rPr>
                <w:rFonts w:eastAsia="Arial Unicode MS"/>
              </w:rPr>
              <w:t>. 26)</w:t>
            </w:r>
          </w:p>
        </w:tc>
        <w:tc>
          <w:tcPr>
            <w:tcW w:w="965" w:type="dxa"/>
          </w:tcPr>
          <w:p w14:paraId="6207E42D" w14:textId="77777777" w:rsidR="00767A8F" w:rsidRPr="005B5418" w:rsidRDefault="00767A8F" w:rsidP="003B61E9">
            <w:pPr>
              <w:pStyle w:val="Table-Cell-CenterBoldBefore6ptAfter6pt"/>
              <w:rPr>
                <w:rFonts w:cs="Arial"/>
                <w:lang w:val="pt-BR"/>
              </w:rPr>
            </w:pPr>
          </w:p>
        </w:tc>
        <w:tc>
          <w:tcPr>
            <w:tcW w:w="3211" w:type="dxa"/>
          </w:tcPr>
          <w:p w14:paraId="63C98C1B" w14:textId="77777777" w:rsidR="00767A8F" w:rsidRPr="005B5418" w:rsidRDefault="00767A8F" w:rsidP="003B61E9">
            <w:pPr>
              <w:spacing w:line="240" w:lineRule="auto"/>
              <w:rPr>
                <w:rFonts w:cs="Arial"/>
                <w:lang w:val="pt-BR"/>
              </w:rPr>
            </w:pPr>
          </w:p>
        </w:tc>
      </w:tr>
      <w:tr w:rsidR="00FF51DC" w:rsidRPr="005B5418" w14:paraId="0E2F4EEB" w14:textId="77777777" w:rsidTr="00FF51DC">
        <w:trPr>
          <w:cantSplit/>
          <w:trHeight w:val="377"/>
        </w:trPr>
        <w:tc>
          <w:tcPr>
            <w:tcW w:w="9576" w:type="dxa"/>
            <w:gridSpan w:val="3"/>
          </w:tcPr>
          <w:p w14:paraId="0CD623FD" w14:textId="77777777" w:rsidR="00FF51DC" w:rsidRPr="005B5418" w:rsidRDefault="00FF51DC" w:rsidP="008848DA">
            <w:pPr>
              <w:spacing w:before="60" w:after="60" w:line="240" w:lineRule="auto"/>
              <w:rPr>
                <w:rFonts w:ascii="Arial" w:hAnsi="Arial" w:cs="Arial"/>
                <w:b/>
                <w:lang w:val="pt-BR"/>
              </w:rPr>
            </w:pPr>
            <w:r w:rsidRPr="005B5418">
              <w:rPr>
                <w:rFonts w:ascii="Arial" w:hAnsi="Arial" w:cs="Arial"/>
                <w:b/>
                <w:lang w:val="pt-BR"/>
              </w:rPr>
              <w:t>Disclosure</w:t>
            </w:r>
          </w:p>
        </w:tc>
      </w:tr>
      <w:tr w:rsidR="00A629E5" w:rsidRPr="005B5418" w14:paraId="61EE9E95" w14:textId="77777777" w:rsidTr="006C5478">
        <w:trPr>
          <w:cantSplit/>
          <w:trHeight w:val="1214"/>
        </w:trPr>
        <w:tc>
          <w:tcPr>
            <w:tcW w:w="5400" w:type="dxa"/>
          </w:tcPr>
          <w:p w14:paraId="47F35514" w14:textId="2EA456A6" w:rsidR="00A629E5" w:rsidRPr="005B5418" w:rsidRDefault="00A629E5" w:rsidP="00825C76">
            <w:pPr>
              <w:pStyle w:val="FAM-Table-outline"/>
              <w:widowControl/>
              <w:numPr>
                <w:ilvl w:val="0"/>
                <w:numId w:val="51"/>
              </w:numPr>
              <w:adjustRightInd/>
              <w:spacing w:line="240" w:lineRule="auto"/>
              <w:textAlignment w:val="auto"/>
              <w:rPr>
                <w:rFonts w:cs="Arial"/>
                <w:lang w:val="pt-BR"/>
              </w:rPr>
            </w:pPr>
            <w:r w:rsidRPr="005B5418">
              <w:rPr>
                <w:rFonts w:cs="Arial"/>
              </w:rPr>
              <w:t xml:space="preserve">Are significant assumptions used in making </w:t>
            </w:r>
            <w:r w:rsidR="00B555E1" w:rsidRPr="005B5418">
              <w:rPr>
                <w:rFonts w:cs="Arial"/>
              </w:rPr>
              <w:t xml:space="preserve">the </w:t>
            </w:r>
            <w:r w:rsidRPr="005B5418">
              <w:rPr>
                <w:rFonts w:cs="Arial"/>
              </w:rPr>
              <w:t xml:space="preserve">estimates and projections disclosed? </w:t>
            </w:r>
            <w:r w:rsidRPr="005B5418">
              <w:rPr>
                <w:rFonts w:cs="Arial"/>
                <w:lang w:val="pt-BR"/>
              </w:rPr>
              <w:t>(SFFAS 17, par</w:t>
            </w:r>
            <w:r w:rsidR="00B555E1" w:rsidRPr="005B5418">
              <w:rPr>
                <w:rFonts w:cs="Arial"/>
                <w:lang w:val="pt-BR"/>
              </w:rPr>
              <w:t>a</w:t>
            </w:r>
            <w:r w:rsidRPr="005B5418">
              <w:rPr>
                <w:rFonts w:cs="Arial"/>
                <w:lang w:val="pt-BR"/>
              </w:rPr>
              <w:t>. 25</w:t>
            </w:r>
            <w:r w:rsidR="00954214" w:rsidRPr="005B5418">
              <w:rPr>
                <w:rFonts w:cs="Arial"/>
                <w:lang w:val="pt-BR"/>
              </w:rPr>
              <w:t xml:space="preserve">, and </w:t>
            </w:r>
            <w:r w:rsidRPr="005B5418">
              <w:rPr>
                <w:rFonts w:cs="Arial"/>
                <w:lang w:val="pt-BR"/>
              </w:rPr>
              <w:t>SFFAS 26, par</w:t>
            </w:r>
            <w:r w:rsidR="00B555E1" w:rsidRPr="005B5418">
              <w:rPr>
                <w:rFonts w:cs="Arial"/>
                <w:lang w:val="pt-BR"/>
              </w:rPr>
              <w:t>a</w:t>
            </w:r>
            <w:r w:rsidRPr="005B5418">
              <w:rPr>
                <w:rFonts w:cs="Arial"/>
                <w:lang w:val="pt-BR"/>
              </w:rPr>
              <w:t>. 5)</w:t>
            </w:r>
          </w:p>
        </w:tc>
        <w:tc>
          <w:tcPr>
            <w:tcW w:w="965" w:type="dxa"/>
          </w:tcPr>
          <w:p w14:paraId="5D13B396" w14:textId="77777777" w:rsidR="00A629E5" w:rsidRPr="005B5418" w:rsidRDefault="00A629E5" w:rsidP="003B61E9">
            <w:pPr>
              <w:pStyle w:val="Table-Cell-CenterBoldBefore6ptAfter6pt"/>
              <w:rPr>
                <w:rFonts w:cs="Arial"/>
                <w:lang w:val="pt-BR"/>
              </w:rPr>
            </w:pPr>
          </w:p>
        </w:tc>
        <w:tc>
          <w:tcPr>
            <w:tcW w:w="3211" w:type="dxa"/>
          </w:tcPr>
          <w:p w14:paraId="57DD5ABB" w14:textId="77777777" w:rsidR="00A629E5" w:rsidRPr="005B5418" w:rsidRDefault="00A629E5" w:rsidP="003B61E9">
            <w:pPr>
              <w:spacing w:line="240" w:lineRule="auto"/>
              <w:rPr>
                <w:rFonts w:cs="Arial"/>
                <w:lang w:val="pt-BR"/>
              </w:rPr>
            </w:pPr>
          </w:p>
        </w:tc>
      </w:tr>
      <w:tr w:rsidR="00A629E5" w:rsidRPr="005B5418" w14:paraId="29EFD772" w14:textId="77777777" w:rsidTr="006C5478">
        <w:trPr>
          <w:cantSplit/>
          <w:trHeight w:val="1934"/>
        </w:trPr>
        <w:tc>
          <w:tcPr>
            <w:tcW w:w="5400" w:type="dxa"/>
          </w:tcPr>
          <w:p w14:paraId="1A46B47D" w14:textId="3E6CE0D4" w:rsidR="00A629E5" w:rsidRPr="005B5418" w:rsidRDefault="00A629E5" w:rsidP="00825C76">
            <w:pPr>
              <w:pStyle w:val="FAM-Table-outline"/>
              <w:widowControl/>
              <w:numPr>
                <w:ilvl w:val="0"/>
                <w:numId w:val="51"/>
              </w:numPr>
              <w:adjustRightInd/>
              <w:spacing w:line="240" w:lineRule="auto"/>
              <w:textAlignment w:val="auto"/>
              <w:rPr>
                <w:rFonts w:cs="Arial"/>
              </w:rPr>
            </w:pPr>
            <w:r w:rsidRPr="005B5418">
              <w:rPr>
                <w:rFonts w:cs="Arial"/>
              </w:rPr>
              <w:t>Does the fund balance at the valuation date disclose the accumulated excess of all past cash receipts, including interest on investments, over all past cash disbursements within the social insurance program? (SFFAS 17, par</w:t>
            </w:r>
            <w:r w:rsidR="00B555E1" w:rsidRPr="005B5418">
              <w:rPr>
                <w:rFonts w:cs="Arial"/>
              </w:rPr>
              <w:t>a</w:t>
            </w:r>
            <w:r w:rsidRPr="005B5418">
              <w:rPr>
                <w:rFonts w:cs="Arial"/>
              </w:rPr>
              <w:t>. 27(3)(h)</w:t>
            </w:r>
            <w:r w:rsidR="00FE6A06" w:rsidRPr="005B5418">
              <w:rPr>
                <w:rFonts w:cs="Arial"/>
              </w:rPr>
              <w:t>)</w:t>
            </w:r>
          </w:p>
        </w:tc>
        <w:tc>
          <w:tcPr>
            <w:tcW w:w="965" w:type="dxa"/>
          </w:tcPr>
          <w:p w14:paraId="2586EAA4" w14:textId="77777777" w:rsidR="00A629E5" w:rsidRPr="005B5418" w:rsidRDefault="00A629E5" w:rsidP="003B61E9">
            <w:pPr>
              <w:pStyle w:val="Table-Cell-CenterBoldBefore6ptAfter6pt"/>
              <w:rPr>
                <w:rFonts w:cs="Arial"/>
                <w:lang w:val="pt-BR"/>
              </w:rPr>
            </w:pPr>
          </w:p>
        </w:tc>
        <w:tc>
          <w:tcPr>
            <w:tcW w:w="3211" w:type="dxa"/>
          </w:tcPr>
          <w:p w14:paraId="43E45724" w14:textId="77777777" w:rsidR="00A629E5" w:rsidRPr="005B5418" w:rsidRDefault="00A629E5" w:rsidP="003B61E9">
            <w:pPr>
              <w:spacing w:line="240" w:lineRule="auto"/>
              <w:rPr>
                <w:rFonts w:cs="Arial"/>
                <w:lang w:val="pt-BR"/>
              </w:rPr>
            </w:pPr>
          </w:p>
        </w:tc>
      </w:tr>
      <w:tr w:rsidR="00A629E5" w:rsidRPr="005B5418" w14:paraId="3DF70160" w14:textId="77777777" w:rsidTr="006C5478">
        <w:trPr>
          <w:cantSplit/>
          <w:trHeight w:val="2160"/>
        </w:trPr>
        <w:tc>
          <w:tcPr>
            <w:tcW w:w="5400" w:type="dxa"/>
          </w:tcPr>
          <w:p w14:paraId="7129024F" w14:textId="41989F2A" w:rsidR="00A629E5" w:rsidRPr="005B5418" w:rsidRDefault="00B555E1" w:rsidP="00825C76">
            <w:pPr>
              <w:pStyle w:val="FAM-Table-outline"/>
              <w:widowControl/>
              <w:numPr>
                <w:ilvl w:val="0"/>
                <w:numId w:val="51"/>
              </w:numPr>
              <w:adjustRightInd/>
              <w:spacing w:line="240" w:lineRule="auto"/>
              <w:textAlignment w:val="auto"/>
              <w:rPr>
                <w:rFonts w:cs="Arial"/>
              </w:rPr>
            </w:pPr>
            <w:r w:rsidRPr="005B5418">
              <w:rPr>
                <w:rFonts w:cs="Arial"/>
              </w:rPr>
              <w:t>Does the entity disclose</w:t>
            </w:r>
            <w:r w:rsidR="00A629E5" w:rsidRPr="005B5418">
              <w:rPr>
                <w:rFonts w:cs="Arial"/>
              </w:rPr>
              <w:t xml:space="preserve"> that the actuarial net present value of the excess of future scheduled expenditures related to benefit payments paid to or on behalf of current participants (i.e., closed group) is calculated by subtracting the actuarial present value of future contributions and tax income paid by and for current participants from the actuarial present value of the future scheduled expenditures? (SFFAS 17, par</w:t>
            </w:r>
            <w:r w:rsidRPr="005B5418">
              <w:rPr>
                <w:rFonts w:cs="Arial"/>
              </w:rPr>
              <w:t>a</w:t>
            </w:r>
            <w:r w:rsidR="00A629E5" w:rsidRPr="005B5418">
              <w:rPr>
                <w:rFonts w:cs="Arial"/>
              </w:rPr>
              <w:t>. 27(3)(i)</w:t>
            </w:r>
            <w:r w:rsidR="00FE6A06" w:rsidRPr="005B5418">
              <w:rPr>
                <w:rFonts w:cs="Arial"/>
              </w:rPr>
              <w:t>)</w:t>
            </w:r>
          </w:p>
        </w:tc>
        <w:tc>
          <w:tcPr>
            <w:tcW w:w="965" w:type="dxa"/>
          </w:tcPr>
          <w:p w14:paraId="4D4A7EFE" w14:textId="77777777" w:rsidR="00A629E5" w:rsidRPr="005B5418" w:rsidRDefault="00A629E5" w:rsidP="003B61E9">
            <w:pPr>
              <w:pStyle w:val="Table-Cell-CenterBoldBefore6ptAfter6pt"/>
              <w:rPr>
                <w:rFonts w:cs="Arial"/>
                <w:lang w:val="pt-BR"/>
              </w:rPr>
            </w:pPr>
          </w:p>
        </w:tc>
        <w:tc>
          <w:tcPr>
            <w:tcW w:w="3211" w:type="dxa"/>
          </w:tcPr>
          <w:p w14:paraId="3DF6BE80" w14:textId="77777777" w:rsidR="00A629E5" w:rsidRPr="005B5418" w:rsidRDefault="00A629E5" w:rsidP="003B61E9">
            <w:pPr>
              <w:spacing w:line="240" w:lineRule="auto"/>
              <w:rPr>
                <w:rFonts w:cs="Arial"/>
                <w:lang w:val="pt-BR"/>
              </w:rPr>
            </w:pPr>
          </w:p>
        </w:tc>
      </w:tr>
      <w:tr w:rsidR="00A629E5" w:rsidRPr="005B5418" w14:paraId="417A79E4" w14:textId="77777777" w:rsidTr="006C5478">
        <w:trPr>
          <w:cantSplit/>
          <w:trHeight w:val="1286"/>
        </w:trPr>
        <w:tc>
          <w:tcPr>
            <w:tcW w:w="5400" w:type="dxa"/>
          </w:tcPr>
          <w:p w14:paraId="47FCA7A7" w14:textId="2DF6ACDD" w:rsidR="00A629E5" w:rsidRPr="005B5418" w:rsidRDefault="00A629E5" w:rsidP="00825C76">
            <w:pPr>
              <w:pStyle w:val="FAM-Table-outline"/>
              <w:widowControl/>
              <w:numPr>
                <w:ilvl w:val="0"/>
                <w:numId w:val="51"/>
              </w:numPr>
              <w:adjustRightInd/>
              <w:spacing w:line="240" w:lineRule="auto"/>
              <w:textAlignment w:val="auto"/>
              <w:rPr>
                <w:rFonts w:cs="Arial"/>
              </w:rPr>
            </w:pPr>
            <w:r w:rsidRPr="005B5418">
              <w:rPr>
                <w:rFonts w:cs="Arial"/>
              </w:rPr>
              <w:t xml:space="preserve">Does the disclosed information cover the current year and each of the </w:t>
            </w:r>
            <w:r w:rsidR="00172952" w:rsidRPr="005B5418">
              <w:rPr>
                <w:rFonts w:cs="Arial"/>
              </w:rPr>
              <w:t xml:space="preserve">4 </w:t>
            </w:r>
            <w:r w:rsidRPr="005B5418">
              <w:rPr>
                <w:rFonts w:cs="Arial"/>
              </w:rPr>
              <w:t>preceding years? (SFFAS 17, par</w:t>
            </w:r>
            <w:r w:rsidR="00172952" w:rsidRPr="005B5418">
              <w:rPr>
                <w:rFonts w:cs="Arial"/>
              </w:rPr>
              <w:t>a</w:t>
            </w:r>
            <w:r w:rsidRPr="005B5418">
              <w:rPr>
                <w:rFonts w:cs="Arial"/>
              </w:rPr>
              <w:t>. 27(3)(j))</w:t>
            </w:r>
          </w:p>
        </w:tc>
        <w:tc>
          <w:tcPr>
            <w:tcW w:w="965" w:type="dxa"/>
          </w:tcPr>
          <w:p w14:paraId="42B87B19" w14:textId="77777777" w:rsidR="00A629E5" w:rsidRPr="005B5418" w:rsidRDefault="00A629E5" w:rsidP="003B61E9">
            <w:pPr>
              <w:pStyle w:val="Table-Cell-CenterBoldBefore6ptAfter6pt"/>
              <w:rPr>
                <w:rFonts w:cs="Arial"/>
              </w:rPr>
            </w:pPr>
          </w:p>
        </w:tc>
        <w:tc>
          <w:tcPr>
            <w:tcW w:w="3211" w:type="dxa"/>
          </w:tcPr>
          <w:p w14:paraId="3A574839" w14:textId="77777777" w:rsidR="00A629E5" w:rsidRPr="005B5418" w:rsidRDefault="00A629E5" w:rsidP="003B61E9">
            <w:pPr>
              <w:spacing w:line="240" w:lineRule="auto"/>
              <w:rPr>
                <w:rFonts w:cs="Arial"/>
              </w:rPr>
            </w:pPr>
          </w:p>
        </w:tc>
      </w:tr>
      <w:tr w:rsidR="00A629E5" w:rsidRPr="005B5418" w14:paraId="3A1DB70A" w14:textId="77777777" w:rsidTr="006C5478">
        <w:trPr>
          <w:cantSplit/>
          <w:trHeight w:val="2160"/>
        </w:trPr>
        <w:tc>
          <w:tcPr>
            <w:tcW w:w="5400" w:type="dxa"/>
          </w:tcPr>
          <w:p w14:paraId="12A2E8BD" w14:textId="77777777" w:rsidR="00A629E5" w:rsidRPr="005B5418" w:rsidRDefault="00A629E5" w:rsidP="00825C76">
            <w:pPr>
              <w:pStyle w:val="FAM-Table-outline"/>
              <w:widowControl/>
              <w:numPr>
                <w:ilvl w:val="0"/>
                <w:numId w:val="51"/>
              </w:numPr>
              <w:adjustRightInd/>
              <w:spacing w:line="240" w:lineRule="auto"/>
              <w:textAlignment w:val="auto"/>
              <w:rPr>
                <w:rFonts w:cs="Arial"/>
              </w:rPr>
            </w:pPr>
            <w:r w:rsidRPr="005B5418">
              <w:rPr>
                <w:rFonts w:cs="Arial"/>
              </w:rPr>
              <w:lastRenderedPageBreak/>
              <w:t>Did the entity provide a brief statement explaining that</w:t>
            </w:r>
          </w:p>
          <w:p w14:paraId="0EC74406" w14:textId="77777777" w:rsidR="00A629E5" w:rsidRPr="005B5418" w:rsidRDefault="00A629E5" w:rsidP="005425ED">
            <w:pPr>
              <w:pStyle w:val="FAM-Table-outline2"/>
              <w:spacing w:line="240" w:lineRule="auto"/>
              <w:ind w:left="1140" w:hanging="443"/>
            </w:pPr>
            <w:r w:rsidRPr="005B5418">
              <w:t>the SOSI amounts are estimates based on current conditions;</w:t>
            </w:r>
          </w:p>
          <w:p w14:paraId="0D8957D9" w14:textId="77777777" w:rsidR="00A629E5" w:rsidRPr="005B5418" w:rsidRDefault="00A629E5" w:rsidP="005425ED">
            <w:pPr>
              <w:pStyle w:val="FAM-Table-outline2"/>
              <w:spacing w:line="240" w:lineRule="auto"/>
              <w:ind w:left="1140" w:hanging="443"/>
            </w:pPr>
            <w:r w:rsidRPr="005B5418">
              <w:t>such conditions may change in the future; and</w:t>
            </w:r>
          </w:p>
          <w:p w14:paraId="68FBE61D" w14:textId="6659EB1E" w:rsidR="00A629E5" w:rsidRPr="005B5418" w:rsidRDefault="00A629E5" w:rsidP="005425ED">
            <w:pPr>
              <w:pStyle w:val="FAM-Table-outline2"/>
              <w:spacing w:line="240" w:lineRule="auto"/>
              <w:ind w:left="1140" w:hanging="443"/>
            </w:pPr>
            <w:r w:rsidRPr="005B5418">
              <w:t>actual cost may vary, sometimes greatly, from the estimated cost?</w:t>
            </w:r>
            <w:r w:rsidRPr="005B5418">
              <w:br/>
              <w:t>(SFFAS 37, par</w:t>
            </w:r>
            <w:r w:rsidR="00172952" w:rsidRPr="005B5418">
              <w:t>as</w:t>
            </w:r>
            <w:r w:rsidRPr="005B5418">
              <w:t>. 35</w:t>
            </w:r>
            <w:r w:rsidR="00172952" w:rsidRPr="005B5418">
              <w:t>–</w:t>
            </w:r>
            <w:r w:rsidRPr="005B5418">
              <w:t xml:space="preserve">36) </w:t>
            </w:r>
          </w:p>
        </w:tc>
        <w:tc>
          <w:tcPr>
            <w:tcW w:w="965" w:type="dxa"/>
          </w:tcPr>
          <w:p w14:paraId="22B7CEEA" w14:textId="77777777" w:rsidR="00A629E5" w:rsidRPr="005B5418" w:rsidRDefault="00A629E5" w:rsidP="003B61E9">
            <w:pPr>
              <w:pStyle w:val="Table-Cell-CenterBoldBefore6ptAfter6pt"/>
              <w:rPr>
                <w:rFonts w:cs="Arial"/>
              </w:rPr>
            </w:pPr>
          </w:p>
        </w:tc>
        <w:tc>
          <w:tcPr>
            <w:tcW w:w="3211" w:type="dxa"/>
          </w:tcPr>
          <w:p w14:paraId="00899B76" w14:textId="77777777" w:rsidR="00A629E5" w:rsidRPr="005B5418" w:rsidRDefault="00A629E5" w:rsidP="003B61E9">
            <w:pPr>
              <w:spacing w:line="240" w:lineRule="auto"/>
              <w:rPr>
                <w:rFonts w:cs="Arial"/>
              </w:rPr>
            </w:pPr>
          </w:p>
        </w:tc>
      </w:tr>
      <w:tr w:rsidR="00A629E5" w:rsidRPr="005B5418" w14:paraId="7BC1B8DA" w14:textId="77777777" w:rsidTr="00DA6DCF">
        <w:trPr>
          <w:cantSplit/>
          <w:trHeight w:val="1538"/>
        </w:trPr>
        <w:tc>
          <w:tcPr>
            <w:tcW w:w="5400" w:type="dxa"/>
          </w:tcPr>
          <w:p w14:paraId="2103C4D1" w14:textId="6D9DBDD7" w:rsidR="00A629E5" w:rsidRPr="005B5418" w:rsidRDefault="008D39EE" w:rsidP="00825C76">
            <w:pPr>
              <w:pStyle w:val="FAM-Table-outline"/>
              <w:widowControl/>
              <w:numPr>
                <w:ilvl w:val="0"/>
                <w:numId w:val="51"/>
              </w:numPr>
              <w:adjustRightInd/>
              <w:spacing w:line="240" w:lineRule="auto"/>
              <w:textAlignment w:val="auto"/>
              <w:rPr>
                <w:rFonts w:cs="Arial"/>
              </w:rPr>
            </w:pPr>
            <w:r w:rsidRPr="005B5418">
              <w:rPr>
                <w:rFonts w:cs="Arial"/>
              </w:rPr>
              <w:t>Did</w:t>
            </w:r>
            <w:r w:rsidR="00A629E5" w:rsidRPr="005B5418">
              <w:rPr>
                <w:rFonts w:cs="Arial"/>
              </w:rPr>
              <w:t xml:space="preserve"> the entity disclose in the notes associated with the SCSIA (or on the face of the SCSIA) the reasons for the changes in the open group measure for the </w:t>
            </w:r>
            <w:r w:rsidRPr="005B5418">
              <w:rPr>
                <w:rFonts w:cs="Arial"/>
              </w:rPr>
              <w:t>2-</w:t>
            </w:r>
            <w:r w:rsidR="00A629E5" w:rsidRPr="005B5418">
              <w:rPr>
                <w:rFonts w:cs="Arial"/>
              </w:rPr>
              <w:t xml:space="preserve">year period? </w:t>
            </w:r>
            <w:r w:rsidR="00FE6A06" w:rsidRPr="005B5418">
              <w:rPr>
                <w:rFonts w:cs="Arial"/>
              </w:rPr>
              <w:t>(SFFAS 37, par</w:t>
            </w:r>
            <w:r w:rsidRPr="005B5418">
              <w:rPr>
                <w:rFonts w:cs="Arial"/>
              </w:rPr>
              <w:t>a</w:t>
            </w:r>
            <w:r w:rsidR="00FE6A06" w:rsidRPr="005B5418">
              <w:rPr>
                <w:rFonts w:cs="Arial"/>
              </w:rPr>
              <w:t>. 32)</w:t>
            </w:r>
          </w:p>
        </w:tc>
        <w:tc>
          <w:tcPr>
            <w:tcW w:w="965" w:type="dxa"/>
          </w:tcPr>
          <w:p w14:paraId="28A23E20" w14:textId="77777777" w:rsidR="00A629E5" w:rsidRPr="005B5418" w:rsidRDefault="00A629E5" w:rsidP="003B61E9">
            <w:pPr>
              <w:pStyle w:val="Table-Cell-CenterBoldBefore6ptAfter6pt"/>
              <w:rPr>
                <w:rFonts w:cs="Arial"/>
              </w:rPr>
            </w:pPr>
          </w:p>
        </w:tc>
        <w:tc>
          <w:tcPr>
            <w:tcW w:w="3211" w:type="dxa"/>
          </w:tcPr>
          <w:p w14:paraId="73360DF1" w14:textId="77777777" w:rsidR="00A629E5" w:rsidRPr="005B5418" w:rsidRDefault="00A629E5" w:rsidP="003B61E9">
            <w:pPr>
              <w:spacing w:line="240" w:lineRule="auto"/>
              <w:rPr>
                <w:rFonts w:cs="Arial"/>
              </w:rPr>
            </w:pPr>
          </w:p>
        </w:tc>
      </w:tr>
      <w:tr w:rsidR="00A629E5" w:rsidRPr="005B5418" w14:paraId="113306EE" w14:textId="77777777" w:rsidTr="003F7564">
        <w:trPr>
          <w:cantSplit/>
          <w:trHeight w:val="1448"/>
        </w:trPr>
        <w:tc>
          <w:tcPr>
            <w:tcW w:w="5400" w:type="dxa"/>
          </w:tcPr>
          <w:p w14:paraId="51DD8F63" w14:textId="3EAAA351" w:rsidR="00A629E5" w:rsidRPr="005B5418" w:rsidRDefault="00A629E5" w:rsidP="00D11E11">
            <w:pPr>
              <w:pStyle w:val="FAM-Table-outline"/>
              <w:widowControl/>
              <w:numPr>
                <w:ilvl w:val="0"/>
                <w:numId w:val="51"/>
              </w:numPr>
              <w:adjustRightInd/>
              <w:spacing w:line="240" w:lineRule="auto"/>
              <w:textAlignment w:val="auto"/>
              <w:rPr>
                <w:rFonts w:cs="Arial"/>
              </w:rPr>
            </w:pPr>
            <w:r w:rsidRPr="005B5418">
              <w:rPr>
                <w:rFonts w:cs="Arial"/>
              </w:rPr>
              <w:t>Does the entity responsible for the Medicare program disclose the general revenue contributions under Medicare Parts B and D for the current law and alternative scenarios? (A-136, section II.3.8.</w:t>
            </w:r>
            <w:r w:rsidR="00D11E11" w:rsidRPr="005B5418">
              <w:rPr>
                <w:rFonts w:cs="Arial"/>
              </w:rPr>
              <w:t>28</w:t>
            </w:r>
            <w:r w:rsidRPr="005B5418">
              <w:rPr>
                <w:rFonts w:cs="Arial"/>
              </w:rPr>
              <w:t>)</w:t>
            </w:r>
          </w:p>
        </w:tc>
        <w:tc>
          <w:tcPr>
            <w:tcW w:w="965" w:type="dxa"/>
          </w:tcPr>
          <w:p w14:paraId="3BD29D1C" w14:textId="77777777" w:rsidR="00A629E5" w:rsidRPr="005B5418" w:rsidRDefault="00A629E5" w:rsidP="003B61E9">
            <w:pPr>
              <w:pStyle w:val="Table-Cell-CenterBoldBefore6ptAfter6pt"/>
              <w:rPr>
                <w:rFonts w:cs="Arial"/>
              </w:rPr>
            </w:pPr>
          </w:p>
        </w:tc>
        <w:tc>
          <w:tcPr>
            <w:tcW w:w="3211" w:type="dxa"/>
          </w:tcPr>
          <w:p w14:paraId="19E21457" w14:textId="77777777" w:rsidR="00A629E5" w:rsidRPr="005B5418" w:rsidRDefault="00A629E5" w:rsidP="003B61E9">
            <w:pPr>
              <w:spacing w:line="240" w:lineRule="auto"/>
              <w:rPr>
                <w:rFonts w:cs="Arial"/>
              </w:rPr>
            </w:pPr>
          </w:p>
        </w:tc>
      </w:tr>
      <w:tr w:rsidR="00A629E5" w:rsidRPr="005B5418" w14:paraId="5A8C227E" w14:textId="77777777" w:rsidTr="003F7564">
        <w:trPr>
          <w:cantSplit/>
          <w:trHeight w:val="1367"/>
        </w:trPr>
        <w:tc>
          <w:tcPr>
            <w:tcW w:w="5400" w:type="dxa"/>
          </w:tcPr>
          <w:p w14:paraId="6D9D8A36" w14:textId="3348232F" w:rsidR="00A629E5" w:rsidRPr="005B5418" w:rsidRDefault="00A629E5" w:rsidP="00D11E11">
            <w:pPr>
              <w:pStyle w:val="FAM-Table-outline"/>
              <w:widowControl/>
              <w:numPr>
                <w:ilvl w:val="0"/>
                <w:numId w:val="51"/>
              </w:numPr>
              <w:adjustRightInd/>
              <w:spacing w:line="240" w:lineRule="auto"/>
              <w:textAlignment w:val="auto"/>
              <w:rPr>
                <w:rFonts w:cs="Arial"/>
              </w:rPr>
            </w:pPr>
            <w:r w:rsidRPr="005B5418">
              <w:rPr>
                <w:rFonts w:cs="Arial"/>
              </w:rPr>
              <w:t>Does the entity responsible for the Railroad Retirement program disclose the financial interchange revenue received from the Social Security program? (A-136, section II.3.8.</w:t>
            </w:r>
            <w:r w:rsidR="00D11E11" w:rsidRPr="005B5418">
              <w:rPr>
                <w:rFonts w:cs="Arial"/>
              </w:rPr>
              <w:t>28</w:t>
            </w:r>
            <w:r w:rsidRPr="005B5418">
              <w:rPr>
                <w:rFonts w:cs="Arial"/>
              </w:rPr>
              <w:t xml:space="preserve">) </w:t>
            </w:r>
          </w:p>
        </w:tc>
        <w:tc>
          <w:tcPr>
            <w:tcW w:w="965" w:type="dxa"/>
          </w:tcPr>
          <w:p w14:paraId="4FCC2AD5" w14:textId="77777777" w:rsidR="00A629E5" w:rsidRPr="005B5418" w:rsidRDefault="00A629E5" w:rsidP="003B61E9">
            <w:pPr>
              <w:pStyle w:val="Table-Cell-CenterBoldBefore6ptAfter6pt"/>
              <w:rPr>
                <w:rFonts w:cs="Arial"/>
              </w:rPr>
            </w:pPr>
          </w:p>
        </w:tc>
        <w:tc>
          <w:tcPr>
            <w:tcW w:w="3211" w:type="dxa"/>
          </w:tcPr>
          <w:p w14:paraId="669418E6" w14:textId="77777777" w:rsidR="00A629E5" w:rsidRPr="005B5418" w:rsidRDefault="00A629E5" w:rsidP="003B61E9">
            <w:pPr>
              <w:spacing w:line="240" w:lineRule="auto"/>
              <w:rPr>
                <w:rFonts w:cs="Arial"/>
              </w:rPr>
            </w:pPr>
          </w:p>
        </w:tc>
      </w:tr>
    </w:tbl>
    <w:p w14:paraId="4D142E0A" w14:textId="77777777" w:rsidR="00A629E5" w:rsidRPr="005B5418" w:rsidRDefault="00A629E5" w:rsidP="003B61E9">
      <w:pPr>
        <w:spacing w:line="240" w:lineRule="auto"/>
        <w:rPr>
          <w:rFonts w:cs="Arial"/>
        </w:rPr>
      </w:pPr>
    </w:p>
    <w:p w14:paraId="1A370F8D" w14:textId="77777777" w:rsidR="00A629E5" w:rsidRPr="005B5418" w:rsidRDefault="00A629E5"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A629E5" w:rsidRPr="005B5418" w14:paraId="38C276DA" w14:textId="77777777" w:rsidTr="00A94CBC">
        <w:trPr>
          <w:tblHeader/>
        </w:trPr>
        <w:tc>
          <w:tcPr>
            <w:tcW w:w="5400" w:type="dxa"/>
          </w:tcPr>
          <w:p w14:paraId="4D5C4680" w14:textId="137FF2C7" w:rsidR="00A629E5" w:rsidRPr="005B5418" w:rsidRDefault="00A629E5" w:rsidP="00D11E11">
            <w:pPr>
              <w:pStyle w:val="Heading4"/>
              <w:spacing w:before="60" w:after="60" w:line="240" w:lineRule="auto"/>
              <w:jc w:val="left"/>
              <w:rPr>
                <w:b/>
                <w:i/>
                <w:u w:val="none"/>
              </w:rPr>
            </w:pPr>
            <w:bookmarkStart w:id="221" w:name="_II.3.8.38_Fiduciary_Activities"/>
            <w:bookmarkStart w:id="222" w:name="_Ref8657175"/>
            <w:bookmarkEnd w:id="221"/>
            <w:r w:rsidRPr="005B5418">
              <w:rPr>
                <w:b/>
                <w:u w:val="none"/>
              </w:rPr>
              <w:lastRenderedPageBreak/>
              <w:t>II.3.8.</w:t>
            </w:r>
            <w:r w:rsidR="00D11E11" w:rsidRPr="005B5418">
              <w:rPr>
                <w:b/>
                <w:u w:val="none"/>
              </w:rPr>
              <w:t xml:space="preserve">29 </w:t>
            </w:r>
            <w:r w:rsidRPr="005B5418">
              <w:rPr>
                <w:b/>
                <w:u w:val="none"/>
              </w:rPr>
              <w:t>Fiduciary Activities</w:t>
            </w:r>
            <w:bookmarkEnd w:id="222"/>
            <w:r w:rsidRPr="005B5418">
              <w:rPr>
                <w:b/>
                <w:u w:val="none"/>
              </w:rPr>
              <w:t xml:space="preserve"> </w:t>
            </w:r>
          </w:p>
        </w:tc>
        <w:tc>
          <w:tcPr>
            <w:tcW w:w="965" w:type="dxa"/>
          </w:tcPr>
          <w:p w14:paraId="680971C4" w14:textId="77777777" w:rsidR="00A629E5" w:rsidRPr="005B5418" w:rsidRDefault="00A629E5" w:rsidP="008848DA">
            <w:pPr>
              <w:pStyle w:val="TableCellCenter"/>
              <w:spacing w:before="60" w:after="60"/>
              <w:jc w:val="left"/>
            </w:pPr>
            <w:r w:rsidRPr="005B5418">
              <w:t>Yes, No, or N/A</w:t>
            </w:r>
          </w:p>
        </w:tc>
        <w:tc>
          <w:tcPr>
            <w:tcW w:w="3211" w:type="dxa"/>
          </w:tcPr>
          <w:p w14:paraId="4D5E612A" w14:textId="7FA56A3D" w:rsidR="00A629E5" w:rsidRPr="005B5418" w:rsidRDefault="00A629E5" w:rsidP="008848DA">
            <w:pPr>
              <w:pStyle w:val="TableCellCenter"/>
              <w:spacing w:before="60" w:after="60"/>
              <w:jc w:val="left"/>
            </w:pPr>
            <w:r w:rsidRPr="005B5418">
              <w:t xml:space="preserve">Explanation </w:t>
            </w:r>
            <w:r w:rsidR="0069767B" w:rsidRPr="005B5418">
              <w:t xml:space="preserve">and </w:t>
            </w:r>
            <w:r w:rsidRPr="005B5418">
              <w:t>Reference</w:t>
            </w:r>
          </w:p>
        </w:tc>
      </w:tr>
      <w:tr w:rsidR="00A629E5" w:rsidRPr="005B5418" w14:paraId="68B79B37" w14:textId="77777777" w:rsidTr="00DA6DCF">
        <w:trPr>
          <w:trHeight w:val="2717"/>
        </w:trPr>
        <w:tc>
          <w:tcPr>
            <w:tcW w:w="9576" w:type="dxa"/>
            <w:gridSpan w:val="3"/>
          </w:tcPr>
          <w:p w14:paraId="175666EF" w14:textId="01256AB2" w:rsidR="00767A8F" w:rsidRPr="005B5418" w:rsidRDefault="00A629E5" w:rsidP="008848DA">
            <w:pPr>
              <w:pStyle w:val="Table-Note"/>
              <w:spacing w:before="60" w:after="60" w:line="240" w:lineRule="auto"/>
              <w:ind w:left="-35"/>
              <w:jc w:val="left"/>
              <w:rPr>
                <w:rFonts w:cs="Arial"/>
                <w:i w:val="0"/>
                <w:sz w:val="22"/>
                <w:szCs w:val="22"/>
              </w:rPr>
            </w:pPr>
            <w:r w:rsidRPr="005B5418">
              <w:rPr>
                <w:rFonts w:cs="Arial"/>
                <w:i w:val="0"/>
                <w:sz w:val="22"/>
                <w:szCs w:val="22"/>
              </w:rPr>
              <w:t xml:space="preserve">In a fiduciary activity, a federal entity collects or receives and subsequently manages, protects, accounts for, invests, and/or disposes of cash or other assets in which non-federal individuals or entities (or non-federal parties) have an ownership interest that the federal government upholds. Fiduciary cash and other assets are not assets of the </w:t>
            </w:r>
            <w:r w:rsidR="00E30565" w:rsidRPr="005B5418">
              <w:rPr>
                <w:rFonts w:cs="Arial"/>
                <w:i w:val="0"/>
                <w:sz w:val="22"/>
                <w:szCs w:val="22"/>
              </w:rPr>
              <w:t>f</w:t>
            </w:r>
            <w:r w:rsidRPr="005B5418">
              <w:rPr>
                <w:rFonts w:cs="Arial"/>
                <w:i w:val="0"/>
                <w:sz w:val="22"/>
                <w:szCs w:val="22"/>
              </w:rPr>
              <w:t xml:space="preserve">ederal government. </w:t>
            </w:r>
            <w:r w:rsidR="00767A8F" w:rsidRPr="005B5418">
              <w:rPr>
                <w:rFonts w:eastAsia="Arial Unicode MS" w:cs="Arial"/>
                <w:i w:val="0"/>
                <w:sz w:val="22"/>
                <w:szCs w:val="22"/>
              </w:rPr>
              <w:t>Non-</w:t>
            </w:r>
            <w:r w:rsidR="00E30565" w:rsidRPr="005B5418">
              <w:rPr>
                <w:rFonts w:eastAsia="Arial Unicode MS" w:cs="Arial"/>
                <w:i w:val="0"/>
                <w:sz w:val="22"/>
                <w:szCs w:val="22"/>
              </w:rPr>
              <w:t>f</w:t>
            </w:r>
            <w:r w:rsidR="00767A8F" w:rsidRPr="005B5418">
              <w:rPr>
                <w:rFonts w:eastAsia="Arial Unicode MS" w:cs="Arial"/>
                <w:i w:val="0"/>
                <w:sz w:val="22"/>
                <w:szCs w:val="22"/>
              </w:rPr>
              <w:t xml:space="preserve">ederal parties must have an ownership interest in cash or other assets held by the </w:t>
            </w:r>
            <w:r w:rsidR="00E30565" w:rsidRPr="005B5418">
              <w:rPr>
                <w:rFonts w:eastAsia="Arial Unicode MS" w:cs="Arial"/>
                <w:i w:val="0"/>
                <w:sz w:val="22"/>
                <w:szCs w:val="22"/>
              </w:rPr>
              <w:t>f</w:t>
            </w:r>
            <w:r w:rsidR="00767A8F" w:rsidRPr="005B5418">
              <w:rPr>
                <w:rFonts w:eastAsia="Arial Unicode MS" w:cs="Arial"/>
                <w:i w:val="0"/>
                <w:sz w:val="22"/>
                <w:szCs w:val="22"/>
              </w:rPr>
              <w:t xml:space="preserve">ederal entity under provision of law, regulation, or other fiduciary arrangement. The ownership interest must be enforceable against the </w:t>
            </w:r>
            <w:r w:rsidR="00E30565" w:rsidRPr="005B5418">
              <w:rPr>
                <w:rFonts w:eastAsia="Arial Unicode MS" w:cs="Arial"/>
                <w:i w:val="0"/>
                <w:sz w:val="22"/>
                <w:szCs w:val="22"/>
              </w:rPr>
              <w:t>f</w:t>
            </w:r>
            <w:r w:rsidR="00767A8F" w:rsidRPr="005B5418">
              <w:rPr>
                <w:rFonts w:eastAsia="Arial Unicode MS" w:cs="Arial"/>
                <w:i w:val="0"/>
                <w:sz w:val="22"/>
                <w:szCs w:val="22"/>
              </w:rPr>
              <w:t xml:space="preserve">ederal </w:t>
            </w:r>
            <w:r w:rsidR="00E30565" w:rsidRPr="005B5418">
              <w:rPr>
                <w:rFonts w:eastAsia="Arial Unicode MS" w:cs="Arial"/>
                <w:i w:val="0"/>
                <w:sz w:val="22"/>
                <w:szCs w:val="22"/>
              </w:rPr>
              <w:t>g</w:t>
            </w:r>
            <w:r w:rsidR="00767A8F" w:rsidRPr="005B5418">
              <w:rPr>
                <w:rFonts w:eastAsia="Arial Unicode MS" w:cs="Arial"/>
                <w:i w:val="0"/>
                <w:sz w:val="22"/>
                <w:szCs w:val="22"/>
              </w:rPr>
              <w:t xml:space="preserve">overnment. Judicial remedies must be available for the breach of the fiduciary obligation. </w:t>
            </w:r>
            <w:r w:rsidRPr="005B5418">
              <w:rPr>
                <w:rFonts w:cs="Arial"/>
                <w:i w:val="0"/>
                <w:sz w:val="22"/>
                <w:szCs w:val="22"/>
              </w:rPr>
              <w:t xml:space="preserve">Fiduciary assets and liabilities should not be recognized on the </w:t>
            </w:r>
            <w:r w:rsidR="001B5C17" w:rsidRPr="005B5418">
              <w:rPr>
                <w:rFonts w:cs="Arial"/>
                <w:i w:val="0"/>
                <w:sz w:val="22"/>
                <w:szCs w:val="22"/>
              </w:rPr>
              <w:t>balance sheet</w:t>
            </w:r>
            <w:r w:rsidR="003738A3" w:rsidRPr="005B5418">
              <w:rPr>
                <w:rFonts w:cs="Arial"/>
                <w:i w:val="0"/>
                <w:sz w:val="22"/>
                <w:szCs w:val="22"/>
              </w:rPr>
              <w:t>s</w:t>
            </w:r>
            <w:r w:rsidRPr="005B5418">
              <w:rPr>
                <w:rFonts w:cs="Arial"/>
                <w:i w:val="0"/>
                <w:sz w:val="22"/>
                <w:szCs w:val="22"/>
              </w:rPr>
              <w:t xml:space="preserve"> of </w:t>
            </w:r>
            <w:r w:rsidR="00E30565" w:rsidRPr="005B5418">
              <w:rPr>
                <w:rFonts w:cs="Arial"/>
                <w:i w:val="0"/>
                <w:sz w:val="22"/>
                <w:szCs w:val="22"/>
              </w:rPr>
              <w:t>f</w:t>
            </w:r>
            <w:r w:rsidRPr="005B5418">
              <w:rPr>
                <w:rFonts w:cs="Arial"/>
                <w:i w:val="0"/>
                <w:sz w:val="22"/>
                <w:szCs w:val="22"/>
              </w:rPr>
              <w:t>ederal entities. Federal entities should disclose fiduciary assets, liabilities</w:t>
            </w:r>
            <w:r w:rsidR="00E30565" w:rsidRPr="005B5418">
              <w:rPr>
                <w:rFonts w:cs="Arial"/>
                <w:i w:val="0"/>
                <w:sz w:val="22"/>
                <w:szCs w:val="22"/>
              </w:rPr>
              <w:t>,</w:t>
            </w:r>
            <w:r w:rsidRPr="005B5418">
              <w:rPr>
                <w:rFonts w:cs="Arial"/>
                <w:i w:val="0"/>
                <w:sz w:val="22"/>
                <w:szCs w:val="22"/>
              </w:rPr>
              <w:t xml:space="preserve"> and flows in a note disclosure. (SFFAS 31, par</w:t>
            </w:r>
            <w:r w:rsidR="003738A3" w:rsidRPr="005B5418">
              <w:rPr>
                <w:rFonts w:cs="Arial"/>
                <w:i w:val="0"/>
                <w:sz w:val="22"/>
                <w:szCs w:val="22"/>
              </w:rPr>
              <w:t>as</w:t>
            </w:r>
            <w:r w:rsidRPr="005B5418">
              <w:rPr>
                <w:rFonts w:cs="Arial"/>
                <w:i w:val="0"/>
                <w:sz w:val="22"/>
                <w:szCs w:val="22"/>
              </w:rPr>
              <w:t xml:space="preserve">. 5 </w:t>
            </w:r>
            <w:r w:rsidR="003738A3" w:rsidRPr="005B5418">
              <w:rPr>
                <w:rFonts w:cs="Arial"/>
                <w:i w:val="0"/>
                <w:sz w:val="22"/>
                <w:szCs w:val="22"/>
              </w:rPr>
              <w:t>and</w:t>
            </w:r>
            <w:r w:rsidRPr="005B5418">
              <w:rPr>
                <w:rFonts w:cs="Arial"/>
                <w:i w:val="0"/>
                <w:sz w:val="22"/>
                <w:szCs w:val="22"/>
              </w:rPr>
              <w:t xml:space="preserve"> 10)</w:t>
            </w:r>
          </w:p>
        </w:tc>
      </w:tr>
      <w:tr w:rsidR="00FF51DC" w:rsidRPr="005B5418" w14:paraId="36F3D779" w14:textId="77777777" w:rsidTr="00FF51DC">
        <w:trPr>
          <w:trHeight w:val="1070"/>
        </w:trPr>
        <w:tc>
          <w:tcPr>
            <w:tcW w:w="5400" w:type="dxa"/>
          </w:tcPr>
          <w:p w14:paraId="66CA7641" w14:textId="7FE81558" w:rsidR="00FF51DC" w:rsidRPr="005B5418" w:rsidRDefault="00EB5CEA" w:rsidP="00343610">
            <w:pPr>
              <w:pStyle w:val="FAM-Table-outline"/>
              <w:widowControl/>
              <w:numPr>
                <w:ilvl w:val="0"/>
                <w:numId w:val="26"/>
              </w:numPr>
              <w:adjustRightInd/>
              <w:spacing w:line="240" w:lineRule="auto"/>
              <w:textAlignment w:val="auto"/>
              <w:rPr>
                <w:rFonts w:eastAsia="Arial Unicode MS" w:cs="Arial"/>
                <w:szCs w:val="22"/>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4940A0" w:rsidRPr="005B5418">
              <w:rPr>
                <w:rFonts w:eastAsia="Arial Unicode MS" w:cs="Arial"/>
                <w:szCs w:val="22"/>
              </w:rPr>
              <w:t>.</w:t>
            </w:r>
            <w:r w:rsidRPr="005B5418">
              <w:rPr>
                <w:rFonts w:eastAsia="Arial Unicode MS" w:cs="Arial"/>
                <w:szCs w:val="22"/>
              </w:rPr>
              <w:t>)</w:t>
            </w:r>
          </w:p>
        </w:tc>
        <w:tc>
          <w:tcPr>
            <w:tcW w:w="965" w:type="dxa"/>
          </w:tcPr>
          <w:p w14:paraId="00277D53" w14:textId="77777777" w:rsidR="00FF51DC" w:rsidRPr="005B5418" w:rsidRDefault="00FF51DC" w:rsidP="008848DA">
            <w:pPr>
              <w:pStyle w:val="Table-Cell-CenterBoldBefore6ptAfter6pt"/>
              <w:spacing w:before="60" w:after="60"/>
              <w:rPr>
                <w:rFonts w:cs="Arial"/>
              </w:rPr>
            </w:pPr>
          </w:p>
        </w:tc>
        <w:tc>
          <w:tcPr>
            <w:tcW w:w="3211" w:type="dxa"/>
          </w:tcPr>
          <w:p w14:paraId="05FF873D" w14:textId="77777777" w:rsidR="00FF51DC" w:rsidRPr="005B5418" w:rsidRDefault="00FF51DC" w:rsidP="008848DA">
            <w:pPr>
              <w:pStyle w:val="Table-Cell-Center"/>
              <w:spacing w:before="60" w:after="60" w:line="240" w:lineRule="auto"/>
              <w:rPr>
                <w:rFonts w:cs="Arial"/>
              </w:rPr>
            </w:pPr>
          </w:p>
        </w:tc>
      </w:tr>
      <w:tr w:rsidR="00FF51DC" w:rsidRPr="005B5418" w14:paraId="236C9160" w14:textId="77777777" w:rsidTr="00FF51DC">
        <w:trPr>
          <w:cantSplit/>
          <w:trHeight w:val="377"/>
        </w:trPr>
        <w:tc>
          <w:tcPr>
            <w:tcW w:w="9576" w:type="dxa"/>
            <w:gridSpan w:val="3"/>
          </w:tcPr>
          <w:p w14:paraId="439E1A87" w14:textId="77777777" w:rsidR="00FF51DC" w:rsidRPr="005B5418" w:rsidRDefault="00FF51DC" w:rsidP="008848DA">
            <w:pPr>
              <w:spacing w:before="60" w:after="60" w:line="240" w:lineRule="auto"/>
              <w:rPr>
                <w:rFonts w:ascii="Arial" w:hAnsi="Arial" w:cs="Arial"/>
                <w:b/>
                <w:lang w:val="pt-BR"/>
              </w:rPr>
            </w:pPr>
            <w:r w:rsidRPr="005B5418">
              <w:rPr>
                <w:rFonts w:ascii="Arial" w:hAnsi="Arial" w:cs="Arial"/>
                <w:b/>
                <w:lang w:val="pt-BR"/>
              </w:rPr>
              <w:t>Accounting</w:t>
            </w:r>
          </w:p>
        </w:tc>
      </w:tr>
      <w:tr w:rsidR="00767A8F" w:rsidRPr="005B5418" w14:paraId="536922DD" w14:textId="77777777" w:rsidTr="0038293D">
        <w:trPr>
          <w:trHeight w:val="1070"/>
        </w:trPr>
        <w:tc>
          <w:tcPr>
            <w:tcW w:w="5400" w:type="dxa"/>
          </w:tcPr>
          <w:p w14:paraId="1711CBAC" w14:textId="172C7964" w:rsidR="00767A8F" w:rsidRPr="005B5418" w:rsidRDefault="00767A8F" w:rsidP="00343610">
            <w:pPr>
              <w:pStyle w:val="FAM-Table-outline"/>
              <w:widowControl/>
              <w:numPr>
                <w:ilvl w:val="0"/>
                <w:numId w:val="26"/>
              </w:numPr>
              <w:adjustRightInd/>
              <w:spacing w:line="240" w:lineRule="auto"/>
              <w:textAlignment w:val="auto"/>
              <w:rPr>
                <w:rFonts w:cs="Arial"/>
              </w:rPr>
            </w:pPr>
            <w:r w:rsidRPr="005B5418">
              <w:rPr>
                <w:rFonts w:eastAsia="Arial Unicode MS" w:cs="Arial"/>
                <w:szCs w:val="22"/>
              </w:rPr>
              <w:t xml:space="preserve">Are fiduciary activities measured using the standards provided in </w:t>
            </w:r>
            <w:r w:rsidR="00954214" w:rsidRPr="005B5418">
              <w:rPr>
                <w:rFonts w:eastAsia="Arial Unicode MS" w:cs="Arial"/>
                <w:szCs w:val="22"/>
              </w:rPr>
              <w:t>GAAP</w:t>
            </w:r>
            <w:r w:rsidRPr="005B5418">
              <w:rPr>
                <w:rFonts w:eastAsia="Arial Unicode MS" w:cs="Arial"/>
                <w:szCs w:val="22"/>
              </w:rPr>
              <w:t>? (SFFAS 31, par</w:t>
            </w:r>
            <w:r w:rsidR="004940A0" w:rsidRPr="005B5418">
              <w:rPr>
                <w:rFonts w:eastAsia="Arial Unicode MS" w:cs="Arial"/>
                <w:szCs w:val="22"/>
              </w:rPr>
              <w:t>a</w:t>
            </w:r>
            <w:r w:rsidRPr="005B5418">
              <w:rPr>
                <w:rFonts w:eastAsia="Arial Unicode MS" w:cs="Arial"/>
                <w:szCs w:val="22"/>
              </w:rPr>
              <w:t>. 16)</w:t>
            </w:r>
          </w:p>
        </w:tc>
        <w:tc>
          <w:tcPr>
            <w:tcW w:w="965" w:type="dxa"/>
          </w:tcPr>
          <w:p w14:paraId="20BF3704" w14:textId="77777777" w:rsidR="00767A8F" w:rsidRPr="005B5418" w:rsidRDefault="00767A8F" w:rsidP="008848DA">
            <w:pPr>
              <w:pStyle w:val="Table-Cell-CenterBoldBefore6ptAfter6pt"/>
              <w:spacing w:before="60" w:after="60"/>
              <w:rPr>
                <w:rFonts w:cs="Arial"/>
              </w:rPr>
            </w:pPr>
          </w:p>
        </w:tc>
        <w:tc>
          <w:tcPr>
            <w:tcW w:w="3211" w:type="dxa"/>
          </w:tcPr>
          <w:p w14:paraId="62AE4A66" w14:textId="77777777" w:rsidR="00767A8F" w:rsidRPr="005B5418" w:rsidRDefault="00767A8F" w:rsidP="008848DA">
            <w:pPr>
              <w:pStyle w:val="Table-Cell-Center"/>
              <w:spacing w:before="60" w:after="60" w:line="240" w:lineRule="auto"/>
              <w:rPr>
                <w:rFonts w:cs="Arial"/>
              </w:rPr>
            </w:pPr>
          </w:p>
        </w:tc>
      </w:tr>
      <w:tr w:rsidR="00767A8F" w:rsidRPr="005B5418" w14:paraId="7054DA52" w14:textId="77777777" w:rsidTr="006C5478">
        <w:trPr>
          <w:trHeight w:val="1440"/>
        </w:trPr>
        <w:tc>
          <w:tcPr>
            <w:tcW w:w="5400" w:type="dxa"/>
          </w:tcPr>
          <w:p w14:paraId="036B6323" w14:textId="2ACE59EE" w:rsidR="00767A8F" w:rsidRPr="005B5418" w:rsidRDefault="00767A8F" w:rsidP="007C7489">
            <w:pPr>
              <w:pStyle w:val="FAM-Table-outline"/>
              <w:spacing w:line="240" w:lineRule="auto"/>
              <w:rPr>
                <w:rFonts w:eastAsia="Arial Unicode MS"/>
              </w:rPr>
            </w:pPr>
            <w:r w:rsidRPr="005B5418">
              <w:rPr>
                <w:rFonts w:eastAsia="Arial Unicode MS"/>
              </w:rPr>
              <w:t xml:space="preserve">Are the following </w:t>
            </w:r>
            <w:r w:rsidRPr="005B5418">
              <w:rPr>
                <w:rFonts w:eastAsia="Arial Unicode MS"/>
                <w:u w:val="single"/>
              </w:rPr>
              <w:t>excluded</w:t>
            </w:r>
            <w:r w:rsidRPr="005B5418">
              <w:rPr>
                <w:rFonts w:eastAsia="Arial Unicode MS"/>
              </w:rPr>
              <w:t xml:space="preserve"> from fiduciary activities</w:t>
            </w:r>
            <w:r w:rsidRPr="005B5418">
              <w:rPr>
                <w:rStyle w:val="FootnoteReference"/>
                <w:rFonts w:eastAsia="Arial Unicode MS" w:cs="Arial"/>
                <w:szCs w:val="22"/>
              </w:rPr>
              <w:footnoteReference w:id="252"/>
            </w:r>
            <w:r w:rsidRPr="005B5418">
              <w:rPr>
                <w:rFonts w:eastAsia="Arial Unicode MS"/>
              </w:rPr>
              <w:t xml:space="preserve"> and recognized in the financial statements</w:t>
            </w:r>
            <w:r w:rsidR="004940A0" w:rsidRPr="005B5418">
              <w:rPr>
                <w:rFonts w:eastAsia="Arial Unicode MS"/>
              </w:rPr>
              <w:t>,</w:t>
            </w:r>
            <w:r w:rsidRPr="005B5418">
              <w:rPr>
                <w:rFonts w:eastAsia="Arial Unicode MS"/>
              </w:rPr>
              <w:t xml:space="preserve"> rather than included in a fiduciary note disclosure</w:t>
            </w:r>
            <w:r w:rsidR="004940A0" w:rsidRPr="005B5418">
              <w:rPr>
                <w:rFonts w:eastAsia="Arial Unicode MS"/>
              </w:rPr>
              <w:t>:</w:t>
            </w:r>
          </w:p>
          <w:p w14:paraId="49C6E9F1" w14:textId="4BA2ED58" w:rsidR="00767A8F" w:rsidRPr="005B5418" w:rsidRDefault="00767A8F" w:rsidP="005425ED">
            <w:pPr>
              <w:pStyle w:val="FAM-Table-outline2"/>
              <w:spacing w:line="240" w:lineRule="auto"/>
              <w:ind w:left="1140" w:hanging="443"/>
            </w:pPr>
            <w:r w:rsidRPr="005B5418">
              <w:t>unpaid payroll withholdings and garnishments</w:t>
            </w:r>
            <w:r w:rsidR="004940A0" w:rsidRPr="005B5418">
              <w:t>;</w:t>
            </w:r>
            <w:r w:rsidRPr="005B5418">
              <w:t xml:space="preserve"> </w:t>
            </w:r>
          </w:p>
          <w:p w14:paraId="6F098D2D" w14:textId="65D13A96" w:rsidR="00767A8F" w:rsidRPr="005B5418" w:rsidRDefault="00767A8F" w:rsidP="005425ED">
            <w:pPr>
              <w:pStyle w:val="FAM-Table-outline2"/>
              <w:spacing w:line="240" w:lineRule="auto"/>
              <w:ind w:left="1140" w:hanging="443"/>
            </w:pPr>
            <w:r w:rsidRPr="005B5418">
              <w:t>unearned revenue</w:t>
            </w:r>
            <w:r w:rsidR="004940A0" w:rsidRPr="005B5418">
              <w:t>; and</w:t>
            </w:r>
          </w:p>
          <w:p w14:paraId="5C79F440" w14:textId="5037C302" w:rsidR="00767A8F" w:rsidRPr="005B5418" w:rsidRDefault="00767A8F" w:rsidP="005425ED">
            <w:pPr>
              <w:pStyle w:val="FAM-Table-outline2"/>
              <w:spacing w:line="240" w:lineRule="auto"/>
              <w:ind w:left="1140" w:hanging="443"/>
              <w:rPr>
                <w:rFonts w:eastAsia="Arial Unicode MS"/>
              </w:rPr>
            </w:pPr>
            <w:r w:rsidRPr="005B5418">
              <w:t>seized property, including seized monetary assets? (SFFAS 31, par</w:t>
            </w:r>
            <w:r w:rsidR="004940A0" w:rsidRPr="005B5418">
              <w:t>as</w:t>
            </w:r>
            <w:r w:rsidRPr="005B5418">
              <w:t>. 13</w:t>
            </w:r>
            <w:r w:rsidR="004940A0" w:rsidRPr="005B5418">
              <w:t>–</w:t>
            </w:r>
            <w:r w:rsidRPr="005B5418">
              <w:t>15)</w:t>
            </w:r>
          </w:p>
        </w:tc>
        <w:tc>
          <w:tcPr>
            <w:tcW w:w="965" w:type="dxa"/>
          </w:tcPr>
          <w:p w14:paraId="4D9C33A9" w14:textId="77777777" w:rsidR="00767A8F" w:rsidRPr="005B5418" w:rsidRDefault="00767A8F" w:rsidP="008848DA">
            <w:pPr>
              <w:pStyle w:val="Table-Cell-CenterBoldBefore6ptAfter6pt"/>
              <w:spacing w:before="60" w:after="60"/>
              <w:rPr>
                <w:rFonts w:cs="Arial"/>
              </w:rPr>
            </w:pPr>
          </w:p>
        </w:tc>
        <w:tc>
          <w:tcPr>
            <w:tcW w:w="3211" w:type="dxa"/>
          </w:tcPr>
          <w:p w14:paraId="7C76B042" w14:textId="77777777" w:rsidR="00767A8F" w:rsidRPr="005B5418" w:rsidRDefault="00767A8F" w:rsidP="008848DA">
            <w:pPr>
              <w:pStyle w:val="Table-Cell-Center"/>
              <w:spacing w:before="60" w:after="60" w:line="240" w:lineRule="auto"/>
              <w:rPr>
                <w:rFonts w:cs="Arial"/>
              </w:rPr>
            </w:pPr>
          </w:p>
        </w:tc>
      </w:tr>
      <w:tr w:rsidR="00FF51DC" w:rsidRPr="005B5418" w14:paraId="2FF7E5F9" w14:textId="77777777" w:rsidTr="00FF51DC">
        <w:trPr>
          <w:cantSplit/>
          <w:trHeight w:val="377"/>
        </w:trPr>
        <w:tc>
          <w:tcPr>
            <w:tcW w:w="9576" w:type="dxa"/>
            <w:gridSpan w:val="3"/>
          </w:tcPr>
          <w:p w14:paraId="02486FDB" w14:textId="77777777" w:rsidR="00FF51DC" w:rsidRPr="005B5418" w:rsidRDefault="00FF51DC" w:rsidP="008848DA">
            <w:pPr>
              <w:spacing w:before="60" w:after="60" w:line="240" w:lineRule="auto"/>
              <w:rPr>
                <w:rFonts w:ascii="Arial" w:hAnsi="Arial" w:cs="Arial"/>
                <w:b/>
                <w:lang w:val="pt-BR"/>
              </w:rPr>
            </w:pPr>
            <w:r w:rsidRPr="005B5418">
              <w:rPr>
                <w:rFonts w:ascii="Arial" w:hAnsi="Arial" w:cs="Arial"/>
                <w:b/>
                <w:lang w:val="pt-BR"/>
              </w:rPr>
              <w:t>Disclosure</w:t>
            </w:r>
          </w:p>
        </w:tc>
      </w:tr>
      <w:tr w:rsidR="00D95390" w:rsidRPr="005B5418" w14:paraId="2093271F" w14:textId="77777777" w:rsidTr="00A94CBC">
        <w:trPr>
          <w:trHeight w:val="1169"/>
        </w:trPr>
        <w:tc>
          <w:tcPr>
            <w:tcW w:w="5400" w:type="dxa"/>
          </w:tcPr>
          <w:p w14:paraId="114ED1B4" w14:textId="253D0230" w:rsidR="00D95390" w:rsidRDefault="00D95390" w:rsidP="00343610">
            <w:pPr>
              <w:pStyle w:val="FAM-Table-outline"/>
              <w:widowControl/>
              <w:numPr>
                <w:ilvl w:val="0"/>
                <w:numId w:val="26"/>
              </w:numPr>
              <w:adjustRightInd/>
              <w:spacing w:line="240" w:lineRule="auto"/>
              <w:textAlignment w:val="auto"/>
              <w:rPr>
                <w:rFonts w:cs="Arial"/>
              </w:rPr>
            </w:pPr>
            <w:r>
              <w:rPr>
                <w:rFonts w:cs="Arial"/>
              </w:rPr>
              <w:t>Are the disclosures required by SFFAS 31 presented for the current period and prior period? (SFFAS 31, para. 23)</w:t>
            </w:r>
          </w:p>
          <w:p w14:paraId="3A285069" w14:textId="3004AD3F" w:rsidR="00D95390" w:rsidRPr="005B5418" w:rsidRDefault="00D95390" w:rsidP="005425ED">
            <w:pPr>
              <w:pStyle w:val="FAM-Table-outline"/>
              <w:widowControl/>
              <w:numPr>
                <w:ilvl w:val="0"/>
                <w:numId w:val="0"/>
              </w:numPr>
              <w:adjustRightInd/>
              <w:spacing w:line="240" w:lineRule="auto"/>
              <w:textAlignment w:val="auto"/>
              <w:rPr>
                <w:rFonts w:cs="Arial"/>
              </w:rPr>
            </w:pPr>
          </w:p>
        </w:tc>
        <w:tc>
          <w:tcPr>
            <w:tcW w:w="965" w:type="dxa"/>
          </w:tcPr>
          <w:p w14:paraId="37A19A12" w14:textId="77777777" w:rsidR="00D95390" w:rsidRPr="005B5418" w:rsidRDefault="00D95390" w:rsidP="008848DA">
            <w:pPr>
              <w:pStyle w:val="Table-Cell-CenterBoldBefore6ptAfter6pt"/>
              <w:spacing w:before="60" w:after="60"/>
              <w:rPr>
                <w:rFonts w:cs="Arial"/>
              </w:rPr>
            </w:pPr>
          </w:p>
        </w:tc>
        <w:tc>
          <w:tcPr>
            <w:tcW w:w="3211" w:type="dxa"/>
          </w:tcPr>
          <w:p w14:paraId="4DA07AC8" w14:textId="77777777" w:rsidR="00D95390" w:rsidRPr="005B5418" w:rsidRDefault="00D95390" w:rsidP="008848DA">
            <w:pPr>
              <w:pStyle w:val="Table-Cell-Center"/>
              <w:spacing w:before="60" w:after="60" w:line="240" w:lineRule="auto"/>
              <w:rPr>
                <w:rFonts w:cs="Arial"/>
              </w:rPr>
            </w:pPr>
          </w:p>
        </w:tc>
      </w:tr>
      <w:tr w:rsidR="00A629E5" w:rsidRPr="005B5418" w14:paraId="6E84C42F" w14:textId="77777777" w:rsidTr="00A94CBC">
        <w:trPr>
          <w:trHeight w:val="1169"/>
        </w:trPr>
        <w:tc>
          <w:tcPr>
            <w:tcW w:w="5400" w:type="dxa"/>
          </w:tcPr>
          <w:p w14:paraId="543E4AE3" w14:textId="620F1B9D"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 xml:space="preserve">Is a statement included to indicate that fiduciary assets are not assets of the entity and are not recognized on the </w:t>
            </w:r>
            <w:r w:rsidR="001B5C17" w:rsidRPr="005B5418">
              <w:rPr>
                <w:rFonts w:cs="Arial"/>
              </w:rPr>
              <w:t>balance sheet</w:t>
            </w:r>
            <w:r w:rsidRPr="005B5418">
              <w:rPr>
                <w:rFonts w:cs="Arial"/>
              </w:rPr>
              <w:t>? (SFFAS 31, par</w:t>
            </w:r>
            <w:r w:rsidR="00173C19" w:rsidRPr="005B5418">
              <w:rPr>
                <w:rFonts w:cs="Arial"/>
              </w:rPr>
              <w:t>a</w:t>
            </w:r>
            <w:r w:rsidRPr="005B5418">
              <w:rPr>
                <w:rFonts w:cs="Arial"/>
              </w:rPr>
              <w:t>. 17)</w:t>
            </w:r>
          </w:p>
        </w:tc>
        <w:tc>
          <w:tcPr>
            <w:tcW w:w="965" w:type="dxa"/>
          </w:tcPr>
          <w:p w14:paraId="74CBD79B" w14:textId="77777777" w:rsidR="00A629E5" w:rsidRPr="005B5418" w:rsidRDefault="00A629E5" w:rsidP="008848DA">
            <w:pPr>
              <w:pStyle w:val="Table-Cell-CenterBoldBefore6ptAfter6pt"/>
              <w:spacing w:before="60" w:after="60"/>
              <w:rPr>
                <w:rFonts w:cs="Arial"/>
              </w:rPr>
            </w:pPr>
          </w:p>
        </w:tc>
        <w:tc>
          <w:tcPr>
            <w:tcW w:w="3211" w:type="dxa"/>
          </w:tcPr>
          <w:p w14:paraId="4B1B39C9" w14:textId="77777777" w:rsidR="00A629E5" w:rsidRPr="005B5418" w:rsidRDefault="00A629E5" w:rsidP="008848DA">
            <w:pPr>
              <w:pStyle w:val="Table-Cell-Center"/>
              <w:spacing w:before="60" w:after="60" w:line="240" w:lineRule="auto"/>
              <w:rPr>
                <w:rFonts w:cs="Arial"/>
              </w:rPr>
            </w:pPr>
          </w:p>
        </w:tc>
      </w:tr>
      <w:tr w:rsidR="00A629E5" w:rsidRPr="005B5418" w14:paraId="22D455D0" w14:textId="77777777" w:rsidTr="006C5478">
        <w:trPr>
          <w:trHeight w:val="2160"/>
        </w:trPr>
        <w:tc>
          <w:tcPr>
            <w:tcW w:w="5400" w:type="dxa"/>
          </w:tcPr>
          <w:p w14:paraId="76673C0D" w14:textId="77777777"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lastRenderedPageBreak/>
              <w:t>Does the disclosure for fiduciary activities include</w:t>
            </w:r>
          </w:p>
          <w:p w14:paraId="7177BE06" w14:textId="585CEBA2" w:rsidR="00A629E5" w:rsidRPr="005B5418" w:rsidRDefault="00A629E5" w:rsidP="005425ED">
            <w:pPr>
              <w:pStyle w:val="FAM-Table-outline2"/>
              <w:spacing w:line="240" w:lineRule="auto"/>
              <w:ind w:left="1140" w:hanging="443"/>
            </w:pPr>
            <w:r w:rsidRPr="005B5418">
              <w:t>a description of the fiduciary relationship (e.g., the applicable legal authority)</w:t>
            </w:r>
            <w:r w:rsidR="00651A31" w:rsidRPr="005B5418">
              <w:t>,</w:t>
            </w:r>
          </w:p>
          <w:p w14:paraId="19C1DD66" w14:textId="6115C337" w:rsidR="00A629E5" w:rsidRPr="005B5418" w:rsidRDefault="00A629E5" w:rsidP="005425ED">
            <w:pPr>
              <w:pStyle w:val="FAM-Table-outline2"/>
              <w:spacing w:line="240" w:lineRule="auto"/>
              <w:ind w:left="1140" w:hanging="443"/>
            </w:pPr>
            <w:r w:rsidRPr="005B5418">
              <w:t>the objectives of the fiduciary activity</w:t>
            </w:r>
            <w:r w:rsidR="00651A31" w:rsidRPr="005B5418">
              <w:t>,</w:t>
            </w:r>
            <w:r w:rsidRPr="005B5418">
              <w:t xml:space="preserve"> </w:t>
            </w:r>
          </w:p>
          <w:p w14:paraId="3D575737" w14:textId="2ED957C4" w:rsidR="00A629E5" w:rsidRPr="005B5418" w:rsidRDefault="00A629E5" w:rsidP="005425ED">
            <w:pPr>
              <w:pStyle w:val="FAM-Table-outline2"/>
              <w:spacing w:line="240" w:lineRule="auto"/>
              <w:ind w:left="1140" w:hanging="443"/>
            </w:pPr>
            <w:r w:rsidRPr="005B5418">
              <w:t>a general description of the beneficial owners or class of owners</w:t>
            </w:r>
            <w:r w:rsidR="00651A31" w:rsidRPr="005B5418">
              <w:t>,</w:t>
            </w:r>
            <w:r w:rsidRPr="005B5418">
              <w:t xml:space="preserve"> and</w:t>
            </w:r>
          </w:p>
          <w:p w14:paraId="5AB9A58E" w14:textId="6836C759" w:rsidR="00A629E5" w:rsidRPr="005B5418" w:rsidRDefault="00A629E5" w:rsidP="005425ED">
            <w:pPr>
              <w:pStyle w:val="FAM-Table-outline2"/>
              <w:spacing w:line="240" w:lineRule="auto"/>
              <w:ind w:left="1140" w:hanging="443"/>
              <w:rPr>
                <w:rFonts w:cs="Arial"/>
              </w:rPr>
            </w:pPr>
            <w:r w:rsidRPr="005B5418">
              <w:t>the number of fiduciary funds for which the entity has management responsibility?</w:t>
            </w:r>
            <w:r w:rsidR="006127DF" w:rsidRPr="005B5418">
              <w:t xml:space="preserve"> </w:t>
            </w:r>
            <w:r w:rsidRPr="005B5418">
              <w:br/>
              <w:t>(SFFAS 31, par</w:t>
            </w:r>
            <w:r w:rsidR="00651A31" w:rsidRPr="005B5418">
              <w:t>a</w:t>
            </w:r>
            <w:r w:rsidRPr="005B5418">
              <w:t>. 18a, A-136, section II.3.8.</w:t>
            </w:r>
            <w:r w:rsidR="00D11E11" w:rsidRPr="005B5418">
              <w:t>29</w:t>
            </w:r>
            <w:r w:rsidRPr="005B5418">
              <w:t>)</w:t>
            </w:r>
          </w:p>
        </w:tc>
        <w:tc>
          <w:tcPr>
            <w:tcW w:w="965" w:type="dxa"/>
          </w:tcPr>
          <w:p w14:paraId="1F112ADB" w14:textId="77777777" w:rsidR="00A629E5" w:rsidRPr="005B5418" w:rsidRDefault="00A629E5" w:rsidP="008848DA">
            <w:pPr>
              <w:pStyle w:val="Table-Cell-CenterBoldBefore6ptAfter6pt"/>
              <w:spacing w:before="60" w:after="60"/>
              <w:rPr>
                <w:rFonts w:cs="Arial"/>
              </w:rPr>
            </w:pPr>
          </w:p>
        </w:tc>
        <w:tc>
          <w:tcPr>
            <w:tcW w:w="3211" w:type="dxa"/>
          </w:tcPr>
          <w:p w14:paraId="70A5C71B" w14:textId="77777777" w:rsidR="00A629E5" w:rsidRPr="005B5418" w:rsidRDefault="00A629E5" w:rsidP="008848DA">
            <w:pPr>
              <w:pStyle w:val="BodyTextIndent"/>
              <w:spacing w:before="60" w:after="60"/>
              <w:rPr>
                <w:rFonts w:cs="Arial"/>
              </w:rPr>
            </w:pPr>
          </w:p>
        </w:tc>
      </w:tr>
      <w:tr w:rsidR="00A629E5" w:rsidRPr="005B5418" w14:paraId="61521535" w14:textId="77777777" w:rsidTr="0038293D">
        <w:trPr>
          <w:trHeight w:val="521"/>
        </w:trPr>
        <w:tc>
          <w:tcPr>
            <w:tcW w:w="5400" w:type="dxa"/>
          </w:tcPr>
          <w:p w14:paraId="46ECE1E8" w14:textId="77777777"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Is a Schedule of Fiduciary Activity for all periods included that discloses</w:t>
            </w:r>
          </w:p>
          <w:p w14:paraId="08A356DA" w14:textId="19C6210C" w:rsidR="00A629E5" w:rsidRPr="005B5418" w:rsidRDefault="00A629E5" w:rsidP="005425ED">
            <w:pPr>
              <w:pStyle w:val="FAM-Table-outline2"/>
              <w:spacing w:line="240" w:lineRule="auto"/>
              <w:ind w:left="1140" w:hanging="443"/>
            </w:pPr>
            <w:r w:rsidRPr="005B5418">
              <w:t xml:space="preserve">beginning balance of </w:t>
            </w:r>
            <w:r w:rsidR="006127DF" w:rsidRPr="005B5418">
              <w:t>f</w:t>
            </w:r>
            <w:r w:rsidRPr="005B5418">
              <w:t>iduciary net assets</w:t>
            </w:r>
            <w:r w:rsidR="00651A31" w:rsidRPr="005B5418">
              <w:t>,</w:t>
            </w:r>
          </w:p>
          <w:p w14:paraId="7D47AD4D" w14:textId="3BBBA8D7" w:rsidR="00A629E5" w:rsidRPr="005B5418" w:rsidRDefault="00A629E5" w:rsidP="005425ED">
            <w:pPr>
              <w:pStyle w:val="FAM-Table-outline2"/>
              <w:spacing w:line="240" w:lineRule="auto"/>
              <w:ind w:left="1140" w:hanging="443"/>
            </w:pPr>
            <w:r w:rsidRPr="005B5418">
              <w:t>inflows from the fiduciary activities by category (e.g., fiduciary revenues, contributions, investment earnings, gain/loss on disposition, net) and outflows by category (e.g., benefit payments, refunds, administrative expenses)</w:t>
            </w:r>
            <w:r w:rsidR="00651A31" w:rsidRPr="005B5418">
              <w:t>,</w:t>
            </w:r>
          </w:p>
          <w:p w14:paraId="41D06772" w14:textId="372278D2" w:rsidR="00A629E5" w:rsidRPr="005B5418" w:rsidRDefault="00A629E5" w:rsidP="005425ED">
            <w:pPr>
              <w:pStyle w:val="FAM-Table-outline2"/>
              <w:spacing w:line="240" w:lineRule="auto"/>
              <w:ind w:left="1140" w:hanging="443"/>
            </w:pPr>
            <w:r w:rsidRPr="005B5418">
              <w:t>change in net assets</w:t>
            </w:r>
            <w:r w:rsidR="00651A31" w:rsidRPr="005B5418">
              <w:t>,</w:t>
            </w:r>
            <w:r w:rsidRPr="005B5418">
              <w:t xml:space="preserve"> and</w:t>
            </w:r>
          </w:p>
          <w:p w14:paraId="731D5FA5" w14:textId="15A98161" w:rsidR="00A629E5" w:rsidRPr="005B5418" w:rsidRDefault="00A629E5" w:rsidP="005425ED">
            <w:pPr>
              <w:pStyle w:val="FAM-Table-outline2"/>
              <w:spacing w:line="240" w:lineRule="auto"/>
              <w:ind w:left="1140" w:hanging="443"/>
              <w:rPr>
                <w:rFonts w:cs="Arial"/>
              </w:rPr>
            </w:pPr>
            <w:r w:rsidRPr="005B5418">
              <w:t>ending balance of net assets?</w:t>
            </w:r>
            <w:r w:rsidRPr="005B5418">
              <w:br/>
              <w:t>(SFFAS 31, par</w:t>
            </w:r>
            <w:r w:rsidR="00651A31" w:rsidRPr="005B5418">
              <w:t>a</w:t>
            </w:r>
            <w:r w:rsidRPr="005B5418">
              <w:t>. 18b; A-136, section II.3.8.</w:t>
            </w:r>
            <w:r w:rsidR="00D11E11" w:rsidRPr="005B5418">
              <w:t>29</w:t>
            </w:r>
            <w:r w:rsidRPr="005B5418">
              <w:t>)</w:t>
            </w:r>
          </w:p>
        </w:tc>
        <w:tc>
          <w:tcPr>
            <w:tcW w:w="965" w:type="dxa"/>
          </w:tcPr>
          <w:p w14:paraId="48EB37F9" w14:textId="77777777" w:rsidR="00A629E5" w:rsidRPr="005B5418" w:rsidRDefault="00A629E5" w:rsidP="008848DA">
            <w:pPr>
              <w:pStyle w:val="Table-Cell-CenterBoldBefore6ptAfter6pt"/>
              <w:spacing w:before="60" w:after="60"/>
              <w:rPr>
                <w:rFonts w:cs="Arial"/>
              </w:rPr>
            </w:pPr>
          </w:p>
        </w:tc>
        <w:tc>
          <w:tcPr>
            <w:tcW w:w="3211" w:type="dxa"/>
          </w:tcPr>
          <w:p w14:paraId="02CF2F31" w14:textId="77777777" w:rsidR="00A629E5" w:rsidRPr="005B5418" w:rsidRDefault="00A629E5" w:rsidP="008848DA">
            <w:pPr>
              <w:pStyle w:val="BodyTextIndent"/>
              <w:spacing w:before="60" w:after="60"/>
              <w:rPr>
                <w:rFonts w:cs="Arial"/>
              </w:rPr>
            </w:pPr>
          </w:p>
        </w:tc>
      </w:tr>
      <w:tr w:rsidR="00A629E5" w:rsidRPr="005B5418" w14:paraId="07BE12D1" w14:textId="77777777" w:rsidTr="006C5478">
        <w:trPr>
          <w:trHeight w:val="2160"/>
        </w:trPr>
        <w:tc>
          <w:tcPr>
            <w:tcW w:w="5400" w:type="dxa"/>
          </w:tcPr>
          <w:p w14:paraId="25048B1E" w14:textId="4BC23C29"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 xml:space="preserve">Does a Schedule of Fiduciary Net Assets disclose the current and prior period ending balances for </w:t>
            </w:r>
          </w:p>
          <w:p w14:paraId="3A59C7DA" w14:textId="0C5476A5" w:rsidR="00A629E5" w:rsidRPr="005B5418" w:rsidRDefault="00A629E5" w:rsidP="005425ED">
            <w:pPr>
              <w:pStyle w:val="FAM-Table-outline2"/>
              <w:spacing w:line="240" w:lineRule="auto"/>
              <w:ind w:left="1140" w:hanging="443"/>
            </w:pPr>
            <w:r w:rsidRPr="005B5418">
              <w:t>cash and any other assets by category (e.g., receivables, investments) and</w:t>
            </w:r>
          </w:p>
          <w:p w14:paraId="53124762" w14:textId="77777777" w:rsidR="005E5868" w:rsidRPr="005B5418" w:rsidRDefault="005E5868" w:rsidP="005425ED">
            <w:pPr>
              <w:pStyle w:val="FAM-Table-outline2"/>
              <w:spacing w:line="240" w:lineRule="auto"/>
              <w:ind w:left="1140" w:hanging="443"/>
            </w:pPr>
            <w:r w:rsidRPr="005B5418">
              <w:t>liabilities by category?</w:t>
            </w:r>
          </w:p>
          <w:p w14:paraId="4F58C872" w14:textId="658FA74E" w:rsidR="00A629E5" w:rsidRPr="005B5418" w:rsidRDefault="00A629E5" w:rsidP="003E1334">
            <w:pPr>
              <w:pStyle w:val="FAM-Table-outline2"/>
              <w:numPr>
                <w:ilvl w:val="0"/>
                <w:numId w:val="0"/>
              </w:numPr>
              <w:spacing w:line="240" w:lineRule="auto"/>
              <w:ind w:left="1140"/>
              <w:rPr>
                <w:rFonts w:cs="Arial"/>
              </w:rPr>
            </w:pPr>
            <w:r w:rsidRPr="005B5418">
              <w:t>(SFFAS 31, par</w:t>
            </w:r>
            <w:r w:rsidR="00651A31" w:rsidRPr="005B5418">
              <w:t>a</w:t>
            </w:r>
            <w:r w:rsidRPr="005B5418">
              <w:t>. 18c)</w:t>
            </w:r>
          </w:p>
        </w:tc>
        <w:tc>
          <w:tcPr>
            <w:tcW w:w="965" w:type="dxa"/>
          </w:tcPr>
          <w:p w14:paraId="1C0EAF4F" w14:textId="77777777" w:rsidR="00A629E5" w:rsidRPr="005B5418" w:rsidRDefault="00A629E5" w:rsidP="008848DA">
            <w:pPr>
              <w:pStyle w:val="Table-Cell-CenterBoldBefore6ptAfter6pt"/>
              <w:spacing w:before="60" w:after="60"/>
              <w:rPr>
                <w:rFonts w:cs="Arial"/>
              </w:rPr>
            </w:pPr>
          </w:p>
        </w:tc>
        <w:tc>
          <w:tcPr>
            <w:tcW w:w="3211" w:type="dxa"/>
          </w:tcPr>
          <w:p w14:paraId="7A6820C5" w14:textId="77777777" w:rsidR="00A629E5" w:rsidRPr="005B5418" w:rsidRDefault="00A629E5" w:rsidP="008848DA">
            <w:pPr>
              <w:pStyle w:val="BodyTextIndent"/>
              <w:spacing w:before="60" w:after="60"/>
              <w:rPr>
                <w:rFonts w:cs="Arial"/>
              </w:rPr>
            </w:pPr>
          </w:p>
        </w:tc>
      </w:tr>
      <w:tr w:rsidR="00A629E5" w:rsidRPr="005B5418" w14:paraId="00872F95" w14:textId="77777777" w:rsidTr="006C5478">
        <w:trPr>
          <w:trHeight w:val="1430"/>
        </w:trPr>
        <w:tc>
          <w:tcPr>
            <w:tcW w:w="5400" w:type="dxa"/>
          </w:tcPr>
          <w:p w14:paraId="21E4891C" w14:textId="2FF46268"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Does the entity provide a variance analysis addressing significant changes from the prior period? (SFFAS 31, par</w:t>
            </w:r>
            <w:r w:rsidR="00651A31" w:rsidRPr="005B5418">
              <w:rPr>
                <w:rFonts w:cs="Arial"/>
              </w:rPr>
              <w:t>a</w:t>
            </w:r>
            <w:r w:rsidRPr="005B5418">
              <w:rPr>
                <w:rFonts w:cs="Arial"/>
              </w:rPr>
              <w:t>. 18c)</w:t>
            </w:r>
          </w:p>
        </w:tc>
        <w:tc>
          <w:tcPr>
            <w:tcW w:w="965" w:type="dxa"/>
          </w:tcPr>
          <w:p w14:paraId="576CBEF4" w14:textId="77777777" w:rsidR="00A629E5" w:rsidRPr="005B5418" w:rsidRDefault="00A629E5" w:rsidP="008848DA">
            <w:pPr>
              <w:pStyle w:val="Table-Cell-CenterBoldBefore6ptAfter6pt"/>
              <w:spacing w:before="60" w:after="60"/>
              <w:rPr>
                <w:rFonts w:cs="Arial"/>
              </w:rPr>
            </w:pPr>
          </w:p>
        </w:tc>
        <w:tc>
          <w:tcPr>
            <w:tcW w:w="3211" w:type="dxa"/>
          </w:tcPr>
          <w:p w14:paraId="01E670EF" w14:textId="77777777" w:rsidR="00A629E5" w:rsidRPr="005B5418" w:rsidRDefault="00A629E5" w:rsidP="008848DA">
            <w:pPr>
              <w:pStyle w:val="BodyTextIndent"/>
              <w:spacing w:before="60" w:after="60"/>
              <w:rPr>
                <w:rFonts w:cs="Arial"/>
              </w:rPr>
            </w:pPr>
          </w:p>
        </w:tc>
      </w:tr>
      <w:tr w:rsidR="00A629E5" w:rsidRPr="005B5418" w14:paraId="1AD8F51B" w14:textId="77777777" w:rsidTr="006C5478">
        <w:trPr>
          <w:trHeight w:val="2160"/>
        </w:trPr>
        <w:tc>
          <w:tcPr>
            <w:tcW w:w="5400" w:type="dxa"/>
          </w:tcPr>
          <w:p w14:paraId="5D3927CB" w14:textId="77777777"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lastRenderedPageBreak/>
              <w:t xml:space="preserve">Does </w:t>
            </w:r>
            <w:r w:rsidR="006127DF" w:rsidRPr="005B5418">
              <w:rPr>
                <w:rFonts w:cs="Arial"/>
              </w:rPr>
              <w:t xml:space="preserve">the </w:t>
            </w:r>
            <w:r w:rsidRPr="005B5418">
              <w:rPr>
                <w:rFonts w:cs="Arial"/>
              </w:rPr>
              <w:t>entity disclosure for non-monetary fiduciary assets describe</w:t>
            </w:r>
          </w:p>
          <w:p w14:paraId="74B87E37" w14:textId="34A73875" w:rsidR="00A629E5" w:rsidRPr="005B5418" w:rsidRDefault="00A629E5" w:rsidP="005425ED">
            <w:pPr>
              <w:pStyle w:val="FAM-Table-outline2"/>
              <w:spacing w:line="240" w:lineRule="auto"/>
              <w:ind w:left="1140" w:hanging="443"/>
            </w:pPr>
            <w:r w:rsidRPr="005B5418">
              <w:t>composition of the assets</w:t>
            </w:r>
            <w:r w:rsidR="00036A48" w:rsidRPr="005B5418">
              <w:t>,</w:t>
            </w:r>
          </w:p>
          <w:p w14:paraId="64CEEB28" w14:textId="5CCA5F15" w:rsidR="00A629E5" w:rsidRPr="005B5418" w:rsidRDefault="00A629E5" w:rsidP="005425ED">
            <w:pPr>
              <w:pStyle w:val="FAM-Table-outline2"/>
              <w:spacing w:line="240" w:lineRule="auto"/>
              <w:ind w:left="1140" w:hanging="443"/>
            </w:pPr>
            <w:r w:rsidRPr="005B5418">
              <w:t>the method(s) of valuation</w:t>
            </w:r>
            <w:r w:rsidR="00036A48" w:rsidRPr="005B5418">
              <w:t>,</w:t>
            </w:r>
            <w:r w:rsidRPr="005B5418">
              <w:t xml:space="preserve"> and </w:t>
            </w:r>
          </w:p>
          <w:p w14:paraId="71203C03" w14:textId="60C2D1A2" w:rsidR="00A629E5" w:rsidRPr="005B5418" w:rsidRDefault="00A629E5" w:rsidP="005425ED">
            <w:pPr>
              <w:pStyle w:val="FAM-Table-outline2"/>
              <w:spacing w:line="240" w:lineRule="auto"/>
              <w:ind w:left="1140" w:hanging="443"/>
              <w:rPr>
                <w:rFonts w:cs="Arial"/>
              </w:rPr>
            </w:pPr>
            <w:r w:rsidRPr="005B5418">
              <w:t>changes from prior period accounting methods? (SFFAS 31, par</w:t>
            </w:r>
            <w:r w:rsidR="00036A48" w:rsidRPr="005B5418">
              <w:t>a</w:t>
            </w:r>
            <w:r w:rsidRPr="005B5418">
              <w:t>. 18c)</w:t>
            </w:r>
          </w:p>
        </w:tc>
        <w:tc>
          <w:tcPr>
            <w:tcW w:w="965" w:type="dxa"/>
          </w:tcPr>
          <w:p w14:paraId="7CAB4129" w14:textId="77777777" w:rsidR="00A629E5" w:rsidRPr="005B5418" w:rsidRDefault="00A629E5" w:rsidP="008848DA">
            <w:pPr>
              <w:pStyle w:val="Table-Cell-CenterBoldBefore6ptAfter6pt"/>
              <w:spacing w:before="60" w:after="60"/>
              <w:rPr>
                <w:rFonts w:cs="Arial"/>
              </w:rPr>
            </w:pPr>
          </w:p>
        </w:tc>
        <w:tc>
          <w:tcPr>
            <w:tcW w:w="3211" w:type="dxa"/>
          </w:tcPr>
          <w:p w14:paraId="50EFCEAF" w14:textId="77777777" w:rsidR="00A629E5" w:rsidRPr="005B5418" w:rsidRDefault="00A629E5" w:rsidP="008848DA">
            <w:pPr>
              <w:pStyle w:val="BodyTextIndent"/>
              <w:spacing w:before="60" w:after="60"/>
              <w:rPr>
                <w:rFonts w:cs="Arial"/>
              </w:rPr>
            </w:pPr>
          </w:p>
        </w:tc>
      </w:tr>
      <w:tr w:rsidR="00A629E5" w:rsidRPr="005B5418" w14:paraId="0564E246" w14:textId="77777777" w:rsidTr="0038293D">
        <w:trPr>
          <w:trHeight w:val="431"/>
        </w:trPr>
        <w:tc>
          <w:tcPr>
            <w:tcW w:w="5400" w:type="dxa"/>
          </w:tcPr>
          <w:p w14:paraId="103FC502" w14:textId="752E53CA"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Are non-valued fiduciary assets</w:t>
            </w:r>
            <w:r w:rsidR="00036A48" w:rsidRPr="005B5418">
              <w:t xml:space="preserve"> </w:t>
            </w:r>
            <w:r w:rsidR="00036A48" w:rsidRPr="005B5418">
              <w:rPr>
                <w:rFonts w:cs="Arial"/>
              </w:rPr>
              <w:t>disclosed in a Schedule of Changes in Non-Valued Fiduciary Assets</w:t>
            </w:r>
            <w:r w:rsidRPr="005B5418">
              <w:rPr>
                <w:rFonts w:cs="Arial"/>
              </w:rPr>
              <w:t>,</w:t>
            </w:r>
            <w:r w:rsidRPr="005B5418">
              <w:rPr>
                <w:vertAlign w:val="superscript"/>
              </w:rPr>
              <w:footnoteReference w:id="253"/>
            </w:r>
            <w:r w:rsidRPr="005B5418">
              <w:rPr>
                <w:rFonts w:cs="Arial"/>
              </w:rPr>
              <w:t xml:space="preserve"> which includes</w:t>
            </w:r>
          </w:p>
          <w:p w14:paraId="79759A0A" w14:textId="4F68BADB" w:rsidR="00A629E5" w:rsidRPr="005B5418" w:rsidRDefault="00A629E5" w:rsidP="005425ED">
            <w:pPr>
              <w:pStyle w:val="FAM-Table-outline2"/>
              <w:spacing w:line="240" w:lineRule="auto"/>
              <w:ind w:left="1140" w:hanging="443"/>
            </w:pPr>
            <w:r w:rsidRPr="005B5418">
              <w:t>a description of non-valued fiduciary assets</w:t>
            </w:r>
            <w:r w:rsidR="00036A48" w:rsidRPr="005B5418">
              <w:t>,</w:t>
            </w:r>
          </w:p>
          <w:p w14:paraId="2FA37A4E" w14:textId="481F3FA9" w:rsidR="00A629E5" w:rsidRPr="005B5418" w:rsidRDefault="00A629E5" w:rsidP="005425ED">
            <w:pPr>
              <w:pStyle w:val="FAM-Table-outline2"/>
              <w:spacing w:line="240" w:lineRule="auto"/>
              <w:ind w:left="1140" w:hanging="443"/>
            </w:pPr>
            <w:r w:rsidRPr="005B5418">
              <w:t>beginning quantity</w:t>
            </w:r>
            <w:r w:rsidR="00036A48" w:rsidRPr="005B5418">
              <w:t>,</w:t>
            </w:r>
            <w:r w:rsidRPr="005B5418">
              <w:t xml:space="preserve"> </w:t>
            </w:r>
          </w:p>
          <w:p w14:paraId="2D97C1CD" w14:textId="2F83A3CD" w:rsidR="00A629E5" w:rsidRPr="005B5418" w:rsidRDefault="00A629E5" w:rsidP="005425ED">
            <w:pPr>
              <w:pStyle w:val="FAM-Table-outline2"/>
              <w:spacing w:line="240" w:lineRule="auto"/>
              <w:ind w:left="1140" w:hanging="443"/>
            </w:pPr>
            <w:r w:rsidRPr="005B5418">
              <w:t>quantity received</w:t>
            </w:r>
            <w:r w:rsidR="00036A48" w:rsidRPr="005B5418">
              <w:t>,</w:t>
            </w:r>
          </w:p>
          <w:p w14:paraId="31F2A98B" w14:textId="09DBA9F2" w:rsidR="00A629E5" w:rsidRPr="005B5418" w:rsidRDefault="00A629E5" w:rsidP="005425ED">
            <w:pPr>
              <w:pStyle w:val="FAM-Table-outline2"/>
              <w:spacing w:line="240" w:lineRule="auto"/>
              <w:ind w:left="1140" w:hanging="443"/>
            </w:pPr>
            <w:r w:rsidRPr="005B5418">
              <w:t>quantity disposed of</w:t>
            </w:r>
            <w:r w:rsidR="00036A48" w:rsidRPr="005B5418">
              <w:t>,</w:t>
            </w:r>
            <w:r w:rsidRPr="005B5418">
              <w:t xml:space="preserve"> </w:t>
            </w:r>
          </w:p>
          <w:p w14:paraId="455F0BB1" w14:textId="434F5A14" w:rsidR="00A629E5" w:rsidRPr="005B5418" w:rsidRDefault="00A629E5" w:rsidP="005425ED">
            <w:pPr>
              <w:pStyle w:val="FAM-Table-outline2"/>
              <w:spacing w:line="240" w:lineRule="auto"/>
              <w:ind w:left="1140" w:hanging="443"/>
            </w:pPr>
            <w:r w:rsidRPr="005B5418">
              <w:t>net increase/decrease in non-valued, fiduciary assets</w:t>
            </w:r>
            <w:r w:rsidR="00036A48" w:rsidRPr="005B5418">
              <w:t>,</w:t>
            </w:r>
            <w:r w:rsidRPr="005B5418">
              <w:t xml:space="preserve"> and </w:t>
            </w:r>
          </w:p>
          <w:p w14:paraId="6A50691A" w14:textId="2CDCB74F" w:rsidR="00A629E5" w:rsidRPr="005B5418" w:rsidRDefault="00A629E5" w:rsidP="005425ED">
            <w:pPr>
              <w:pStyle w:val="FAM-Table-outline2"/>
              <w:spacing w:line="240" w:lineRule="auto"/>
              <w:ind w:left="1140" w:hanging="443"/>
              <w:rPr>
                <w:rFonts w:cs="Arial"/>
              </w:rPr>
            </w:pPr>
            <w:r w:rsidRPr="005B5418">
              <w:t>ending total quantity? (SFFAS 31, par</w:t>
            </w:r>
            <w:r w:rsidR="00036A48" w:rsidRPr="005B5418">
              <w:t>a</w:t>
            </w:r>
            <w:r w:rsidRPr="005B5418">
              <w:t>. 18d)</w:t>
            </w:r>
          </w:p>
        </w:tc>
        <w:tc>
          <w:tcPr>
            <w:tcW w:w="965" w:type="dxa"/>
          </w:tcPr>
          <w:p w14:paraId="29DD088D" w14:textId="77777777" w:rsidR="00A629E5" w:rsidRPr="005B5418" w:rsidRDefault="00A629E5" w:rsidP="008848DA">
            <w:pPr>
              <w:pStyle w:val="Table-Cell-CenterBoldBefore6ptAfter6pt"/>
              <w:spacing w:before="60" w:after="60"/>
              <w:rPr>
                <w:rFonts w:cs="Arial"/>
              </w:rPr>
            </w:pPr>
          </w:p>
        </w:tc>
        <w:tc>
          <w:tcPr>
            <w:tcW w:w="3211" w:type="dxa"/>
          </w:tcPr>
          <w:p w14:paraId="1F9DD79A" w14:textId="77777777" w:rsidR="00A629E5" w:rsidRPr="005B5418" w:rsidRDefault="00A629E5" w:rsidP="008848DA">
            <w:pPr>
              <w:pStyle w:val="BodyTextIndent"/>
              <w:spacing w:before="60" w:after="60"/>
              <w:rPr>
                <w:rFonts w:cs="Arial"/>
              </w:rPr>
            </w:pPr>
          </w:p>
        </w:tc>
      </w:tr>
      <w:tr w:rsidR="00A629E5" w:rsidRPr="005B5418" w14:paraId="58F6BA6B" w14:textId="77777777" w:rsidTr="00DA6DCF">
        <w:trPr>
          <w:trHeight w:val="917"/>
        </w:trPr>
        <w:tc>
          <w:tcPr>
            <w:tcW w:w="5400" w:type="dxa"/>
          </w:tcPr>
          <w:p w14:paraId="0A495B2B" w14:textId="77777777"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If separate audited financial statements are issued for an individual fiduciary activity that is presented individually in accordance with the acceptable criteria,</w:t>
            </w:r>
            <w:r w:rsidRPr="005B5418">
              <w:rPr>
                <w:vertAlign w:val="superscript"/>
              </w:rPr>
              <w:footnoteReference w:id="254"/>
            </w:r>
            <w:r w:rsidRPr="005B5418">
              <w:rPr>
                <w:rFonts w:cs="Arial"/>
              </w:rPr>
              <w:t xml:space="preserve"> does disclosure include</w:t>
            </w:r>
          </w:p>
          <w:p w14:paraId="3B3B3BE4" w14:textId="77777777" w:rsidR="00A629E5" w:rsidRPr="005B5418" w:rsidRDefault="00A629E5" w:rsidP="005425ED">
            <w:pPr>
              <w:pStyle w:val="FAM-Table-outline2"/>
              <w:spacing w:line="240" w:lineRule="auto"/>
              <w:ind w:left="1140" w:hanging="443"/>
            </w:pPr>
            <w:r w:rsidRPr="005B5418">
              <w:t xml:space="preserve">the basis of accounting used and auditor’s opinion on the current or most recent financial statements; </w:t>
            </w:r>
          </w:p>
          <w:p w14:paraId="6A75674D" w14:textId="0CF951D3" w:rsidR="00A629E5" w:rsidRPr="005B5418" w:rsidRDefault="00A629E5" w:rsidP="005425ED">
            <w:pPr>
              <w:pStyle w:val="FAM-Table-outline2"/>
              <w:spacing w:line="240" w:lineRule="auto"/>
              <w:ind w:left="1140" w:hanging="443"/>
            </w:pPr>
            <w:r w:rsidRPr="005B5418">
              <w:t xml:space="preserve">the reason(s) stated by the auditors if the auditor’s opinion was not unmodified, and a reference to the audit opinion for further information; and </w:t>
            </w:r>
          </w:p>
          <w:p w14:paraId="3508EE22" w14:textId="6B53CCED" w:rsidR="00A629E5" w:rsidRPr="005B5418" w:rsidRDefault="00A629E5" w:rsidP="005425ED">
            <w:pPr>
              <w:pStyle w:val="FAM-Table-outline2"/>
              <w:spacing w:line="240" w:lineRule="auto"/>
              <w:ind w:left="1140" w:hanging="443"/>
              <w:rPr>
                <w:rFonts w:cs="Arial"/>
              </w:rPr>
            </w:pPr>
            <w:r w:rsidRPr="005B5418">
              <w:t>how the reader can obtain a copy of the financial statements and the audit opinion thereon? (SFFAS 31, par</w:t>
            </w:r>
            <w:r w:rsidR="00BE4D06" w:rsidRPr="005B5418">
              <w:t>as</w:t>
            </w:r>
            <w:r w:rsidRPr="005B5418">
              <w:t xml:space="preserve">. 18e </w:t>
            </w:r>
            <w:r w:rsidR="00BE4D06" w:rsidRPr="005B5418">
              <w:t xml:space="preserve">and </w:t>
            </w:r>
            <w:r w:rsidRPr="005B5418">
              <w:t>22)</w:t>
            </w:r>
          </w:p>
        </w:tc>
        <w:tc>
          <w:tcPr>
            <w:tcW w:w="965" w:type="dxa"/>
          </w:tcPr>
          <w:p w14:paraId="32A45D2D" w14:textId="77777777" w:rsidR="00A629E5" w:rsidRPr="005B5418" w:rsidRDefault="00A629E5" w:rsidP="008848DA">
            <w:pPr>
              <w:pStyle w:val="Table-Cell-CenterBoldBefore6ptAfter6pt"/>
              <w:spacing w:before="60" w:after="60"/>
              <w:rPr>
                <w:rFonts w:cs="Arial"/>
              </w:rPr>
            </w:pPr>
          </w:p>
        </w:tc>
        <w:tc>
          <w:tcPr>
            <w:tcW w:w="3211" w:type="dxa"/>
          </w:tcPr>
          <w:p w14:paraId="6697647B" w14:textId="77777777" w:rsidR="00A629E5" w:rsidRPr="005B5418" w:rsidRDefault="00A629E5" w:rsidP="008848DA">
            <w:pPr>
              <w:pStyle w:val="BodyTextIndent"/>
              <w:spacing w:before="60" w:after="60"/>
              <w:rPr>
                <w:rFonts w:cs="Arial"/>
              </w:rPr>
            </w:pPr>
          </w:p>
        </w:tc>
      </w:tr>
      <w:tr w:rsidR="00A629E5" w:rsidRPr="005B5418" w14:paraId="3313AE54" w14:textId="77777777" w:rsidTr="006C5478">
        <w:trPr>
          <w:trHeight w:val="1763"/>
        </w:trPr>
        <w:tc>
          <w:tcPr>
            <w:tcW w:w="5400" w:type="dxa"/>
          </w:tcPr>
          <w:p w14:paraId="0C5A7EC1" w14:textId="239E8722"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lastRenderedPageBreak/>
              <w:t>If the separate audited financial statements for an individual fiduciary activity are prepared with a fiscal year-end other than September 30, is information provided for the fiduciary activity’s most recent fiscal year? (SFFAS 31, par</w:t>
            </w:r>
            <w:r w:rsidR="00B811ED" w:rsidRPr="005B5418">
              <w:rPr>
                <w:rFonts w:cs="Arial"/>
              </w:rPr>
              <w:t>a</w:t>
            </w:r>
            <w:r w:rsidRPr="005B5418">
              <w:rPr>
                <w:rFonts w:cs="Arial"/>
              </w:rPr>
              <w:t>. 18e)</w:t>
            </w:r>
          </w:p>
        </w:tc>
        <w:tc>
          <w:tcPr>
            <w:tcW w:w="965" w:type="dxa"/>
          </w:tcPr>
          <w:p w14:paraId="06BD6A77" w14:textId="77777777" w:rsidR="00A629E5" w:rsidRPr="005B5418" w:rsidRDefault="00A629E5" w:rsidP="008848DA">
            <w:pPr>
              <w:pStyle w:val="Table-Cell-CenterBoldBefore6ptAfter6pt"/>
              <w:spacing w:before="60" w:after="60"/>
              <w:rPr>
                <w:rFonts w:cs="Arial"/>
              </w:rPr>
            </w:pPr>
          </w:p>
        </w:tc>
        <w:tc>
          <w:tcPr>
            <w:tcW w:w="3211" w:type="dxa"/>
          </w:tcPr>
          <w:p w14:paraId="2BA9FB1F" w14:textId="77777777" w:rsidR="00A629E5" w:rsidRPr="005B5418" w:rsidRDefault="00A629E5" w:rsidP="008848DA">
            <w:pPr>
              <w:pStyle w:val="BodyTextIndent"/>
              <w:spacing w:before="60" w:after="60"/>
              <w:rPr>
                <w:rFonts w:cs="Arial"/>
              </w:rPr>
            </w:pPr>
          </w:p>
        </w:tc>
      </w:tr>
      <w:tr w:rsidR="00A629E5" w:rsidRPr="005B5418" w14:paraId="12946E09" w14:textId="77777777" w:rsidTr="006C5478">
        <w:trPr>
          <w:trHeight w:val="2160"/>
        </w:trPr>
        <w:tc>
          <w:tcPr>
            <w:tcW w:w="5400" w:type="dxa"/>
          </w:tcPr>
          <w:p w14:paraId="15138CBB" w14:textId="5DBB05C3"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 xml:space="preserve">If more than one entity administers a fiduciary activity, and the separate portions of the activity can be clearly identified with a responsible entity, does each entity disclose its portion, including </w:t>
            </w:r>
            <w:r w:rsidR="00B811ED" w:rsidRPr="005B5418">
              <w:rPr>
                <w:rFonts w:cs="Arial"/>
              </w:rPr>
              <w:t>identifying</w:t>
            </w:r>
            <w:r w:rsidRPr="005B5418">
              <w:rPr>
                <w:rFonts w:cs="Arial"/>
              </w:rPr>
              <w:t xml:space="preserve"> the other entities that administer the activity? (SFFAS 31, par</w:t>
            </w:r>
            <w:r w:rsidR="00B811ED" w:rsidRPr="005B5418">
              <w:rPr>
                <w:rFonts w:cs="Arial"/>
              </w:rPr>
              <w:t>a</w:t>
            </w:r>
            <w:r w:rsidRPr="005B5418">
              <w:rPr>
                <w:rFonts w:cs="Arial"/>
              </w:rPr>
              <w:t>. 19)</w:t>
            </w:r>
          </w:p>
        </w:tc>
        <w:tc>
          <w:tcPr>
            <w:tcW w:w="965" w:type="dxa"/>
          </w:tcPr>
          <w:p w14:paraId="2A0AAEF6" w14:textId="77777777" w:rsidR="00A629E5" w:rsidRPr="005B5418" w:rsidRDefault="00A629E5" w:rsidP="008848DA">
            <w:pPr>
              <w:pStyle w:val="Table-Cell-CenterBoldBefore6ptAfter6pt"/>
              <w:spacing w:before="60" w:after="60"/>
              <w:rPr>
                <w:rFonts w:cs="Arial"/>
              </w:rPr>
            </w:pPr>
          </w:p>
        </w:tc>
        <w:tc>
          <w:tcPr>
            <w:tcW w:w="3211" w:type="dxa"/>
          </w:tcPr>
          <w:p w14:paraId="76E6E2B7" w14:textId="77777777" w:rsidR="00A629E5" w:rsidRPr="005B5418" w:rsidRDefault="00A629E5" w:rsidP="008848DA">
            <w:pPr>
              <w:pStyle w:val="BodyTextIndent"/>
              <w:spacing w:before="60" w:after="60"/>
              <w:rPr>
                <w:rFonts w:cs="Arial"/>
              </w:rPr>
            </w:pPr>
          </w:p>
        </w:tc>
      </w:tr>
      <w:tr w:rsidR="00A629E5" w:rsidRPr="005B5418" w14:paraId="250A8494" w14:textId="77777777" w:rsidTr="006C5478">
        <w:trPr>
          <w:trHeight w:val="1457"/>
        </w:trPr>
        <w:tc>
          <w:tcPr>
            <w:tcW w:w="5400" w:type="dxa"/>
          </w:tcPr>
          <w:p w14:paraId="634E03F1" w14:textId="784F854B"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If separate portions of the activity cannot be identified, does the entity with program management responsibility disclose the fiduciary activity? (SFFAS 31, par</w:t>
            </w:r>
            <w:r w:rsidR="00B811ED" w:rsidRPr="005B5418">
              <w:rPr>
                <w:rFonts w:cs="Arial"/>
              </w:rPr>
              <w:t>a</w:t>
            </w:r>
            <w:r w:rsidRPr="005B5418">
              <w:rPr>
                <w:rFonts w:cs="Arial"/>
              </w:rPr>
              <w:t>. 19)</w:t>
            </w:r>
          </w:p>
        </w:tc>
        <w:tc>
          <w:tcPr>
            <w:tcW w:w="965" w:type="dxa"/>
          </w:tcPr>
          <w:p w14:paraId="42FA28FD" w14:textId="77777777" w:rsidR="00A629E5" w:rsidRPr="005B5418" w:rsidRDefault="00A629E5" w:rsidP="008848DA">
            <w:pPr>
              <w:pStyle w:val="Table-Cell-CenterBoldBefore6ptAfter6pt"/>
              <w:spacing w:before="60" w:after="60"/>
              <w:rPr>
                <w:rFonts w:cs="Arial"/>
              </w:rPr>
            </w:pPr>
          </w:p>
        </w:tc>
        <w:tc>
          <w:tcPr>
            <w:tcW w:w="3211" w:type="dxa"/>
          </w:tcPr>
          <w:p w14:paraId="12035618" w14:textId="77777777" w:rsidR="00A629E5" w:rsidRPr="005B5418" w:rsidRDefault="00A629E5" w:rsidP="008848DA">
            <w:pPr>
              <w:pStyle w:val="BodyTextIndent"/>
              <w:spacing w:before="60" w:after="60"/>
              <w:rPr>
                <w:rFonts w:cs="Arial"/>
              </w:rPr>
            </w:pPr>
          </w:p>
        </w:tc>
      </w:tr>
      <w:tr w:rsidR="00A629E5" w:rsidRPr="005B5418" w14:paraId="39AA26EB" w14:textId="77777777" w:rsidTr="00DA6DCF">
        <w:trPr>
          <w:trHeight w:val="1331"/>
        </w:trPr>
        <w:tc>
          <w:tcPr>
            <w:tcW w:w="5400" w:type="dxa"/>
          </w:tcPr>
          <w:p w14:paraId="1F8CDB8A" w14:textId="44B3D196"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For entities with several distinct fiduciary activities, is a summary of financial information provided for each fiduciary activity presented individually? (SFFAS 31, par</w:t>
            </w:r>
            <w:r w:rsidR="00B811ED" w:rsidRPr="005B5418">
              <w:rPr>
                <w:rFonts w:cs="Arial"/>
              </w:rPr>
              <w:t>as</w:t>
            </w:r>
            <w:r w:rsidRPr="005B5418">
              <w:rPr>
                <w:rFonts w:cs="Arial"/>
              </w:rPr>
              <w:t xml:space="preserve">. 18 </w:t>
            </w:r>
            <w:r w:rsidR="00D929D1" w:rsidRPr="005B5418">
              <w:rPr>
                <w:rFonts w:cs="Arial"/>
              </w:rPr>
              <w:t>and</w:t>
            </w:r>
            <w:r w:rsidRPr="005B5418">
              <w:rPr>
                <w:rFonts w:cs="Arial"/>
              </w:rPr>
              <w:t xml:space="preserve"> 20)</w:t>
            </w:r>
          </w:p>
        </w:tc>
        <w:tc>
          <w:tcPr>
            <w:tcW w:w="965" w:type="dxa"/>
          </w:tcPr>
          <w:p w14:paraId="79CEF254" w14:textId="77777777" w:rsidR="00A629E5" w:rsidRPr="005B5418" w:rsidRDefault="00A629E5" w:rsidP="008848DA">
            <w:pPr>
              <w:pStyle w:val="Table-Cell-CenterBoldBefore6ptAfter6pt"/>
              <w:spacing w:before="60" w:after="60"/>
              <w:rPr>
                <w:rFonts w:cs="Arial"/>
              </w:rPr>
            </w:pPr>
          </w:p>
        </w:tc>
        <w:tc>
          <w:tcPr>
            <w:tcW w:w="3211" w:type="dxa"/>
          </w:tcPr>
          <w:p w14:paraId="13337F5F" w14:textId="77777777" w:rsidR="00A629E5" w:rsidRPr="005B5418" w:rsidRDefault="00A629E5" w:rsidP="008848DA">
            <w:pPr>
              <w:pStyle w:val="BodyTextIndent"/>
              <w:spacing w:before="60" w:after="60"/>
              <w:rPr>
                <w:rFonts w:cs="Arial"/>
              </w:rPr>
            </w:pPr>
          </w:p>
        </w:tc>
      </w:tr>
      <w:tr w:rsidR="00A629E5" w:rsidRPr="005B5418" w14:paraId="1B116267" w14:textId="77777777" w:rsidTr="008848DA">
        <w:trPr>
          <w:trHeight w:val="1232"/>
        </w:trPr>
        <w:tc>
          <w:tcPr>
            <w:tcW w:w="5400" w:type="dxa"/>
          </w:tcPr>
          <w:p w14:paraId="4FA3E32E" w14:textId="0DDE6CA7" w:rsidR="00A629E5" w:rsidRPr="005B5418" w:rsidRDefault="00A629E5" w:rsidP="00343610">
            <w:pPr>
              <w:pStyle w:val="FAM-Table-outline"/>
              <w:widowControl/>
              <w:numPr>
                <w:ilvl w:val="0"/>
                <w:numId w:val="26"/>
              </w:numPr>
              <w:adjustRightInd/>
              <w:spacing w:line="240" w:lineRule="auto"/>
              <w:textAlignment w:val="auto"/>
              <w:rPr>
                <w:rFonts w:cs="Arial"/>
              </w:rPr>
            </w:pPr>
            <w:r w:rsidRPr="005B5418">
              <w:rPr>
                <w:rFonts w:cs="Arial"/>
              </w:rPr>
              <w:t>Does the entity consider both quantitative and qualitative criteria</w:t>
            </w:r>
            <w:r w:rsidR="00B811ED" w:rsidRPr="005B5418">
              <w:t xml:space="preserve"> </w:t>
            </w:r>
            <w:r w:rsidR="00B811ED" w:rsidRPr="005B5418">
              <w:rPr>
                <w:rFonts w:cs="Arial"/>
              </w:rPr>
              <w:t>when selecting fiduciary activities to be presented individually?</w:t>
            </w:r>
            <w:r w:rsidRPr="005B5418">
              <w:rPr>
                <w:vertAlign w:val="superscript"/>
              </w:rPr>
              <w:footnoteReference w:id="255"/>
            </w:r>
            <w:r w:rsidRPr="005B5418">
              <w:rPr>
                <w:rFonts w:cs="Arial"/>
              </w:rPr>
              <w:t xml:space="preserve"> (SFFAS 31, par</w:t>
            </w:r>
            <w:r w:rsidR="00B811ED" w:rsidRPr="005B5418">
              <w:rPr>
                <w:rFonts w:cs="Arial"/>
              </w:rPr>
              <w:t>a</w:t>
            </w:r>
            <w:r w:rsidRPr="005B5418">
              <w:rPr>
                <w:rFonts w:cs="Arial"/>
              </w:rPr>
              <w:t>. 21)</w:t>
            </w:r>
          </w:p>
        </w:tc>
        <w:tc>
          <w:tcPr>
            <w:tcW w:w="965" w:type="dxa"/>
          </w:tcPr>
          <w:p w14:paraId="5D4F456F" w14:textId="77777777" w:rsidR="00A629E5" w:rsidRPr="005B5418" w:rsidRDefault="00A629E5" w:rsidP="008848DA">
            <w:pPr>
              <w:pStyle w:val="Table-Cell-CenterBoldBefore6ptAfter6pt"/>
              <w:spacing w:before="60" w:after="60"/>
              <w:rPr>
                <w:rFonts w:cs="Arial"/>
              </w:rPr>
            </w:pPr>
          </w:p>
        </w:tc>
        <w:tc>
          <w:tcPr>
            <w:tcW w:w="3211" w:type="dxa"/>
          </w:tcPr>
          <w:p w14:paraId="4527987A" w14:textId="77777777" w:rsidR="00A629E5" w:rsidRPr="005B5418" w:rsidRDefault="00A629E5" w:rsidP="008848DA">
            <w:pPr>
              <w:pStyle w:val="BodyTextIndent"/>
              <w:spacing w:before="60" w:after="60"/>
              <w:rPr>
                <w:rFonts w:cs="Arial"/>
              </w:rPr>
            </w:pPr>
          </w:p>
        </w:tc>
      </w:tr>
    </w:tbl>
    <w:p w14:paraId="220ABF89" w14:textId="65366A9C" w:rsidR="006C5478" w:rsidRPr="005B5418" w:rsidRDefault="006C5478" w:rsidP="003B61E9">
      <w:pPr>
        <w:spacing w:line="240" w:lineRule="auto"/>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97"/>
        <w:gridCol w:w="965"/>
        <w:gridCol w:w="3214"/>
      </w:tblGrid>
      <w:tr w:rsidR="006C5478" w:rsidRPr="005B5418" w14:paraId="27D9CBA5" w14:textId="77777777" w:rsidTr="00595E19">
        <w:trPr>
          <w:tblHeader/>
        </w:trPr>
        <w:tc>
          <w:tcPr>
            <w:tcW w:w="5397" w:type="dxa"/>
          </w:tcPr>
          <w:p w14:paraId="11629E8C" w14:textId="2589000A" w:rsidR="006C5478" w:rsidRPr="005B5418" w:rsidRDefault="006C5478" w:rsidP="00D11E11">
            <w:pPr>
              <w:pStyle w:val="Heading4"/>
              <w:spacing w:before="60" w:after="60" w:line="240" w:lineRule="auto"/>
              <w:jc w:val="left"/>
              <w:rPr>
                <w:b/>
                <w:i/>
                <w:u w:val="none"/>
              </w:rPr>
            </w:pPr>
            <w:bookmarkStart w:id="223" w:name="_II.3.8.39_Restatements"/>
            <w:bookmarkStart w:id="224" w:name="_Ref8657333"/>
            <w:bookmarkEnd w:id="223"/>
            <w:r w:rsidRPr="005B5418">
              <w:rPr>
                <w:b/>
                <w:u w:val="none"/>
              </w:rPr>
              <w:lastRenderedPageBreak/>
              <w:t>II.3.8.</w:t>
            </w:r>
            <w:r w:rsidR="00D11E11" w:rsidRPr="005B5418">
              <w:rPr>
                <w:b/>
                <w:u w:val="none"/>
              </w:rPr>
              <w:t xml:space="preserve">30 </w:t>
            </w:r>
            <w:r w:rsidRPr="005B5418">
              <w:rPr>
                <w:b/>
                <w:u w:val="none"/>
              </w:rPr>
              <w:t>Restatements</w:t>
            </w:r>
            <w:bookmarkEnd w:id="224"/>
            <w:r w:rsidRPr="005B5418">
              <w:rPr>
                <w:b/>
                <w:u w:val="none"/>
              </w:rPr>
              <w:t xml:space="preserve"> </w:t>
            </w:r>
          </w:p>
        </w:tc>
        <w:tc>
          <w:tcPr>
            <w:tcW w:w="965" w:type="dxa"/>
          </w:tcPr>
          <w:p w14:paraId="0F69280B" w14:textId="77777777" w:rsidR="006C5478" w:rsidRPr="005B5418" w:rsidRDefault="006C5478" w:rsidP="008848DA">
            <w:pPr>
              <w:pStyle w:val="TableCellCenter"/>
              <w:spacing w:before="60" w:after="60"/>
              <w:jc w:val="left"/>
            </w:pPr>
            <w:r w:rsidRPr="005B5418">
              <w:t>Yes, No, or N/A</w:t>
            </w:r>
          </w:p>
        </w:tc>
        <w:tc>
          <w:tcPr>
            <w:tcW w:w="3214" w:type="dxa"/>
          </w:tcPr>
          <w:p w14:paraId="5031F6E7" w14:textId="6B16B55D" w:rsidR="006C5478" w:rsidRPr="005B5418" w:rsidRDefault="006C5478" w:rsidP="008848DA">
            <w:pPr>
              <w:pStyle w:val="TableCellCenter"/>
              <w:spacing w:before="60" w:after="60"/>
              <w:jc w:val="left"/>
            </w:pPr>
            <w:r w:rsidRPr="005B5418">
              <w:t xml:space="preserve">Explanation </w:t>
            </w:r>
            <w:r w:rsidR="004D18A7" w:rsidRPr="005B5418">
              <w:t xml:space="preserve">and </w:t>
            </w:r>
            <w:r w:rsidRPr="005B5418">
              <w:t>Reference</w:t>
            </w:r>
          </w:p>
        </w:tc>
      </w:tr>
      <w:tr w:rsidR="006C5478" w:rsidRPr="005B5418" w14:paraId="189B4D45" w14:textId="77777777" w:rsidTr="00FF51DC">
        <w:tc>
          <w:tcPr>
            <w:tcW w:w="9576" w:type="dxa"/>
            <w:gridSpan w:val="3"/>
          </w:tcPr>
          <w:p w14:paraId="6966369B" w14:textId="154F82DA" w:rsidR="006C5478" w:rsidRPr="005B5418" w:rsidRDefault="006C5478" w:rsidP="008848DA">
            <w:pPr>
              <w:pStyle w:val="Table-Note"/>
              <w:spacing w:before="60" w:after="60" w:line="240" w:lineRule="auto"/>
              <w:ind w:left="-35"/>
              <w:jc w:val="left"/>
              <w:rPr>
                <w:rFonts w:cs="Arial"/>
                <w:i w:val="0"/>
                <w:sz w:val="22"/>
                <w:szCs w:val="22"/>
              </w:rPr>
            </w:pPr>
            <w:r w:rsidRPr="005B5418">
              <w:rPr>
                <w:rFonts w:cs="Arial"/>
                <w:i w:val="0"/>
                <w:sz w:val="22"/>
                <w:szCs w:val="22"/>
              </w:rPr>
              <w:t xml:space="preserve">Errors in financial statements result from mathematical mistakes, mistakes in the application of accounting principles, or oversight or misuse of facts that existed at the time the financial statements were prepared. When errors are discovered after issuance of financial statements, and if the financial statements would be </w:t>
            </w:r>
            <w:r w:rsidRPr="005B5418">
              <w:rPr>
                <w:rFonts w:cs="Arial"/>
                <w:b/>
                <w:i w:val="0"/>
                <w:sz w:val="22"/>
                <w:szCs w:val="22"/>
              </w:rPr>
              <w:t>materially misstated</w:t>
            </w:r>
            <w:r w:rsidRPr="005B5418">
              <w:rPr>
                <w:rFonts w:cs="Arial"/>
                <w:i w:val="0"/>
                <w:sz w:val="22"/>
                <w:szCs w:val="22"/>
              </w:rPr>
              <w:t xml:space="preserve"> absent correction of the errors, corrections are made as follows: </w:t>
            </w:r>
          </w:p>
          <w:p w14:paraId="1149C4F5" w14:textId="77777777" w:rsidR="006C5478" w:rsidRPr="005B5418" w:rsidRDefault="006C5478" w:rsidP="00343610">
            <w:pPr>
              <w:pStyle w:val="Table-Note"/>
              <w:widowControl/>
              <w:numPr>
                <w:ilvl w:val="0"/>
                <w:numId w:val="27"/>
              </w:numPr>
              <w:adjustRightInd/>
              <w:spacing w:before="60" w:after="60" w:line="240" w:lineRule="auto"/>
              <w:ind w:left="-35" w:firstLine="0"/>
              <w:jc w:val="left"/>
              <w:textAlignment w:val="auto"/>
              <w:rPr>
                <w:rFonts w:cs="Arial"/>
                <w:i w:val="0"/>
                <w:sz w:val="22"/>
                <w:szCs w:val="22"/>
              </w:rPr>
            </w:pPr>
            <w:r w:rsidRPr="005B5418">
              <w:rPr>
                <w:rFonts w:cs="Arial"/>
                <w:i w:val="0"/>
                <w:sz w:val="22"/>
                <w:szCs w:val="22"/>
              </w:rPr>
              <w:t xml:space="preserve">If only the current period statements are presented, then the cumulative effect of correcting the error is reported as a prior period adjustment. </w:t>
            </w:r>
          </w:p>
          <w:p w14:paraId="5615AD04" w14:textId="4841D4CE" w:rsidR="006C5478" w:rsidRPr="005B5418" w:rsidRDefault="006C5478" w:rsidP="00343610">
            <w:pPr>
              <w:pStyle w:val="Table-Note"/>
              <w:widowControl/>
              <w:numPr>
                <w:ilvl w:val="0"/>
                <w:numId w:val="27"/>
              </w:numPr>
              <w:adjustRightInd/>
              <w:spacing w:before="60" w:after="60" w:line="240" w:lineRule="auto"/>
              <w:ind w:left="-35" w:firstLine="0"/>
              <w:jc w:val="left"/>
              <w:textAlignment w:val="auto"/>
              <w:rPr>
                <w:rFonts w:cs="Arial"/>
                <w:i w:val="0"/>
                <w:sz w:val="22"/>
                <w:szCs w:val="22"/>
              </w:rPr>
            </w:pPr>
            <w:r w:rsidRPr="005B5418">
              <w:rPr>
                <w:rFonts w:cs="Arial"/>
                <w:i w:val="0"/>
                <w:sz w:val="22"/>
                <w:szCs w:val="22"/>
              </w:rPr>
              <w:t xml:space="preserve">If comparative financial statements are presented, then the error is corrected in the earliest affected period presented by correcting individual amounts on the financial statements. </w:t>
            </w:r>
            <w:r w:rsidRPr="005B5418">
              <w:rPr>
                <w:rFonts w:cs="Arial"/>
                <w:i w:val="0"/>
                <w:sz w:val="22"/>
                <w:szCs w:val="22"/>
              </w:rPr>
              <w:br/>
              <w:t>(SFFAS 21, par</w:t>
            </w:r>
            <w:r w:rsidR="004D18A7" w:rsidRPr="005B5418">
              <w:rPr>
                <w:rFonts w:cs="Arial"/>
                <w:i w:val="0"/>
                <w:sz w:val="22"/>
                <w:szCs w:val="22"/>
              </w:rPr>
              <w:t>a</w:t>
            </w:r>
            <w:r w:rsidRPr="005B5418">
              <w:rPr>
                <w:rFonts w:cs="Arial"/>
                <w:i w:val="0"/>
                <w:sz w:val="22"/>
                <w:szCs w:val="22"/>
              </w:rPr>
              <w:t>. 10)</w:t>
            </w:r>
          </w:p>
        </w:tc>
      </w:tr>
      <w:tr w:rsidR="00FF51DC" w:rsidRPr="005B5418" w14:paraId="3FDAB4BA" w14:textId="77777777" w:rsidTr="001128E8">
        <w:trPr>
          <w:trHeight w:val="1268"/>
        </w:trPr>
        <w:tc>
          <w:tcPr>
            <w:tcW w:w="5397" w:type="dxa"/>
          </w:tcPr>
          <w:p w14:paraId="18F0093D" w14:textId="0E07D4C5" w:rsidR="00FF51DC" w:rsidRPr="005B5418" w:rsidRDefault="00EB5CEA" w:rsidP="00343610">
            <w:pPr>
              <w:pStyle w:val="FAM-Table-outline"/>
              <w:widowControl/>
              <w:numPr>
                <w:ilvl w:val="0"/>
                <w:numId w:val="28"/>
              </w:numPr>
              <w:adjustRightInd/>
              <w:spacing w:line="240" w:lineRule="auto"/>
              <w:textAlignment w:val="auto"/>
              <w:rPr>
                <w:rFonts w:cs="Arial"/>
              </w:rPr>
            </w:pPr>
            <w:r w:rsidRPr="005B5418">
              <w:rPr>
                <w:rFonts w:eastAsia="Arial Unicode MS" w:cs="Arial"/>
                <w:szCs w:val="22"/>
              </w:rPr>
              <w:t>Is this topic applicable to the entity’s financial statements? (Answer Y if applicable, N/A if not applicable, or N/S if not significant. If N/A or N/S, skip to the next topic</w:t>
            </w:r>
            <w:r w:rsidR="00316420" w:rsidRPr="005B5418">
              <w:rPr>
                <w:rFonts w:eastAsia="Arial Unicode MS" w:cs="Arial"/>
                <w:szCs w:val="22"/>
              </w:rPr>
              <w:t>.</w:t>
            </w:r>
            <w:r w:rsidRPr="005B5418">
              <w:rPr>
                <w:rFonts w:eastAsia="Arial Unicode MS" w:cs="Arial"/>
                <w:szCs w:val="22"/>
              </w:rPr>
              <w:t>)</w:t>
            </w:r>
          </w:p>
        </w:tc>
        <w:tc>
          <w:tcPr>
            <w:tcW w:w="965" w:type="dxa"/>
          </w:tcPr>
          <w:p w14:paraId="4B9F3357" w14:textId="77777777" w:rsidR="00FF51DC" w:rsidRPr="005B5418" w:rsidRDefault="00FF51DC" w:rsidP="008848DA">
            <w:pPr>
              <w:pStyle w:val="Table-Cell-CenterBoldBefore6ptAfter6pt"/>
              <w:spacing w:before="60" w:after="60"/>
              <w:rPr>
                <w:rFonts w:cs="Arial"/>
                <w:lang w:val="pt-BR"/>
              </w:rPr>
            </w:pPr>
          </w:p>
        </w:tc>
        <w:tc>
          <w:tcPr>
            <w:tcW w:w="3214" w:type="dxa"/>
          </w:tcPr>
          <w:p w14:paraId="358163B4" w14:textId="77777777" w:rsidR="00FF51DC" w:rsidRPr="005B5418" w:rsidRDefault="00FF51DC" w:rsidP="008848DA">
            <w:pPr>
              <w:pStyle w:val="BodyTextIndent"/>
              <w:spacing w:before="60" w:after="60"/>
              <w:rPr>
                <w:rFonts w:cs="Arial"/>
                <w:lang w:val="pt-BR"/>
              </w:rPr>
            </w:pPr>
          </w:p>
        </w:tc>
      </w:tr>
      <w:tr w:rsidR="00FF51DC" w:rsidRPr="005B5418" w14:paraId="54A8DB4B" w14:textId="77777777" w:rsidTr="00FF51DC">
        <w:trPr>
          <w:cantSplit/>
          <w:trHeight w:val="377"/>
        </w:trPr>
        <w:tc>
          <w:tcPr>
            <w:tcW w:w="9576" w:type="dxa"/>
            <w:gridSpan w:val="3"/>
          </w:tcPr>
          <w:p w14:paraId="05381C78" w14:textId="77777777" w:rsidR="00FF51DC" w:rsidRPr="005B5418" w:rsidRDefault="00FF51DC" w:rsidP="008848DA">
            <w:pPr>
              <w:spacing w:before="60" w:after="60" w:line="240" w:lineRule="auto"/>
              <w:rPr>
                <w:rFonts w:ascii="Arial" w:hAnsi="Arial" w:cs="Arial"/>
                <w:b/>
                <w:lang w:val="pt-BR"/>
              </w:rPr>
            </w:pPr>
            <w:r w:rsidRPr="005B5418">
              <w:rPr>
                <w:rFonts w:ascii="Arial" w:hAnsi="Arial" w:cs="Arial"/>
                <w:b/>
                <w:lang w:val="pt-BR"/>
              </w:rPr>
              <w:t>Disclosure</w:t>
            </w:r>
          </w:p>
        </w:tc>
      </w:tr>
      <w:tr w:rsidR="006C5478" w:rsidRPr="005B5418" w14:paraId="3BE74D78" w14:textId="77777777" w:rsidTr="00911A2E">
        <w:trPr>
          <w:trHeight w:val="2582"/>
        </w:trPr>
        <w:tc>
          <w:tcPr>
            <w:tcW w:w="5397" w:type="dxa"/>
          </w:tcPr>
          <w:p w14:paraId="6CF1B2D2" w14:textId="70CC9C22" w:rsidR="006C5478" w:rsidRPr="005B5418" w:rsidRDefault="006C5478" w:rsidP="00343610">
            <w:pPr>
              <w:pStyle w:val="FAM-Table-outline"/>
              <w:widowControl/>
              <w:numPr>
                <w:ilvl w:val="0"/>
                <w:numId w:val="28"/>
              </w:numPr>
              <w:adjustRightInd/>
              <w:spacing w:line="240" w:lineRule="auto"/>
              <w:textAlignment w:val="auto"/>
              <w:rPr>
                <w:rFonts w:cs="Arial"/>
              </w:rPr>
            </w:pPr>
            <w:r w:rsidRPr="005B5418">
              <w:rPr>
                <w:rFonts w:cs="Arial"/>
              </w:rPr>
              <w:t>Does entity disclosure for restatement of financial statements due to material errors</w:t>
            </w:r>
            <w:r w:rsidR="00A407A6">
              <w:rPr>
                <w:rFonts w:cs="Arial"/>
              </w:rPr>
              <w:t xml:space="preserve"> (i</w:t>
            </w:r>
            <w:r w:rsidR="00A407A6" w:rsidRPr="00A407A6">
              <w:rPr>
                <w:rFonts w:cs="Arial"/>
              </w:rPr>
              <w:t>nclud</w:t>
            </w:r>
            <w:r w:rsidR="00A407A6">
              <w:rPr>
                <w:rFonts w:cs="Arial"/>
              </w:rPr>
              <w:t>ing</w:t>
            </w:r>
            <w:r w:rsidR="00A407A6" w:rsidRPr="00A407A6">
              <w:rPr>
                <w:rFonts w:cs="Arial"/>
              </w:rPr>
              <w:t xml:space="preserve"> adjustments to beginning net position in single year presentation</w:t>
            </w:r>
            <w:r w:rsidR="00A407A6">
              <w:rPr>
                <w:rFonts w:cs="Arial"/>
              </w:rPr>
              <w:t>)</w:t>
            </w:r>
            <w:r w:rsidRPr="005B5418">
              <w:rPr>
                <w:rFonts w:cs="Arial"/>
              </w:rPr>
              <w:t xml:space="preserve"> for known amount(s) of the misstatement include</w:t>
            </w:r>
          </w:p>
          <w:p w14:paraId="0F6615AF" w14:textId="4D3DF3C6" w:rsidR="006C5478" w:rsidRPr="005B5418" w:rsidRDefault="00CC1A1F" w:rsidP="005425ED">
            <w:pPr>
              <w:pStyle w:val="FAM-Table-outline2"/>
              <w:spacing w:line="240" w:lineRule="auto"/>
              <w:ind w:left="1140" w:hanging="443"/>
            </w:pPr>
            <w:r w:rsidRPr="005B5418">
              <w:t>the nature of the error</w:t>
            </w:r>
            <w:r w:rsidR="009D5778" w:rsidRPr="005B5418">
              <w:t xml:space="preserve"> and the effect of</w:t>
            </w:r>
            <w:r w:rsidR="001D1213" w:rsidRPr="005B5418">
              <w:t xml:space="preserve"> its</w:t>
            </w:r>
            <w:r w:rsidR="009D5778" w:rsidRPr="005B5418">
              <w:t xml:space="preserve"> correction on relevant balances</w:t>
            </w:r>
            <w:r w:rsidR="001D1213" w:rsidRPr="005B5418">
              <w:t>,</w:t>
            </w:r>
            <w:r w:rsidR="006C5478" w:rsidRPr="005B5418">
              <w:t xml:space="preserve"> and</w:t>
            </w:r>
          </w:p>
          <w:p w14:paraId="5A5A838F" w14:textId="7EC2FEFA" w:rsidR="006C5478" w:rsidRPr="005B5418" w:rsidRDefault="006C5478" w:rsidP="005425ED">
            <w:pPr>
              <w:pStyle w:val="FAM-Table-outline2"/>
              <w:spacing w:line="240" w:lineRule="auto"/>
              <w:ind w:left="1140" w:hanging="443"/>
            </w:pPr>
            <w:r w:rsidRPr="005B5418">
              <w:t>the actions management took after discovering the error? (SFFAS 21, par</w:t>
            </w:r>
            <w:r w:rsidR="00316420" w:rsidRPr="005B5418">
              <w:t>a</w:t>
            </w:r>
            <w:r w:rsidRPr="005B5418">
              <w:t>. 10(c); A-136, section II.3.8.</w:t>
            </w:r>
            <w:r w:rsidR="00D11E11" w:rsidRPr="005B5418">
              <w:t>30</w:t>
            </w:r>
            <w:r w:rsidRPr="005B5418">
              <w:t>)</w:t>
            </w:r>
          </w:p>
        </w:tc>
        <w:tc>
          <w:tcPr>
            <w:tcW w:w="965" w:type="dxa"/>
          </w:tcPr>
          <w:p w14:paraId="5D75EC80" w14:textId="77777777" w:rsidR="006C5478" w:rsidRPr="005B5418" w:rsidRDefault="006C5478" w:rsidP="008848DA">
            <w:pPr>
              <w:pStyle w:val="Table-Cell-CenterBoldBefore6ptAfter6pt"/>
              <w:spacing w:before="60" w:after="60"/>
              <w:rPr>
                <w:rFonts w:cs="Arial"/>
                <w:lang w:val="pt-BR"/>
              </w:rPr>
            </w:pPr>
          </w:p>
        </w:tc>
        <w:tc>
          <w:tcPr>
            <w:tcW w:w="3214" w:type="dxa"/>
          </w:tcPr>
          <w:p w14:paraId="0FFEC564" w14:textId="77777777" w:rsidR="006C5478" w:rsidRPr="005B5418" w:rsidRDefault="006C5478" w:rsidP="008848DA">
            <w:pPr>
              <w:pStyle w:val="BodyTextIndent"/>
              <w:spacing w:before="60" w:after="60"/>
              <w:rPr>
                <w:rFonts w:cs="Arial"/>
                <w:lang w:val="pt-BR"/>
              </w:rPr>
            </w:pPr>
          </w:p>
        </w:tc>
      </w:tr>
      <w:tr w:rsidR="006C5478" w:rsidRPr="005B5418" w14:paraId="481A09E3" w14:textId="77777777" w:rsidTr="00885BCA">
        <w:trPr>
          <w:trHeight w:val="1277"/>
        </w:trPr>
        <w:tc>
          <w:tcPr>
            <w:tcW w:w="5397" w:type="dxa"/>
          </w:tcPr>
          <w:p w14:paraId="3393BAA7" w14:textId="43DCEEAD" w:rsidR="006C5478" w:rsidRPr="005B5418" w:rsidRDefault="006C5478" w:rsidP="00343610">
            <w:pPr>
              <w:pStyle w:val="FAM-Table-outline"/>
              <w:widowControl/>
              <w:numPr>
                <w:ilvl w:val="0"/>
                <w:numId w:val="28"/>
              </w:numPr>
              <w:adjustRightInd/>
              <w:spacing w:line="240" w:lineRule="auto"/>
              <w:textAlignment w:val="auto"/>
              <w:rPr>
                <w:rFonts w:cs="Arial"/>
              </w:rPr>
            </w:pPr>
            <w:r w:rsidRPr="005B5418">
              <w:rPr>
                <w:rFonts w:cs="Arial"/>
              </w:rPr>
              <w:t>If the specific amount of the misstatement is unknown, does the entity disclosure include</w:t>
            </w:r>
          </w:p>
          <w:p w14:paraId="456C6C23" w14:textId="6E43DAC6" w:rsidR="006C5478" w:rsidRPr="005B5418" w:rsidRDefault="006C5478" w:rsidP="005425ED">
            <w:pPr>
              <w:pStyle w:val="FAM-Table-outline2"/>
              <w:spacing w:line="240" w:lineRule="auto"/>
              <w:ind w:left="1140" w:hanging="443"/>
            </w:pPr>
            <w:r w:rsidRPr="005B5418">
              <w:t xml:space="preserve">a statement that </w:t>
            </w:r>
            <w:r w:rsidR="00805721" w:rsidRPr="005B5418">
              <w:t xml:space="preserve">a material misstatement or potential material misstatement affects previously issued financial statements, </w:t>
            </w:r>
            <w:r w:rsidR="00C64EBC" w:rsidRPr="005B5418">
              <w:t>but the specific amount of the misstatement and related effect of such are not known</w:t>
            </w:r>
            <w:r w:rsidRPr="005B5418">
              <w:t>;</w:t>
            </w:r>
          </w:p>
          <w:p w14:paraId="6B7D61E4" w14:textId="77777777" w:rsidR="006C5478" w:rsidRPr="005B5418" w:rsidRDefault="006C5478" w:rsidP="005425ED">
            <w:pPr>
              <w:pStyle w:val="FAM-Table-outline2"/>
              <w:spacing w:line="240" w:lineRule="auto"/>
              <w:ind w:left="1140" w:hanging="443"/>
            </w:pPr>
            <w:r w:rsidRPr="005B5418">
              <w:t xml:space="preserve">the nature and cause(s) of the misstatement(s) or potential misstatement(s);  </w:t>
            </w:r>
          </w:p>
          <w:p w14:paraId="4421463D" w14:textId="77777777" w:rsidR="006C5478" w:rsidRPr="005B5418" w:rsidRDefault="006C5478" w:rsidP="005425ED">
            <w:pPr>
              <w:pStyle w:val="FAM-Table-outline2"/>
              <w:spacing w:line="240" w:lineRule="auto"/>
              <w:ind w:left="1140" w:hanging="443"/>
            </w:pPr>
            <w:r w:rsidRPr="005B5418">
              <w:t xml:space="preserve">an estimate of the magnitude </w:t>
            </w:r>
            <w:r w:rsidR="00C64EBC" w:rsidRPr="005B5418">
              <w:t>of the misstatement or potential misstatement and the related effect</w:t>
            </w:r>
            <w:r w:rsidRPr="005B5418">
              <w:t xml:space="preserve"> </w:t>
            </w:r>
            <w:r w:rsidR="00C64EBC" w:rsidRPr="005B5418">
              <w:t xml:space="preserve">of such on previously issued financial statements (e.g., the specific statement and line </w:t>
            </w:r>
            <w:r w:rsidR="00C64EBC" w:rsidRPr="005B5418">
              <w:lastRenderedPageBreak/>
              <w:t xml:space="preserve">items affected) that are known and a statement that the specific amount and related effect of such cannot be determined without further investigation; and </w:t>
            </w:r>
          </w:p>
          <w:p w14:paraId="4B9066E7" w14:textId="77E04A08" w:rsidR="006C5478" w:rsidRPr="005B5418" w:rsidRDefault="006C5478" w:rsidP="005425ED">
            <w:pPr>
              <w:pStyle w:val="FAM-Table-outline2"/>
              <w:spacing w:line="240" w:lineRule="auto"/>
              <w:ind w:left="1140" w:hanging="443"/>
            </w:pPr>
            <w:r w:rsidRPr="005B5418">
              <w:t xml:space="preserve">a statement </w:t>
            </w:r>
            <w:r w:rsidR="00252C92" w:rsidRPr="005B5418">
              <w:t xml:space="preserve">disclosing </w:t>
            </w:r>
            <w:r w:rsidRPr="005B5418">
              <w:t>that a restatement to a previously issued financial statement will or may occur? (A-136, section II.3.8.</w:t>
            </w:r>
            <w:r w:rsidR="00D11E11" w:rsidRPr="005B5418">
              <w:t>30</w:t>
            </w:r>
            <w:r w:rsidRPr="005B5418">
              <w:t>)</w:t>
            </w:r>
          </w:p>
        </w:tc>
        <w:tc>
          <w:tcPr>
            <w:tcW w:w="965" w:type="dxa"/>
          </w:tcPr>
          <w:p w14:paraId="7DC89676" w14:textId="77777777" w:rsidR="006C5478" w:rsidRPr="005B5418" w:rsidRDefault="006C5478" w:rsidP="008848DA">
            <w:pPr>
              <w:pStyle w:val="Table-Cell-CenterBoldBefore6ptAfter6pt"/>
              <w:spacing w:before="60" w:after="60"/>
              <w:rPr>
                <w:rFonts w:cs="Arial"/>
              </w:rPr>
            </w:pPr>
          </w:p>
        </w:tc>
        <w:tc>
          <w:tcPr>
            <w:tcW w:w="3214" w:type="dxa"/>
          </w:tcPr>
          <w:p w14:paraId="13413850" w14:textId="77777777" w:rsidR="006C5478" w:rsidRPr="005B5418" w:rsidRDefault="006C5478" w:rsidP="008848DA">
            <w:pPr>
              <w:pStyle w:val="BodyTextIndent"/>
              <w:spacing w:before="60" w:after="60"/>
              <w:rPr>
                <w:rFonts w:cs="Arial"/>
              </w:rPr>
            </w:pPr>
          </w:p>
        </w:tc>
      </w:tr>
    </w:tbl>
    <w:p w14:paraId="29FA257A" w14:textId="77777777" w:rsidR="006C5478" w:rsidRPr="005B5418" w:rsidRDefault="006C5478" w:rsidP="003B61E9">
      <w:pPr>
        <w:spacing w:line="240" w:lineRule="auto"/>
        <w:rPr>
          <w:rFonts w:cs="Arial"/>
        </w:rPr>
      </w:pPr>
    </w:p>
    <w:p w14:paraId="7C7C9541" w14:textId="77777777" w:rsidR="006C5478" w:rsidRPr="005B5418" w:rsidRDefault="006C5478"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6C5478" w:rsidRPr="005B5418" w14:paraId="49025449" w14:textId="77777777" w:rsidTr="000F21AB">
        <w:trPr>
          <w:tblHeader/>
        </w:trPr>
        <w:tc>
          <w:tcPr>
            <w:tcW w:w="5400" w:type="dxa"/>
          </w:tcPr>
          <w:p w14:paraId="5276D9F2" w14:textId="74515E78" w:rsidR="006C5478" w:rsidRPr="005B5418" w:rsidRDefault="006C5478" w:rsidP="00D11E11">
            <w:pPr>
              <w:pStyle w:val="Heading4"/>
              <w:spacing w:before="60" w:after="60" w:line="240" w:lineRule="auto"/>
              <w:jc w:val="left"/>
              <w:rPr>
                <w:b/>
                <w:i/>
                <w:u w:val="none"/>
              </w:rPr>
            </w:pPr>
            <w:bookmarkStart w:id="225" w:name="_II.3.8.40_Reconciliation_of"/>
            <w:bookmarkStart w:id="226" w:name="_II.3.8.32_Reconciliation_of"/>
            <w:bookmarkStart w:id="227" w:name="_Ref495498095"/>
            <w:bookmarkStart w:id="228" w:name="_Ref8657343"/>
            <w:bookmarkEnd w:id="225"/>
            <w:bookmarkEnd w:id="226"/>
            <w:r w:rsidRPr="005B5418">
              <w:rPr>
                <w:b/>
                <w:u w:val="none"/>
              </w:rPr>
              <w:lastRenderedPageBreak/>
              <w:t>II.3.8.</w:t>
            </w:r>
            <w:r w:rsidR="00D11E11" w:rsidRPr="005B5418">
              <w:rPr>
                <w:b/>
                <w:u w:val="none"/>
              </w:rPr>
              <w:t xml:space="preserve">31 </w:t>
            </w:r>
            <w:r w:rsidRPr="005B5418">
              <w:rPr>
                <w:b/>
                <w:u w:val="none"/>
              </w:rPr>
              <w:t xml:space="preserve">Reconciliation of Net Cost </w:t>
            </w:r>
            <w:r w:rsidR="00E561F6" w:rsidRPr="005B5418">
              <w:rPr>
                <w:b/>
                <w:u w:val="none"/>
              </w:rPr>
              <w:t xml:space="preserve">to Net Outlays (Budget to Accrual Reconciliation) </w:t>
            </w:r>
            <w:bookmarkEnd w:id="227"/>
            <w:bookmarkEnd w:id="228"/>
          </w:p>
        </w:tc>
        <w:tc>
          <w:tcPr>
            <w:tcW w:w="965" w:type="dxa"/>
          </w:tcPr>
          <w:p w14:paraId="3493F228" w14:textId="77777777" w:rsidR="006C5478" w:rsidRPr="005B5418" w:rsidRDefault="006C5478" w:rsidP="000F21AB">
            <w:pPr>
              <w:pStyle w:val="TableCellCenter"/>
              <w:jc w:val="left"/>
            </w:pPr>
            <w:r w:rsidRPr="005B5418">
              <w:t>Yes, No, or N/A</w:t>
            </w:r>
          </w:p>
        </w:tc>
        <w:tc>
          <w:tcPr>
            <w:tcW w:w="3211" w:type="dxa"/>
          </w:tcPr>
          <w:p w14:paraId="2ABDA8D2" w14:textId="4B64816B" w:rsidR="006C5478" w:rsidRPr="005B5418" w:rsidRDefault="006C5478" w:rsidP="00D31D28">
            <w:pPr>
              <w:pStyle w:val="TableCellCenter"/>
              <w:jc w:val="left"/>
            </w:pPr>
            <w:r w:rsidRPr="005B5418">
              <w:t xml:space="preserve">Explanation </w:t>
            </w:r>
            <w:r w:rsidR="00D31D28" w:rsidRPr="005B5418">
              <w:t xml:space="preserve">and </w:t>
            </w:r>
            <w:r w:rsidRPr="005B5418">
              <w:t>Reference</w:t>
            </w:r>
          </w:p>
        </w:tc>
      </w:tr>
      <w:tr w:rsidR="006C5478" w:rsidRPr="005B5418" w14:paraId="2F626A50" w14:textId="77777777" w:rsidTr="006C5478">
        <w:trPr>
          <w:trHeight w:val="2160"/>
        </w:trPr>
        <w:tc>
          <w:tcPr>
            <w:tcW w:w="9576" w:type="dxa"/>
            <w:gridSpan w:val="3"/>
            <w:tcBorders>
              <w:bottom w:val="single" w:sz="4" w:space="0" w:color="auto"/>
            </w:tcBorders>
          </w:tcPr>
          <w:p w14:paraId="64FA67A5" w14:textId="77777777" w:rsidR="006C5478" w:rsidRPr="005B5418" w:rsidRDefault="006C5478" w:rsidP="00D11E11">
            <w:pPr>
              <w:pStyle w:val="Table-Note"/>
              <w:spacing w:before="60" w:after="60" w:line="240" w:lineRule="auto"/>
              <w:ind w:left="-35"/>
              <w:jc w:val="left"/>
              <w:rPr>
                <w:i w:val="0"/>
                <w:sz w:val="22"/>
                <w:szCs w:val="22"/>
              </w:rPr>
            </w:pPr>
            <w:r w:rsidRPr="005B5418">
              <w:rPr>
                <w:i w:val="0"/>
                <w:sz w:val="22"/>
                <w:szCs w:val="22"/>
              </w:rPr>
              <w:t>Budgetary and financial accounting information are complementary</w:t>
            </w:r>
            <w:r w:rsidR="00F2455C" w:rsidRPr="005B5418">
              <w:rPr>
                <w:i w:val="0"/>
                <w:sz w:val="22"/>
                <w:szCs w:val="22"/>
              </w:rPr>
              <w:t>,</w:t>
            </w:r>
            <w:r w:rsidRPr="005B5418">
              <w:rPr>
                <w:i w:val="0"/>
                <w:sz w:val="22"/>
                <w:szCs w:val="22"/>
              </w:rPr>
              <w:t xml:space="preserve"> but both the types of information and the timing in their recognition are different, causing differences in the basis of accounting. SFFAS 53 amends requirements for reconciliation between budgetary and financial information established by SFFAS 7. To increase information value and usefulness, and to support the governmentwide financial statement reconciling net operating cost to the budget deficit, SFFAS 53 provides for the budget and accrual reconciliation (BAR) to replace the previous required reconciliation. The BAR explains the relationship between the entity’s net outlays on a budgetary basis and the net cost of operations during the reporting period. The BAR starts with net cost of operations and is adjusted by (1) components of net cost that are not part of net outlays</w:t>
            </w:r>
            <w:r w:rsidR="00F2455C" w:rsidRPr="005B5418">
              <w:rPr>
                <w:i w:val="0"/>
                <w:sz w:val="22"/>
                <w:szCs w:val="22"/>
              </w:rPr>
              <w:t>;</w:t>
            </w:r>
            <w:r w:rsidRPr="005B5418">
              <w:rPr>
                <w:i w:val="0"/>
                <w:sz w:val="22"/>
                <w:szCs w:val="22"/>
              </w:rPr>
              <w:t xml:space="preserve"> (2) components of net outlays that are not part of net cost</w:t>
            </w:r>
            <w:r w:rsidR="00F2455C" w:rsidRPr="005B5418">
              <w:rPr>
                <w:i w:val="0"/>
                <w:sz w:val="22"/>
                <w:szCs w:val="22"/>
              </w:rPr>
              <w:t>;</w:t>
            </w:r>
            <w:r w:rsidRPr="005B5418">
              <w:rPr>
                <w:i w:val="0"/>
                <w:sz w:val="22"/>
                <w:szCs w:val="22"/>
              </w:rPr>
              <w:t xml:space="preserve"> and (3) other temporary timing differences, which reflect some special adjustments. (SFFAS 53, </w:t>
            </w:r>
            <w:r w:rsidR="00E316EB" w:rsidRPr="005B5418">
              <w:rPr>
                <w:i w:val="0"/>
                <w:sz w:val="22"/>
                <w:szCs w:val="22"/>
              </w:rPr>
              <w:t>Summary (</w:t>
            </w:r>
            <w:r w:rsidR="0080642F" w:rsidRPr="005B5418">
              <w:rPr>
                <w:i w:val="0"/>
                <w:sz w:val="22"/>
                <w:szCs w:val="22"/>
              </w:rPr>
              <w:t>page 1</w:t>
            </w:r>
            <w:r w:rsidR="00E316EB" w:rsidRPr="005B5418">
              <w:rPr>
                <w:i w:val="0"/>
                <w:sz w:val="22"/>
                <w:szCs w:val="22"/>
              </w:rPr>
              <w:t>)</w:t>
            </w:r>
            <w:r w:rsidR="0080642F" w:rsidRPr="005B5418">
              <w:rPr>
                <w:i w:val="0"/>
                <w:sz w:val="22"/>
                <w:szCs w:val="22"/>
              </w:rPr>
              <w:t xml:space="preserve"> and </w:t>
            </w:r>
            <w:r w:rsidRPr="005B5418">
              <w:rPr>
                <w:i w:val="0"/>
                <w:sz w:val="22"/>
                <w:szCs w:val="22"/>
              </w:rPr>
              <w:t>p</w:t>
            </w:r>
            <w:r w:rsidR="002C1BB3" w:rsidRPr="005B5418">
              <w:rPr>
                <w:i w:val="0"/>
                <w:sz w:val="22"/>
                <w:szCs w:val="22"/>
              </w:rPr>
              <w:t>ara</w:t>
            </w:r>
            <w:r w:rsidR="0080642F" w:rsidRPr="005B5418">
              <w:rPr>
                <w:i w:val="0"/>
                <w:sz w:val="22"/>
                <w:szCs w:val="22"/>
              </w:rPr>
              <w:t>s</w:t>
            </w:r>
            <w:r w:rsidR="00F2455C" w:rsidRPr="005B5418">
              <w:rPr>
                <w:i w:val="0"/>
                <w:sz w:val="22"/>
                <w:szCs w:val="22"/>
              </w:rPr>
              <w:t>.</w:t>
            </w:r>
            <w:r w:rsidRPr="005B5418">
              <w:rPr>
                <w:i w:val="0"/>
                <w:sz w:val="22"/>
                <w:szCs w:val="22"/>
              </w:rPr>
              <w:t xml:space="preserve"> </w:t>
            </w:r>
            <w:r w:rsidR="0080642F" w:rsidRPr="005B5418">
              <w:rPr>
                <w:i w:val="0"/>
                <w:sz w:val="22"/>
                <w:szCs w:val="22"/>
              </w:rPr>
              <w:t>2</w:t>
            </w:r>
            <w:r w:rsidRPr="005B5418">
              <w:rPr>
                <w:i w:val="0"/>
                <w:sz w:val="22"/>
                <w:szCs w:val="22"/>
              </w:rPr>
              <w:t xml:space="preserve"> </w:t>
            </w:r>
            <w:r w:rsidR="001139F1" w:rsidRPr="005B5418">
              <w:rPr>
                <w:i w:val="0"/>
                <w:sz w:val="22"/>
                <w:szCs w:val="22"/>
              </w:rPr>
              <w:t>and</w:t>
            </w:r>
            <w:r w:rsidRPr="005B5418">
              <w:rPr>
                <w:i w:val="0"/>
                <w:sz w:val="22"/>
                <w:szCs w:val="22"/>
              </w:rPr>
              <w:t xml:space="preserve"> 8) </w:t>
            </w:r>
            <w:r w:rsidR="00F16D71" w:rsidRPr="005B5418">
              <w:rPr>
                <w:i w:val="0"/>
                <w:sz w:val="22"/>
                <w:szCs w:val="22"/>
              </w:rPr>
              <w:t>For entities with loans receivable under the Federal Credit Reform Act</w:t>
            </w:r>
            <w:r w:rsidR="00A428C9" w:rsidRPr="005B5418">
              <w:rPr>
                <w:i w:val="0"/>
                <w:sz w:val="22"/>
                <w:szCs w:val="22"/>
              </w:rPr>
              <w:t xml:space="preserve"> </w:t>
            </w:r>
            <w:r w:rsidR="002E5569" w:rsidRPr="005B5418">
              <w:rPr>
                <w:i w:val="0"/>
                <w:sz w:val="22"/>
                <w:szCs w:val="22"/>
              </w:rPr>
              <w:t xml:space="preserve">of 1990 </w:t>
            </w:r>
            <w:r w:rsidR="00A428C9" w:rsidRPr="005B5418">
              <w:rPr>
                <w:i w:val="0"/>
                <w:sz w:val="22"/>
                <w:szCs w:val="22"/>
              </w:rPr>
              <w:t>(FCRA)</w:t>
            </w:r>
            <w:r w:rsidR="00F16D71" w:rsidRPr="005B5418">
              <w:rPr>
                <w:i w:val="0"/>
                <w:sz w:val="22"/>
                <w:szCs w:val="22"/>
              </w:rPr>
              <w:t>, see A-136, section II.3.8.</w:t>
            </w:r>
            <w:r w:rsidR="00D11E11" w:rsidRPr="005B5418">
              <w:rPr>
                <w:i w:val="0"/>
                <w:sz w:val="22"/>
                <w:szCs w:val="22"/>
              </w:rPr>
              <w:t>31</w:t>
            </w:r>
            <w:r w:rsidR="00F16D71" w:rsidRPr="005B5418">
              <w:rPr>
                <w:i w:val="0"/>
                <w:sz w:val="22"/>
                <w:szCs w:val="22"/>
              </w:rPr>
              <w:t xml:space="preserve">, for specific guidance. </w:t>
            </w:r>
          </w:p>
          <w:p w14:paraId="79683FBF" w14:textId="05905C62" w:rsidR="00CB7B2E" w:rsidRPr="005B5418" w:rsidRDefault="00CB7B2E" w:rsidP="00D11E11">
            <w:pPr>
              <w:pStyle w:val="Table-Note"/>
              <w:spacing w:before="60" w:after="60" w:line="240" w:lineRule="auto"/>
              <w:ind w:left="-35"/>
              <w:jc w:val="left"/>
              <w:rPr>
                <w:i w:val="0"/>
                <w:sz w:val="22"/>
                <w:szCs w:val="22"/>
              </w:rPr>
            </w:pPr>
            <w:r w:rsidRPr="005B5418">
              <w:rPr>
                <w:i w:val="0"/>
                <w:sz w:val="22"/>
                <w:szCs w:val="22"/>
              </w:rPr>
              <w:t>Entities may present the reconciliation as a basic financial statement rather than a note, as permitted by SFFAS 53, paragraph 3. (A-136, section II.3.8.31)</w:t>
            </w:r>
          </w:p>
        </w:tc>
      </w:tr>
      <w:tr w:rsidR="00FF51DC" w:rsidRPr="005B5418" w14:paraId="586D295D" w14:textId="77777777" w:rsidTr="00FF51DC">
        <w:trPr>
          <w:cantSplit/>
          <w:trHeight w:val="1133"/>
        </w:trPr>
        <w:tc>
          <w:tcPr>
            <w:tcW w:w="5400" w:type="dxa"/>
          </w:tcPr>
          <w:p w14:paraId="6D955680" w14:textId="2E3BE9DA" w:rsidR="00FF51DC" w:rsidRPr="005B5418" w:rsidRDefault="00EB5CEA" w:rsidP="00343610">
            <w:pPr>
              <w:pStyle w:val="FAM-Table-outline"/>
              <w:widowControl/>
              <w:numPr>
                <w:ilvl w:val="0"/>
                <w:numId w:val="29"/>
              </w:numPr>
              <w:adjustRightInd/>
              <w:spacing w:line="240" w:lineRule="auto"/>
              <w:textAlignment w:val="auto"/>
            </w:pPr>
            <w:r w:rsidRPr="005B5418">
              <w:rPr>
                <w:rFonts w:eastAsia="Arial Unicode MS" w:cs="Arial"/>
                <w:szCs w:val="22"/>
              </w:rPr>
              <w:t>Is this topic applicable to the entity’s financial statements? (Answer Y if applicable, N/A if not applicable, or N/S if not significant. If N/A or N/S, skip to the next topic</w:t>
            </w:r>
            <w:r w:rsidR="00F3433E" w:rsidRPr="005B5418">
              <w:rPr>
                <w:rFonts w:eastAsia="Arial Unicode MS" w:cs="Arial"/>
                <w:szCs w:val="22"/>
              </w:rPr>
              <w:t>.</w:t>
            </w:r>
            <w:r w:rsidRPr="005B5418">
              <w:rPr>
                <w:rFonts w:eastAsia="Arial Unicode MS" w:cs="Arial"/>
                <w:szCs w:val="22"/>
              </w:rPr>
              <w:t>)</w:t>
            </w:r>
          </w:p>
        </w:tc>
        <w:tc>
          <w:tcPr>
            <w:tcW w:w="965" w:type="dxa"/>
          </w:tcPr>
          <w:p w14:paraId="15246BBB" w14:textId="77777777" w:rsidR="00FF51DC" w:rsidRPr="005B5418" w:rsidRDefault="00FF51DC" w:rsidP="003B61E9">
            <w:pPr>
              <w:pStyle w:val="Table-Cell-CenterBoldBefore6ptAfter6pt"/>
            </w:pPr>
          </w:p>
        </w:tc>
        <w:tc>
          <w:tcPr>
            <w:tcW w:w="3211" w:type="dxa"/>
          </w:tcPr>
          <w:p w14:paraId="3145A8E5" w14:textId="77777777" w:rsidR="00FF51DC" w:rsidRPr="005B5418" w:rsidRDefault="00FF51DC" w:rsidP="003B61E9">
            <w:pPr>
              <w:spacing w:line="240" w:lineRule="auto"/>
            </w:pPr>
          </w:p>
        </w:tc>
      </w:tr>
      <w:tr w:rsidR="00D34EE7" w:rsidRPr="005B5418" w14:paraId="0BBB2A43" w14:textId="77777777" w:rsidTr="0038293D">
        <w:trPr>
          <w:trHeight w:val="620"/>
        </w:trPr>
        <w:tc>
          <w:tcPr>
            <w:tcW w:w="9576" w:type="dxa"/>
            <w:gridSpan w:val="3"/>
            <w:tcBorders>
              <w:bottom w:val="single" w:sz="4" w:space="0" w:color="auto"/>
            </w:tcBorders>
          </w:tcPr>
          <w:p w14:paraId="6ED8BC42" w14:textId="77777777" w:rsidR="00D34EE7" w:rsidRPr="005B5418" w:rsidRDefault="00D34EE7" w:rsidP="008848DA">
            <w:pPr>
              <w:pStyle w:val="Table-Note"/>
              <w:spacing w:before="60" w:after="60" w:line="240" w:lineRule="auto"/>
              <w:ind w:left="0"/>
              <w:rPr>
                <w:b/>
                <w:i w:val="0"/>
              </w:rPr>
            </w:pPr>
            <w:r w:rsidRPr="005B5418">
              <w:rPr>
                <w:b/>
                <w:i w:val="0"/>
              </w:rPr>
              <w:t>Disclosure</w:t>
            </w:r>
          </w:p>
        </w:tc>
      </w:tr>
      <w:tr w:rsidR="006C5478" w:rsidRPr="005B5418" w14:paraId="65A6B01A" w14:textId="77777777" w:rsidTr="006C5478">
        <w:trPr>
          <w:cantSplit/>
          <w:trHeight w:val="1133"/>
        </w:trPr>
        <w:tc>
          <w:tcPr>
            <w:tcW w:w="5400" w:type="dxa"/>
          </w:tcPr>
          <w:p w14:paraId="2651109A" w14:textId="4E55B15D" w:rsidR="006C5478" w:rsidRPr="005B5418" w:rsidRDefault="006C5478" w:rsidP="00343610">
            <w:pPr>
              <w:pStyle w:val="FAM-Table-outline"/>
              <w:widowControl/>
              <w:numPr>
                <w:ilvl w:val="0"/>
                <w:numId w:val="29"/>
              </w:numPr>
              <w:adjustRightInd/>
              <w:spacing w:line="240" w:lineRule="auto"/>
              <w:textAlignment w:val="auto"/>
            </w:pPr>
            <w:r w:rsidRPr="005B5418">
              <w:t xml:space="preserve">Does the entity </w:t>
            </w:r>
            <w:r w:rsidR="00F20E91" w:rsidRPr="005B5418">
              <w:t xml:space="preserve">present </w:t>
            </w:r>
            <w:r w:rsidRPr="005B5418">
              <w:t>a reconciliation</w:t>
            </w:r>
            <w:r w:rsidR="00A701BC" w:rsidRPr="005B5418">
              <w:rPr>
                <w:rStyle w:val="FootnoteReference"/>
              </w:rPr>
              <w:footnoteReference w:id="256"/>
            </w:r>
            <w:r w:rsidRPr="005B5418">
              <w:t xml:space="preserve"> that explains the relationship between the net cost of operations and net outlays by the entity during the reporting period? (SFFAS 7, par</w:t>
            </w:r>
            <w:r w:rsidR="00F3433E" w:rsidRPr="005B5418">
              <w:t>a</w:t>
            </w:r>
            <w:r w:rsidRPr="005B5418">
              <w:t>. 80)</w:t>
            </w:r>
          </w:p>
        </w:tc>
        <w:tc>
          <w:tcPr>
            <w:tcW w:w="965" w:type="dxa"/>
          </w:tcPr>
          <w:p w14:paraId="0EF6A9A2" w14:textId="77777777" w:rsidR="006C5478" w:rsidRPr="005B5418" w:rsidRDefault="006C5478" w:rsidP="003B61E9">
            <w:pPr>
              <w:pStyle w:val="Table-Cell-CenterBoldBefore6ptAfter6pt"/>
            </w:pPr>
          </w:p>
        </w:tc>
        <w:tc>
          <w:tcPr>
            <w:tcW w:w="3211" w:type="dxa"/>
          </w:tcPr>
          <w:p w14:paraId="27D65C7B" w14:textId="77777777" w:rsidR="006C5478" w:rsidRPr="005B5418" w:rsidRDefault="006C5478" w:rsidP="003B61E9">
            <w:pPr>
              <w:spacing w:line="240" w:lineRule="auto"/>
            </w:pPr>
          </w:p>
        </w:tc>
      </w:tr>
      <w:tr w:rsidR="006C5478" w:rsidRPr="005B5418" w14:paraId="0EB57C17" w14:textId="77777777" w:rsidTr="006C5478">
        <w:trPr>
          <w:cantSplit/>
          <w:trHeight w:val="1637"/>
        </w:trPr>
        <w:tc>
          <w:tcPr>
            <w:tcW w:w="5400" w:type="dxa"/>
          </w:tcPr>
          <w:p w14:paraId="46BEB1FB" w14:textId="77777777" w:rsidR="006C5478" w:rsidRPr="005B5418" w:rsidRDefault="006C5478" w:rsidP="00343610">
            <w:pPr>
              <w:pStyle w:val="FAM-Table-outline"/>
              <w:widowControl/>
              <w:numPr>
                <w:ilvl w:val="0"/>
                <w:numId w:val="29"/>
              </w:numPr>
              <w:adjustRightInd/>
              <w:spacing w:line="240" w:lineRule="auto"/>
              <w:textAlignment w:val="auto"/>
            </w:pPr>
            <w:r w:rsidRPr="005B5418">
              <w:lastRenderedPageBreak/>
              <w:t>Is the net cost of operations adjusted by</w:t>
            </w:r>
          </w:p>
          <w:p w14:paraId="1CBED08A" w14:textId="77777777" w:rsidR="006C5478" w:rsidRPr="005B5418" w:rsidRDefault="006C5478" w:rsidP="005425ED">
            <w:pPr>
              <w:pStyle w:val="FAM-Table-outline2"/>
              <w:numPr>
                <w:ilvl w:val="1"/>
                <w:numId w:val="65"/>
              </w:numPr>
              <w:spacing w:line="240" w:lineRule="auto"/>
              <w:ind w:left="1140" w:hanging="443"/>
            </w:pPr>
            <w:r w:rsidRPr="005B5418">
              <w:t>components of net cost that are not part of net outlays (e.g.</w:t>
            </w:r>
            <w:r w:rsidR="007B2D01" w:rsidRPr="005B5418">
              <w:t>,</w:t>
            </w:r>
            <w:r w:rsidRPr="005B5418">
              <w:t xml:space="preserve"> depreciation and amortization expenses of assets previously capitalized, change in asset/liabilities), </w:t>
            </w:r>
          </w:p>
          <w:p w14:paraId="5F52F641" w14:textId="710E8EFE" w:rsidR="006C5478" w:rsidRPr="005B5418" w:rsidRDefault="006C5478" w:rsidP="005425ED">
            <w:pPr>
              <w:pStyle w:val="FAM-Table-outline2"/>
              <w:numPr>
                <w:ilvl w:val="1"/>
                <w:numId w:val="65"/>
              </w:numPr>
              <w:spacing w:line="240" w:lineRule="auto"/>
              <w:ind w:left="1140" w:hanging="443"/>
            </w:pPr>
            <w:r w:rsidRPr="005B5418">
              <w:t xml:space="preserve">components of net outlays that are not part of the net cost (e.g., acquisition of capital assets), </w:t>
            </w:r>
            <w:r w:rsidR="00F3433E" w:rsidRPr="005B5418">
              <w:t xml:space="preserve">and </w:t>
            </w:r>
          </w:p>
          <w:p w14:paraId="0CBDF754" w14:textId="670720AC" w:rsidR="006C5478" w:rsidRPr="005B5418" w:rsidRDefault="006C5478" w:rsidP="005425ED">
            <w:pPr>
              <w:pStyle w:val="FAM-Table-outline2"/>
              <w:numPr>
                <w:ilvl w:val="1"/>
                <w:numId w:val="65"/>
              </w:numPr>
              <w:spacing w:line="240" w:lineRule="auto"/>
              <w:ind w:left="1140" w:hanging="443"/>
            </w:pPr>
            <w:r w:rsidRPr="005B5418">
              <w:t>other temporary timing differences? (SFFAS 7, par</w:t>
            </w:r>
            <w:r w:rsidR="00F3433E" w:rsidRPr="005B5418">
              <w:t>a</w:t>
            </w:r>
            <w:r w:rsidRPr="005B5418">
              <w:t>. 81)</w:t>
            </w:r>
          </w:p>
        </w:tc>
        <w:tc>
          <w:tcPr>
            <w:tcW w:w="965" w:type="dxa"/>
          </w:tcPr>
          <w:p w14:paraId="6EC61194" w14:textId="77777777" w:rsidR="006C5478" w:rsidRPr="005B5418" w:rsidRDefault="006C5478" w:rsidP="003B61E9">
            <w:pPr>
              <w:pStyle w:val="Table-Cell-CenterBoldBefore6ptAfter6pt"/>
            </w:pPr>
          </w:p>
        </w:tc>
        <w:tc>
          <w:tcPr>
            <w:tcW w:w="3211" w:type="dxa"/>
          </w:tcPr>
          <w:p w14:paraId="3F9D4038" w14:textId="77777777" w:rsidR="006C5478" w:rsidRPr="005B5418" w:rsidRDefault="006C5478" w:rsidP="003B61E9">
            <w:pPr>
              <w:spacing w:line="240" w:lineRule="auto"/>
            </w:pPr>
          </w:p>
        </w:tc>
      </w:tr>
      <w:tr w:rsidR="006C5478" w:rsidRPr="005B5418" w14:paraId="340DADBD" w14:textId="77777777" w:rsidTr="006C5478">
        <w:trPr>
          <w:cantSplit/>
          <w:trHeight w:val="1538"/>
        </w:trPr>
        <w:tc>
          <w:tcPr>
            <w:tcW w:w="5400" w:type="dxa"/>
          </w:tcPr>
          <w:p w14:paraId="6366265E" w14:textId="0B8434A0" w:rsidR="006C5478" w:rsidRPr="005B5418" w:rsidRDefault="006C5478" w:rsidP="00343610">
            <w:pPr>
              <w:pStyle w:val="FAM-Table-outline"/>
              <w:widowControl/>
              <w:numPr>
                <w:ilvl w:val="0"/>
                <w:numId w:val="29"/>
              </w:numPr>
              <w:adjustRightInd/>
              <w:spacing w:line="240" w:lineRule="auto"/>
              <w:textAlignment w:val="auto"/>
            </w:pPr>
            <w:r w:rsidRPr="005B5418">
              <w:t>Are the adjustments presented and explained in appropriate detail and in a manner that best clarifies the relationship between net outlays and the accrual basis amounts used in financial accounting? (SFFAS 7, par</w:t>
            </w:r>
            <w:r w:rsidR="00323554" w:rsidRPr="005B5418">
              <w:t>a</w:t>
            </w:r>
            <w:r w:rsidRPr="005B5418">
              <w:t xml:space="preserve">. 82) </w:t>
            </w:r>
          </w:p>
        </w:tc>
        <w:tc>
          <w:tcPr>
            <w:tcW w:w="965" w:type="dxa"/>
          </w:tcPr>
          <w:p w14:paraId="60DABDD6" w14:textId="77777777" w:rsidR="006C5478" w:rsidRPr="005B5418" w:rsidRDefault="006C5478" w:rsidP="003B61E9">
            <w:pPr>
              <w:pStyle w:val="Table-Cell-CenterBoldBefore6ptAfter6pt"/>
            </w:pPr>
          </w:p>
        </w:tc>
        <w:tc>
          <w:tcPr>
            <w:tcW w:w="3211" w:type="dxa"/>
          </w:tcPr>
          <w:p w14:paraId="42B1A4D7" w14:textId="77777777" w:rsidR="006C5478" w:rsidRPr="005B5418" w:rsidRDefault="006C5478" w:rsidP="003B61E9">
            <w:pPr>
              <w:spacing w:line="240" w:lineRule="auto"/>
            </w:pPr>
          </w:p>
        </w:tc>
      </w:tr>
      <w:tr w:rsidR="006C5478" w:rsidRPr="005B5418" w14:paraId="35D4A5A5" w14:textId="77777777" w:rsidTr="006C5478">
        <w:trPr>
          <w:cantSplit/>
          <w:trHeight w:val="1484"/>
        </w:trPr>
        <w:tc>
          <w:tcPr>
            <w:tcW w:w="5400" w:type="dxa"/>
          </w:tcPr>
          <w:p w14:paraId="0BCEF924" w14:textId="128AAC35" w:rsidR="006C5478" w:rsidRPr="005B5418" w:rsidRDefault="006C5478" w:rsidP="00343610">
            <w:pPr>
              <w:pStyle w:val="FAM-Table-outline"/>
              <w:widowControl/>
              <w:numPr>
                <w:ilvl w:val="0"/>
                <w:numId w:val="29"/>
              </w:numPr>
              <w:adjustRightInd/>
              <w:spacing w:line="240" w:lineRule="auto"/>
              <w:textAlignment w:val="auto"/>
            </w:pPr>
            <w:r w:rsidRPr="005B5418">
              <w:t>Does the agency present with the reconciliation a narrative explaining the purpose, nature, and line items of the reconciliation? (SFFAS 7, par</w:t>
            </w:r>
            <w:r w:rsidR="00323554" w:rsidRPr="005B5418">
              <w:t>a</w:t>
            </w:r>
            <w:r w:rsidRPr="005B5418">
              <w:t>. 82)</w:t>
            </w:r>
          </w:p>
        </w:tc>
        <w:tc>
          <w:tcPr>
            <w:tcW w:w="965" w:type="dxa"/>
          </w:tcPr>
          <w:p w14:paraId="1E388683" w14:textId="77777777" w:rsidR="006C5478" w:rsidRPr="005B5418" w:rsidRDefault="006C5478" w:rsidP="003B61E9">
            <w:pPr>
              <w:pStyle w:val="Table-Cell-CenterBoldBefore6ptAfter6pt"/>
            </w:pPr>
          </w:p>
        </w:tc>
        <w:tc>
          <w:tcPr>
            <w:tcW w:w="3211" w:type="dxa"/>
          </w:tcPr>
          <w:p w14:paraId="798D1E69" w14:textId="77777777" w:rsidR="006C5478" w:rsidRPr="005B5418" w:rsidRDefault="006C5478" w:rsidP="003B61E9">
            <w:pPr>
              <w:spacing w:line="240" w:lineRule="auto"/>
            </w:pPr>
          </w:p>
        </w:tc>
      </w:tr>
      <w:tr w:rsidR="006C5478" w:rsidRPr="005B5418" w14:paraId="16CFFCCD" w14:textId="77777777" w:rsidTr="006C5478">
        <w:trPr>
          <w:cantSplit/>
          <w:trHeight w:val="863"/>
        </w:trPr>
        <w:tc>
          <w:tcPr>
            <w:tcW w:w="5400" w:type="dxa"/>
          </w:tcPr>
          <w:p w14:paraId="39E37C64" w14:textId="35F9002B" w:rsidR="006C5478" w:rsidRPr="005B5418" w:rsidRDefault="006C5478" w:rsidP="00343610">
            <w:pPr>
              <w:pStyle w:val="FAM-Table-outline"/>
              <w:widowControl/>
              <w:numPr>
                <w:ilvl w:val="0"/>
                <w:numId w:val="29"/>
              </w:numPr>
              <w:adjustRightInd/>
              <w:spacing w:line="240" w:lineRule="auto"/>
              <w:textAlignment w:val="auto"/>
            </w:pPr>
            <w:r w:rsidRPr="005B5418">
              <w:t>For noncash outlays</w:t>
            </w:r>
            <w:r w:rsidR="006B62C4" w:rsidRPr="005B5418">
              <w:t>,</w:t>
            </w:r>
            <w:r w:rsidRPr="005B5418">
              <w:rPr>
                <w:vertAlign w:val="superscript"/>
              </w:rPr>
              <w:footnoteReference w:id="257"/>
            </w:r>
            <w:r w:rsidRPr="005B5418">
              <w:t xml:space="preserve"> are the amount and nature disclosed? (SFFAS 7, par</w:t>
            </w:r>
            <w:r w:rsidR="00323554" w:rsidRPr="005B5418">
              <w:t>a</w:t>
            </w:r>
            <w:r w:rsidRPr="005B5418">
              <w:t>. 82)</w:t>
            </w:r>
          </w:p>
        </w:tc>
        <w:tc>
          <w:tcPr>
            <w:tcW w:w="965" w:type="dxa"/>
          </w:tcPr>
          <w:p w14:paraId="6727CCCF" w14:textId="77777777" w:rsidR="006C5478" w:rsidRPr="005B5418" w:rsidRDefault="006C5478" w:rsidP="003B61E9">
            <w:pPr>
              <w:pStyle w:val="Table-Cell-CenterBoldBefore6ptAfter6pt"/>
            </w:pPr>
          </w:p>
        </w:tc>
        <w:tc>
          <w:tcPr>
            <w:tcW w:w="3211" w:type="dxa"/>
          </w:tcPr>
          <w:p w14:paraId="7CE92226" w14:textId="77777777" w:rsidR="006C5478" w:rsidRPr="005B5418" w:rsidRDefault="006C5478" w:rsidP="003B61E9">
            <w:pPr>
              <w:spacing w:line="240" w:lineRule="auto"/>
            </w:pPr>
          </w:p>
        </w:tc>
      </w:tr>
      <w:tr w:rsidR="00A428C9" w:rsidRPr="005B5418" w14:paraId="2B7B7516" w14:textId="77777777" w:rsidTr="006C5478">
        <w:trPr>
          <w:cantSplit/>
          <w:trHeight w:val="863"/>
        </w:trPr>
        <w:tc>
          <w:tcPr>
            <w:tcW w:w="5400" w:type="dxa"/>
          </w:tcPr>
          <w:p w14:paraId="4421F4A7" w14:textId="7A6BADB7" w:rsidR="0052485E" w:rsidRPr="005B5418" w:rsidRDefault="00A428C9" w:rsidP="00343610">
            <w:pPr>
              <w:pStyle w:val="FAM-Table-outline"/>
              <w:widowControl/>
              <w:numPr>
                <w:ilvl w:val="0"/>
                <w:numId w:val="29"/>
              </w:numPr>
              <w:adjustRightInd/>
              <w:spacing w:line="240" w:lineRule="auto"/>
              <w:textAlignment w:val="auto"/>
            </w:pPr>
            <w:r w:rsidRPr="005B5418">
              <w:t xml:space="preserve">For entities with loans receivable under FCRA, does the entity </w:t>
            </w:r>
            <w:r w:rsidR="00D22385" w:rsidRPr="005B5418">
              <w:t>include</w:t>
            </w:r>
            <w:r w:rsidRPr="005B5418">
              <w:t xml:space="preserve"> </w:t>
            </w:r>
            <w:r w:rsidR="0052485E" w:rsidRPr="005B5418">
              <w:t>the following items in its reconciliation of net cost to net outlays</w:t>
            </w:r>
            <w:r w:rsidR="00D22385" w:rsidRPr="005B5418">
              <w:t>:</w:t>
            </w:r>
          </w:p>
          <w:p w14:paraId="65B37CA3" w14:textId="4ED08468" w:rsidR="0052485E" w:rsidRPr="005B5418" w:rsidRDefault="0052485E" w:rsidP="005425ED">
            <w:pPr>
              <w:pStyle w:val="FAM-Table-outline2"/>
              <w:numPr>
                <w:ilvl w:val="1"/>
                <w:numId w:val="65"/>
              </w:numPr>
              <w:spacing w:line="240" w:lineRule="auto"/>
              <w:ind w:left="1140" w:hanging="443"/>
            </w:pPr>
            <w:r w:rsidRPr="005B5418">
              <w:t>current year accrual subsidy cost in the “components of net cost that are not part of net outlays” section</w:t>
            </w:r>
            <w:r w:rsidR="000264E7" w:rsidRPr="005B5418">
              <w:t xml:space="preserve"> and</w:t>
            </w:r>
          </w:p>
          <w:p w14:paraId="31C16E7B" w14:textId="75D4B981" w:rsidR="00A428C9" w:rsidRPr="005B5418" w:rsidRDefault="0052485E" w:rsidP="005425ED">
            <w:pPr>
              <w:pStyle w:val="FAM-Table-outline2"/>
              <w:numPr>
                <w:ilvl w:val="1"/>
                <w:numId w:val="65"/>
              </w:numPr>
              <w:spacing w:line="240" w:lineRule="auto"/>
              <w:ind w:left="1140" w:hanging="443"/>
            </w:pPr>
            <w:r w:rsidRPr="005B5418">
              <w:t>current year budget subsidy cost in the “components of net outlays that are not part of net cost</w:t>
            </w:r>
            <w:r w:rsidR="000264E7" w:rsidRPr="005B5418">
              <w:t xml:space="preserve">” section? </w:t>
            </w:r>
            <w:r w:rsidR="005F18B9" w:rsidRPr="005B5418">
              <w:t>(A-136, section II.3.8.</w:t>
            </w:r>
            <w:r w:rsidR="004E0998" w:rsidRPr="005B5418">
              <w:t>31</w:t>
            </w:r>
            <w:r w:rsidR="005F18B9" w:rsidRPr="005B5418">
              <w:t>)</w:t>
            </w:r>
          </w:p>
        </w:tc>
        <w:tc>
          <w:tcPr>
            <w:tcW w:w="965" w:type="dxa"/>
          </w:tcPr>
          <w:p w14:paraId="64B8226C" w14:textId="77777777" w:rsidR="00A428C9" w:rsidRPr="005B5418" w:rsidRDefault="00A428C9" w:rsidP="003B61E9">
            <w:pPr>
              <w:pStyle w:val="Table-Cell-CenterBoldBefore6ptAfter6pt"/>
            </w:pPr>
          </w:p>
        </w:tc>
        <w:tc>
          <w:tcPr>
            <w:tcW w:w="3211" w:type="dxa"/>
          </w:tcPr>
          <w:p w14:paraId="070D7CDA" w14:textId="77777777" w:rsidR="00A428C9" w:rsidRPr="005B5418" w:rsidRDefault="00A428C9" w:rsidP="003B61E9">
            <w:pPr>
              <w:spacing w:line="240" w:lineRule="auto"/>
            </w:pPr>
          </w:p>
        </w:tc>
      </w:tr>
      <w:tr w:rsidR="000264E7" w:rsidRPr="005B5418" w14:paraId="012C8884" w14:textId="77777777" w:rsidTr="006C5478">
        <w:trPr>
          <w:cantSplit/>
          <w:trHeight w:val="863"/>
        </w:trPr>
        <w:tc>
          <w:tcPr>
            <w:tcW w:w="5400" w:type="dxa"/>
          </w:tcPr>
          <w:p w14:paraId="3A47A82E" w14:textId="7589308C" w:rsidR="000264E7" w:rsidRPr="005B5418" w:rsidRDefault="000264E7" w:rsidP="00343610">
            <w:pPr>
              <w:pStyle w:val="FAM-Table-outline"/>
              <w:widowControl/>
              <w:numPr>
                <w:ilvl w:val="0"/>
                <w:numId w:val="29"/>
              </w:numPr>
              <w:adjustRightInd/>
              <w:spacing w:line="240" w:lineRule="auto"/>
              <w:textAlignment w:val="auto"/>
            </w:pPr>
            <w:r w:rsidRPr="005B5418">
              <w:lastRenderedPageBreak/>
              <w:t xml:space="preserve">For entities with loans receivable under FCRA, does the entity </w:t>
            </w:r>
            <w:r w:rsidR="007D2190" w:rsidRPr="005B5418">
              <w:t xml:space="preserve">exclude </w:t>
            </w:r>
            <w:r w:rsidRPr="005B5418">
              <w:t>the following items in its reconciliation of net cost to net outlays</w:t>
            </w:r>
            <w:r w:rsidR="00D22385" w:rsidRPr="005B5418">
              <w:t>:</w:t>
            </w:r>
          </w:p>
          <w:p w14:paraId="6A0BC8B8" w14:textId="0614040A" w:rsidR="00DC5BF8" w:rsidRPr="005B5418" w:rsidRDefault="000264E7" w:rsidP="005425ED">
            <w:pPr>
              <w:pStyle w:val="FAM-Table-outline2"/>
              <w:numPr>
                <w:ilvl w:val="1"/>
                <w:numId w:val="65"/>
              </w:numPr>
              <w:spacing w:line="240" w:lineRule="auto"/>
              <w:ind w:left="1140" w:hanging="443"/>
            </w:pPr>
            <w:r w:rsidRPr="005B5418">
              <w:t>credit financing account activity and</w:t>
            </w:r>
          </w:p>
          <w:p w14:paraId="61203D24" w14:textId="7CDD7E00" w:rsidR="000264E7" w:rsidRPr="005B5418" w:rsidRDefault="000264E7" w:rsidP="005425ED">
            <w:pPr>
              <w:pStyle w:val="FAM-Table-outline2"/>
              <w:numPr>
                <w:ilvl w:val="1"/>
                <w:numId w:val="65"/>
              </w:numPr>
              <w:spacing w:line="240" w:lineRule="auto"/>
              <w:ind w:left="1140" w:hanging="443"/>
            </w:pPr>
            <w:r w:rsidRPr="005B5418">
              <w:t>the change in FCRA loan receivables? (A-136, section II.3.8.</w:t>
            </w:r>
            <w:r w:rsidR="004E0998" w:rsidRPr="005B5418">
              <w:t>31</w:t>
            </w:r>
            <w:r w:rsidRPr="005B5418">
              <w:t>)</w:t>
            </w:r>
          </w:p>
        </w:tc>
        <w:tc>
          <w:tcPr>
            <w:tcW w:w="965" w:type="dxa"/>
          </w:tcPr>
          <w:p w14:paraId="2CD68969" w14:textId="77777777" w:rsidR="000264E7" w:rsidRPr="005B5418" w:rsidRDefault="000264E7" w:rsidP="003B61E9">
            <w:pPr>
              <w:pStyle w:val="Table-Cell-CenterBoldBefore6ptAfter6pt"/>
            </w:pPr>
          </w:p>
        </w:tc>
        <w:tc>
          <w:tcPr>
            <w:tcW w:w="3211" w:type="dxa"/>
          </w:tcPr>
          <w:p w14:paraId="3D625A3C" w14:textId="77777777" w:rsidR="000264E7" w:rsidRPr="005B5418" w:rsidRDefault="000264E7" w:rsidP="003B61E9">
            <w:pPr>
              <w:spacing w:line="240" w:lineRule="auto"/>
            </w:pPr>
          </w:p>
        </w:tc>
      </w:tr>
      <w:tr w:rsidR="00B62AB0" w:rsidRPr="005B5418" w14:paraId="066D763C" w14:textId="77777777" w:rsidTr="006C5478">
        <w:trPr>
          <w:cantSplit/>
          <w:trHeight w:val="863"/>
        </w:trPr>
        <w:tc>
          <w:tcPr>
            <w:tcW w:w="5400" w:type="dxa"/>
          </w:tcPr>
          <w:p w14:paraId="5496BD59" w14:textId="3555CD63" w:rsidR="00B62AB0" w:rsidRPr="005B5418" w:rsidRDefault="00B62AB0" w:rsidP="00343610">
            <w:pPr>
              <w:pStyle w:val="FAM-Table-outline"/>
              <w:widowControl/>
              <w:numPr>
                <w:ilvl w:val="0"/>
                <w:numId w:val="29"/>
              </w:numPr>
              <w:adjustRightInd/>
              <w:spacing w:line="240" w:lineRule="auto"/>
              <w:textAlignment w:val="auto"/>
            </w:pPr>
            <w:r w:rsidRPr="005B5418">
              <w:t>For non</w:t>
            </w:r>
            <w:r w:rsidR="00893A27" w:rsidRPr="005B5418">
              <w:t>-</w:t>
            </w:r>
            <w:r w:rsidR="0013769F" w:rsidRPr="005B5418">
              <w:t>federal</w:t>
            </w:r>
            <w:r w:rsidR="00893A27" w:rsidRPr="005B5418">
              <w:t xml:space="preserve"> </w:t>
            </w:r>
            <w:r w:rsidRPr="005B5418">
              <w:t xml:space="preserve">leases, does the entity include the interest </w:t>
            </w:r>
            <w:r w:rsidR="00BD3F30" w:rsidRPr="005B5418">
              <w:t xml:space="preserve">cost </w:t>
            </w:r>
            <w:r w:rsidRPr="005B5418">
              <w:t>and amortization</w:t>
            </w:r>
            <w:r w:rsidR="00BD3F30" w:rsidRPr="005B5418">
              <w:t xml:space="preserve"> cost</w:t>
            </w:r>
            <w:r w:rsidRPr="005B5418">
              <w:t xml:space="preserve"> (of the right-to-use lease asset) in the top portion of the reconciliation (components of net cost that are not part of net outlays) and the</w:t>
            </w:r>
            <w:r w:rsidR="00BD3F30" w:rsidRPr="005B5418">
              <w:t xml:space="preserve"> </w:t>
            </w:r>
            <w:r w:rsidRPr="005B5418">
              <w:t>outlay in the bottom (components of net outlays that are not part of net cost)?</w:t>
            </w:r>
            <w:r w:rsidR="006B0D80" w:rsidRPr="005B5418">
              <w:rPr>
                <w:rStyle w:val="FootnoteReference"/>
              </w:rPr>
              <w:footnoteReference w:id="258"/>
            </w:r>
            <w:r w:rsidRPr="005B5418">
              <w:t xml:space="preserve"> (A-136, section II.3.8.31)</w:t>
            </w:r>
          </w:p>
        </w:tc>
        <w:tc>
          <w:tcPr>
            <w:tcW w:w="965" w:type="dxa"/>
          </w:tcPr>
          <w:p w14:paraId="35EAF1F9" w14:textId="77777777" w:rsidR="00B62AB0" w:rsidRPr="005B5418" w:rsidRDefault="00B62AB0" w:rsidP="003B61E9">
            <w:pPr>
              <w:pStyle w:val="Table-Cell-CenterBoldBefore6ptAfter6pt"/>
            </w:pPr>
          </w:p>
        </w:tc>
        <w:tc>
          <w:tcPr>
            <w:tcW w:w="3211" w:type="dxa"/>
          </w:tcPr>
          <w:p w14:paraId="1151B3DA" w14:textId="77777777" w:rsidR="00B62AB0" w:rsidRPr="005B5418" w:rsidRDefault="00B62AB0" w:rsidP="003B61E9">
            <w:pPr>
              <w:spacing w:line="240" w:lineRule="auto"/>
            </w:pPr>
          </w:p>
        </w:tc>
      </w:tr>
    </w:tbl>
    <w:p w14:paraId="247DE5D4" w14:textId="77777777" w:rsidR="006C5478" w:rsidRPr="005B5418" w:rsidRDefault="006C5478" w:rsidP="003B61E9">
      <w:pPr>
        <w:spacing w:line="240" w:lineRule="auto"/>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6C5478" w:rsidRPr="005B5418" w14:paraId="79AFA786" w14:textId="77777777" w:rsidTr="008848DA">
        <w:trPr>
          <w:trHeight w:val="602"/>
          <w:tblHeader/>
        </w:trPr>
        <w:tc>
          <w:tcPr>
            <w:tcW w:w="5400" w:type="dxa"/>
          </w:tcPr>
          <w:p w14:paraId="0CE6C080" w14:textId="6C20A8A3" w:rsidR="006C5478" w:rsidRPr="005B5418" w:rsidRDefault="006C5478" w:rsidP="004E0998">
            <w:pPr>
              <w:pStyle w:val="Heading4"/>
              <w:spacing w:before="60" w:after="60" w:line="240" w:lineRule="auto"/>
              <w:jc w:val="left"/>
              <w:rPr>
                <w:b/>
                <w:u w:val="none"/>
              </w:rPr>
            </w:pPr>
            <w:bookmarkStart w:id="229" w:name="_II.3.8.41_Public-Private_Partnershi"/>
            <w:bookmarkStart w:id="230" w:name="_Ref8657353"/>
            <w:bookmarkEnd w:id="229"/>
            <w:r w:rsidRPr="005B5418">
              <w:rPr>
                <w:b/>
                <w:u w:val="none"/>
              </w:rPr>
              <w:lastRenderedPageBreak/>
              <w:t>II.3.8.</w:t>
            </w:r>
            <w:r w:rsidR="004E0998" w:rsidRPr="005B5418">
              <w:rPr>
                <w:b/>
                <w:u w:val="none"/>
              </w:rPr>
              <w:t xml:space="preserve">32 </w:t>
            </w:r>
            <w:r w:rsidRPr="005B5418">
              <w:rPr>
                <w:b/>
                <w:u w:val="none"/>
              </w:rPr>
              <w:t>Public-Private Partnerships</w:t>
            </w:r>
            <w:bookmarkEnd w:id="230"/>
            <w:r w:rsidRPr="005B5418">
              <w:rPr>
                <w:b/>
                <w:u w:val="none"/>
              </w:rPr>
              <w:t xml:space="preserve"> </w:t>
            </w:r>
          </w:p>
        </w:tc>
        <w:tc>
          <w:tcPr>
            <w:tcW w:w="965" w:type="dxa"/>
          </w:tcPr>
          <w:p w14:paraId="0B739C3F" w14:textId="77777777" w:rsidR="006C5478" w:rsidRPr="005B5418" w:rsidRDefault="006C5478" w:rsidP="00166538">
            <w:pPr>
              <w:pStyle w:val="TableCellCenter"/>
              <w:jc w:val="left"/>
            </w:pPr>
            <w:r w:rsidRPr="005B5418">
              <w:t>Yes, No, or N/A</w:t>
            </w:r>
          </w:p>
        </w:tc>
        <w:tc>
          <w:tcPr>
            <w:tcW w:w="3211" w:type="dxa"/>
          </w:tcPr>
          <w:p w14:paraId="6D3DDF62" w14:textId="2CC8364D" w:rsidR="006C5478" w:rsidRPr="005B5418" w:rsidRDefault="006C5478" w:rsidP="00236F76">
            <w:pPr>
              <w:pStyle w:val="TableCellCenter"/>
              <w:jc w:val="left"/>
            </w:pPr>
            <w:r w:rsidRPr="005B5418">
              <w:t xml:space="preserve">Explanation </w:t>
            </w:r>
            <w:r w:rsidR="00236F76" w:rsidRPr="005B5418">
              <w:t xml:space="preserve">and </w:t>
            </w:r>
            <w:r w:rsidRPr="005B5418">
              <w:t>Reference</w:t>
            </w:r>
          </w:p>
        </w:tc>
      </w:tr>
      <w:tr w:rsidR="006C5478" w:rsidRPr="005B5418" w14:paraId="0820700B" w14:textId="77777777" w:rsidTr="008848DA">
        <w:trPr>
          <w:trHeight w:val="8477"/>
        </w:trPr>
        <w:tc>
          <w:tcPr>
            <w:tcW w:w="9576" w:type="dxa"/>
            <w:gridSpan w:val="3"/>
          </w:tcPr>
          <w:p w14:paraId="62BABE15" w14:textId="3B4842D3" w:rsidR="006C5478" w:rsidRPr="005B5418" w:rsidRDefault="006C5478" w:rsidP="008848DA">
            <w:pPr>
              <w:pStyle w:val="Table-Note"/>
              <w:spacing w:before="60" w:after="60" w:line="240" w:lineRule="auto"/>
              <w:ind w:left="0"/>
              <w:jc w:val="left"/>
              <w:rPr>
                <w:i w:val="0"/>
                <w:sz w:val="22"/>
                <w:szCs w:val="22"/>
              </w:rPr>
            </w:pPr>
            <w:r w:rsidRPr="005B5418">
              <w:rPr>
                <w:i w:val="0"/>
                <w:sz w:val="22"/>
                <w:szCs w:val="22"/>
              </w:rPr>
              <w:t xml:space="preserve">SFFAS 49 defines Public-Private Partnerships (P3) as risk-sharing arrangements or transactions with expected lives greater than </w:t>
            </w:r>
            <w:r w:rsidR="00236F76" w:rsidRPr="005B5418">
              <w:rPr>
                <w:i w:val="0"/>
                <w:sz w:val="22"/>
                <w:szCs w:val="22"/>
              </w:rPr>
              <w:t xml:space="preserve">5 </w:t>
            </w:r>
            <w:r w:rsidRPr="005B5418">
              <w:rPr>
                <w:i w:val="0"/>
                <w:sz w:val="22"/>
                <w:szCs w:val="22"/>
              </w:rPr>
              <w:t xml:space="preserve">years between public and private sector entities. Such arrangements or transactions provide a service or an asset for government and/or general public use where, in addition to sharing resources, each party shares in the risks and rewards of said arrangements or transactions. </w:t>
            </w:r>
            <w:r w:rsidRPr="005B5418">
              <w:rPr>
                <w:rFonts w:cs="Arial"/>
                <w:i w:val="0"/>
                <w:sz w:val="22"/>
                <w:szCs w:val="22"/>
              </w:rPr>
              <w:t xml:space="preserve">A public sector entity shares risks and rewards with a private sector entity whenever the benefits of the arrangement or transaction accrue to both the private sector entity and the public sector entity and (1) the public sector entity is at risk of loss, or (2) the private sector </w:t>
            </w:r>
            <w:r w:rsidR="0075673D" w:rsidRPr="005B5418">
              <w:rPr>
                <w:rFonts w:cs="Arial"/>
                <w:i w:val="0"/>
                <w:sz w:val="22"/>
                <w:szCs w:val="22"/>
              </w:rPr>
              <w:t xml:space="preserve">entity’s </w:t>
            </w:r>
            <w:r w:rsidRPr="005B5418">
              <w:rPr>
                <w:rFonts w:cs="Arial"/>
                <w:i w:val="0"/>
                <w:sz w:val="22"/>
                <w:szCs w:val="22"/>
              </w:rPr>
              <w:t>ability to perform is at risk and success of the arrangement or transaction depends upon the public sector's intervention.</w:t>
            </w:r>
            <w:r w:rsidRPr="005B5418">
              <w:rPr>
                <w:i w:val="0"/>
                <w:sz w:val="22"/>
                <w:szCs w:val="22"/>
              </w:rPr>
              <w:t xml:space="preserve">  </w:t>
            </w:r>
          </w:p>
          <w:p w14:paraId="311B15F4" w14:textId="34E97054" w:rsidR="00B66F56" w:rsidRPr="005B5418" w:rsidRDefault="00B66F56" w:rsidP="008848DA">
            <w:pPr>
              <w:pStyle w:val="Table-Note"/>
              <w:spacing w:before="60" w:after="60" w:line="240" w:lineRule="auto"/>
              <w:ind w:left="0"/>
              <w:jc w:val="left"/>
              <w:rPr>
                <w:i w:val="0"/>
                <w:sz w:val="22"/>
                <w:szCs w:val="22"/>
              </w:rPr>
            </w:pPr>
            <w:r w:rsidRPr="005B5418">
              <w:rPr>
                <w:i w:val="0"/>
                <w:sz w:val="22"/>
                <w:szCs w:val="22"/>
              </w:rPr>
              <w:t xml:space="preserve">Per A-136, “risk” refers to risk of </w:t>
            </w:r>
            <w:r w:rsidR="00932F0F" w:rsidRPr="005B5418">
              <w:rPr>
                <w:i w:val="0"/>
                <w:sz w:val="22"/>
                <w:szCs w:val="22"/>
              </w:rPr>
              <w:t xml:space="preserve">financial </w:t>
            </w:r>
            <w:r w:rsidRPr="005B5418">
              <w:rPr>
                <w:i w:val="0"/>
                <w:sz w:val="22"/>
                <w:szCs w:val="22"/>
              </w:rPr>
              <w:t>losses beyond the types of costs anticipated in the normal course of the agreement, assuming the agreement is carried out over its expected life</w:t>
            </w:r>
            <w:r w:rsidR="0031522E" w:rsidRPr="005B5418">
              <w:rPr>
                <w:i w:val="0"/>
                <w:sz w:val="22"/>
                <w:szCs w:val="22"/>
              </w:rPr>
              <w:t>. That is,</w:t>
            </w:r>
            <w:r w:rsidRPr="005B5418">
              <w:rPr>
                <w:i w:val="0"/>
                <w:sz w:val="22"/>
                <w:szCs w:val="22"/>
              </w:rPr>
              <w:t xml:space="preserve"> it is risk not fully reflected in the consideration exchanged in executing the agreements</w:t>
            </w:r>
            <w:r w:rsidR="00932F0F" w:rsidRPr="005B5418">
              <w:rPr>
                <w:i w:val="0"/>
                <w:sz w:val="22"/>
                <w:szCs w:val="22"/>
              </w:rPr>
              <w:t>.</w:t>
            </w:r>
            <w:r w:rsidRPr="005B5418">
              <w:rPr>
                <w:i w:val="0"/>
                <w:sz w:val="22"/>
                <w:szCs w:val="22"/>
              </w:rPr>
              <w:t xml:space="preserve"> Such risks may relate, for example, to termination, default, or noncompliance with the agreement. </w:t>
            </w:r>
            <w:r w:rsidR="00932F0F" w:rsidRPr="005B5418">
              <w:rPr>
                <w:i w:val="0"/>
                <w:sz w:val="22"/>
                <w:szCs w:val="22"/>
              </w:rPr>
              <w:t>Although</w:t>
            </w:r>
            <w:r w:rsidRPr="005B5418">
              <w:rPr>
                <w:i w:val="0"/>
                <w:sz w:val="22"/>
                <w:szCs w:val="22"/>
              </w:rPr>
              <w:t xml:space="preserve"> loan</w:t>
            </w:r>
            <w:r w:rsidR="007D60AC" w:rsidRPr="005B5418">
              <w:rPr>
                <w:i w:val="0"/>
                <w:sz w:val="22"/>
                <w:szCs w:val="22"/>
              </w:rPr>
              <w:t>,</w:t>
            </w:r>
            <w:r w:rsidRPr="005B5418">
              <w:rPr>
                <w:i w:val="0"/>
                <w:sz w:val="22"/>
                <w:szCs w:val="22"/>
              </w:rPr>
              <w:t xml:space="preserve"> loan guarantee, insurance, </w:t>
            </w:r>
            <w:r w:rsidR="00505073" w:rsidRPr="005B5418">
              <w:rPr>
                <w:i w:val="0"/>
                <w:sz w:val="22"/>
                <w:szCs w:val="22"/>
              </w:rPr>
              <w:t xml:space="preserve">and </w:t>
            </w:r>
            <w:r w:rsidRPr="005B5418">
              <w:rPr>
                <w:i w:val="0"/>
                <w:sz w:val="22"/>
                <w:szCs w:val="22"/>
              </w:rPr>
              <w:t>grant</w:t>
            </w:r>
            <w:r w:rsidR="00C8093D" w:rsidRPr="005B5418">
              <w:rPr>
                <w:i w:val="0"/>
                <w:sz w:val="22"/>
                <w:szCs w:val="22"/>
              </w:rPr>
              <w:t xml:space="preserve"> program</w:t>
            </w:r>
            <w:r w:rsidRPr="005B5418">
              <w:rPr>
                <w:i w:val="0"/>
                <w:sz w:val="22"/>
                <w:szCs w:val="22"/>
              </w:rPr>
              <w:t>s</w:t>
            </w:r>
            <w:r w:rsidR="00505073" w:rsidRPr="005B5418">
              <w:rPr>
                <w:i w:val="0"/>
                <w:sz w:val="22"/>
                <w:szCs w:val="22"/>
              </w:rPr>
              <w:t xml:space="preserve"> are not </w:t>
            </w:r>
            <w:r w:rsidR="00362B28" w:rsidRPr="005B5418">
              <w:rPr>
                <w:i w:val="0"/>
                <w:sz w:val="22"/>
                <w:szCs w:val="22"/>
              </w:rPr>
              <w:t>P3s</w:t>
            </w:r>
            <w:r w:rsidR="00932F0F" w:rsidRPr="005B5418">
              <w:rPr>
                <w:i w:val="0"/>
                <w:sz w:val="22"/>
                <w:szCs w:val="22"/>
              </w:rPr>
              <w:t>, they may be used to finance a P3</w:t>
            </w:r>
            <w:r w:rsidR="003E3882" w:rsidRPr="005B5418">
              <w:rPr>
                <w:i w:val="0"/>
                <w:sz w:val="22"/>
                <w:szCs w:val="22"/>
              </w:rPr>
              <w:t xml:space="preserve">. </w:t>
            </w:r>
            <w:r w:rsidR="002558AD" w:rsidRPr="005B5418">
              <w:rPr>
                <w:i w:val="0"/>
                <w:sz w:val="22"/>
                <w:szCs w:val="22"/>
              </w:rPr>
              <w:t xml:space="preserve">In addition, P3 arrangements may include leases between the entity and P3 partner. </w:t>
            </w:r>
            <w:r w:rsidR="003E3882" w:rsidRPr="005B5418">
              <w:rPr>
                <w:i w:val="0"/>
                <w:sz w:val="22"/>
                <w:szCs w:val="22"/>
              </w:rPr>
              <w:t>(A-136, section II.3.8.</w:t>
            </w:r>
            <w:r w:rsidR="004E0998" w:rsidRPr="005B5418">
              <w:rPr>
                <w:i w:val="0"/>
                <w:sz w:val="22"/>
                <w:szCs w:val="22"/>
              </w:rPr>
              <w:t>32</w:t>
            </w:r>
            <w:r w:rsidR="003E3882" w:rsidRPr="005B5418">
              <w:rPr>
                <w:i w:val="0"/>
                <w:sz w:val="22"/>
                <w:szCs w:val="22"/>
              </w:rPr>
              <w:t>)</w:t>
            </w:r>
          </w:p>
          <w:p w14:paraId="543A829C" w14:textId="10E7B582" w:rsidR="00E05985" w:rsidRPr="005B5418" w:rsidRDefault="006C5478" w:rsidP="008848DA">
            <w:pPr>
              <w:pStyle w:val="Table-Note"/>
              <w:spacing w:before="60" w:after="60" w:line="240" w:lineRule="auto"/>
              <w:ind w:left="0"/>
              <w:jc w:val="left"/>
              <w:rPr>
                <w:rFonts w:cs="Arial"/>
                <w:i w:val="0"/>
                <w:sz w:val="22"/>
                <w:szCs w:val="22"/>
              </w:rPr>
            </w:pPr>
            <w:r w:rsidRPr="005B5418">
              <w:rPr>
                <w:i w:val="0"/>
                <w:sz w:val="22"/>
                <w:szCs w:val="22"/>
              </w:rPr>
              <w:t xml:space="preserve">SFFAS 49 excludes certain types of arrangements and transactions (e.g., non-lease acquisitions of PP&amp;E; acquisition of supplies and services pursuant to </w:t>
            </w:r>
            <w:r w:rsidR="00901CED" w:rsidRPr="005B5418">
              <w:rPr>
                <w:i w:val="0"/>
                <w:sz w:val="22"/>
                <w:szCs w:val="22"/>
              </w:rPr>
              <w:t>the Federal Acquisition Regulatio</w:t>
            </w:r>
            <w:r w:rsidR="000A1D7F" w:rsidRPr="005B5418">
              <w:rPr>
                <w:i w:val="0"/>
                <w:sz w:val="22"/>
                <w:szCs w:val="22"/>
              </w:rPr>
              <w:t>n’s</w:t>
            </w:r>
            <w:r w:rsidRPr="005B5418">
              <w:rPr>
                <w:i w:val="0"/>
                <w:sz w:val="22"/>
                <w:szCs w:val="22"/>
              </w:rPr>
              <w:t xml:space="preserve"> simplified acquisition procedures</w:t>
            </w:r>
            <w:r w:rsidR="008676D9" w:rsidRPr="005B5418">
              <w:rPr>
                <w:i w:val="0"/>
                <w:sz w:val="22"/>
                <w:szCs w:val="22"/>
              </w:rPr>
              <w:t xml:space="preserve"> (48 C.F.R. part 13)</w:t>
            </w:r>
            <w:r w:rsidRPr="005B5418">
              <w:rPr>
                <w:i w:val="0"/>
                <w:sz w:val="22"/>
                <w:szCs w:val="22"/>
              </w:rPr>
              <w:t>;</w:t>
            </w:r>
            <w:r w:rsidR="008676D9" w:rsidRPr="005B5418">
              <w:rPr>
                <w:i w:val="0"/>
                <w:sz w:val="22"/>
                <w:szCs w:val="22"/>
              </w:rPr>
              <w:t xml:space="preserve"> and</w:t>
            </w:r>
            <w:r w:rsidRPr="005B5418">
              <w:rPr>
                <w:i w:val="0"/>
                <w:sz w:val="22"/>
                <w:szCs w:val="22"/>
              </w:rPr>
              <w:t xml:space="preserve"> grants to state, local, and tribal governments)</w:t>
            </w:r>
            <w:r w:rsidR="000A1D7F" w:rsidRPr="005B5418">
              <w:rPr>
                <w:i w:val="0"/>
                <w:sz w:val="22"/>
                <w:szCs w:val="22"/>
              </w:rPr>
              <w:t>.</w:t>
            </w:r>
            <w:r w:rsidRPr="005B5418">
              <w:rPr>
                <w:i w:val="0"/>
                <w:sz w:val="22"/>
                <w:szCs w:val="22"/>
              </w:rPr>
              <w:t xml:space="preserve"> (</w:t>
            </w:r>
            <w:r w:rsidRPr="005B5418">
              <w:rPr>
                <w:i w:val="0"/>
                <w:sz w:val="22"/>
                <w:szCs w:val="22"/>
                <w:lang w:val="pt-BR"/>
              </w:rPr>
              <w:t>SFFAS 49, par</w:t>
            </w:r>
            <w:r w:rsidR="000A1D7F" w:rsidRPr="005B5418">
              <w:rPr>
                <w:i w:val="0"/>
                <w:sz w:val="22"/>
                <w:szCs w:val="22"/>
                <w:lang w:val="pt-BR"/>
              </w:rPr>
              <w:t>as</w:t>
            </w:r>
            <w:r w:rsidRPr="005B5418">
              <w:rPr>
                <w:i w:val="0"/>
                <w:sz w:val="22"/>
                <w:szCs w:val="22"/>
                <w:lang w:val="pt-BR"/>
              </w:rPr>
              <w:t>. 15</w:t>
            </w:r>
            <w:r w:rsidR="000A1D7F" w:rsidRPr="005B5418">
              <w:rPr>
                <w:i w:val="0"/>
                <w:sz w:val="22"/>
                <w:szCs w:val="22"/>
                <w:lang w:val="pt-BR"/>
              </w:rPr>
              <w:t>–</w:t>
            </w:r>
            <w:r w:rsidRPr="005B5418">
              <w:rPr>
                <w:i w:val="0"/>
                <w:sz w:val="22"/>
                <w:szCs w:val="22"/>
                <w:lang w:val="pt-BR"/>
              </w:rPr>
              <w:t>17)</w:t>
            </w:r>
            <w:r w:rsidRPr="005B5418">
              <w:rPr>
                <w:i w:val="0"/>
                <w:sz w:val="22"/>
                <w:szCs w:val="22"/>
              </w:rPr>
              <w:t xml:space="preserve"> </w:t>
            </w:r>
            <w:r w:rsidRPr="005B5418">
              <w:rPr>
                <w:rFonts w:cs="Arial"/>
                <w:i w:val="0"/>
                <w:sz w:val="22"/>
                <w:szCs w:val="22"/>
              </w:rPr>
              <w:t xml:space="preserve">SFFAS 49, paragraph 24, disclosure requirements include </w:t>
            </w:r>
          </w:p>
          <w:p w14:paraId="620B358B" w14:textId="77777777" w:rsidR="00E05985" w:rsidRPr="005B5418" w:rsidRDefault="006C5478" w:rsidP="008848DA">
            <w:pPr>
              <w:pStyle w:val="Table-Note"/>
              <w:spacing w:before="60" w:after="60" w:line="240" w:lineRule="auto"/>
              <w:ind w:left="0"/>
              <w:jc w:val="left"/>
              <w:rPr>
                <w:rFonts w:cs="Arial"/>
                <w:i w:val="0"/>
                <w:sz w:val="22"/>
                <w:szCs w:val="22"/>
              </w:rPr>
            </w:pPr>
            <w:r w:rsidRPr="005B5418">
              <w:rPr>
                <w:rFonts w:cs="Arial"/>
                <w:i w:val="0"/>
                <w:sz w:val="22"/>
                <w:szCs w:val="22"/>
              </w:rPr>
              <w:t>(1) the purpose, objective, rationale, statutory authority, costs, and benefits of the partnership;</w:t>
            </w:r>
          </w:p>
          <w:p w14:paraId="466AF2C7" w14:textId="719CD8AC" w:rsidR="00E05985" w:rsidRPr="005B5418" w:rsidRDefault="006C5478" w:rsidP="008848DA">
            <w:pPr>
              <w:pStyle w:val="Table-Note"/>
              <w:spacing w:before="60" w:after="60" w:line="240" w:lineRule="auto"/>
              <w:ind w:left="0"/>
              <w:jc w:val="left"/>
              <w:rPr>
                <w:rFonts w:cs="Arial"/>
                <w:i w:val="0"/>
                <w:sz w:val="22"/>
                <w:szCs w:val="22"/>
              </w:rPr>
            </w:pPr>
            <w:r w:rsidRPr="005B5418">
              <w:rPr>
                <w:rFonts w:cs="Arial"/>
                <w:i w:val="0"/>
                <w:sz w:val="22"/>
                <w:szCs w:val="22"/>
              </w:rPr>
              <w:t xml:space="preserve">(2) the amounts of </w:t>
            </w:r>
            <w:r w:rsidR="0031372E" w:rsidRPr="005B5418">
              <w:rPr>
                <w:rFonts w:cs="Arial"/>
                <w:i w:val="0"/>
                <w:sz w:val="22"/>
                <w:szCs w:val="22"/>
              </w:rPr>
              <w:t>f</w:t>
            </w:r>
            <w:r w:rsidRPr="005B5418">
              <w:rPr>
                <w:rFonts w:cs="Arial"/>
                <w:i w:val="0"/>
                <w:sz w:val="22"/>
                <w:szCs w:val="22"/>
              </w:rPr>
              <w:t>ederal and non-</w:t>
            </w:r>
            <w:r w:rsidR="0031372E" w:rsidRPr="005B5418">
              <w:rPr>
                <w:rFonts w:cs="Arial"/>
                <w:i w:val="0"/>
                <w:sz w:val="22"/>
                <w:szCs w:val="22"/>
              </w:rPr>
              <w:t>f</w:t>
            </w:r>
            <w:r w:rsidRPr="005B5418">
              <w:rPr>
                <w:rFonts w:cs="Arial"/>
                <w:i w:val="0"/>
                <w:sz w:val="22"/>
                <w:szCs w:val="22"/>
              </w:rPr>
              <w:t xml:space="preserve">ederal funding over the life of the partnership and a description of the funding; </w:t>
            </w:r>
          </w:p>
          <w:p w14:paraId="13B2D869" w14:textId="0478D765" w:rsidR="00E05985" w:rsidRPr="005B5418" w:rsidRDefault="006C5478" w:rsidP="008848DA">
            <w:pPr>
              <w:pStyle w:val="Table-Note"/>
              <w:spacing w:before="60" w:after="60" w:line="240" w:lineRule="auto"/>
              <w:ind w:left="0"/>
              <w:jc w:val="left"/>
              <w:rPr>
                <w:rFonts w:cs="Arial"/>
                <w:i w:val="0"/>
                <w:sz w:val="22"/>
                <w:szCs w:val="22"/>
              </w:rPr>
            </w:pPr>
            <w:r w:rsidRPr="005B5418">
              <w:rPr>
                <w:rFonts w:cs="Arial"/>
                <w:i w:val="0"/>
                <w:sz w:val="22"/>
                <w:szCs w:val="22"/>
              </w:rPr>
              <w:t xml:space="preserve">(3) the contractual terms governing payments to and from the </w:t>
            </w:r>
            <w:r w:rsidR="00AC00AF" w:rsidRPr="005B5418">
              <w:rPr>
                <w:rFonts w:cs="Arial"/>
                <w:i w:val="0"/>
                <w:sz w:val="22"/>
                <w:szCs w:val="22"/>
              </w:rPr>
              <w:t xml:space="preserve">U.S. </w:t>
            </w:r>
            <w:r w:rsidR="00643402" w:rsidRPr="005B5418">
              <w:rPr>
                <w:rFonts w:cs="Arial"/>
                <w:i w:val="0"/>
                <w:sz w:val="22"/>
                <w:szCs w:val="22"/>
              </w:rPr>
              <w:t xml:space="preserve">government </w:t>
            </w:r>
            <w:r w:rsidRPr="005B5418">
              <w:rPr>
                <w:rFonts w:cs="Arial"/>
                <w:i w:val="0"/>
                <w:sz w:val="22"/>
                <w:szCs w:val="22"/>
              </w:rPr>
              <w:t xml:space="preserve">(including information on how the expected partnership life was determined, when payments are expected, whether payments are made directly or indirectly, and any non-monetary payments), payments to and from the </w:t>
            </w:r>
            <w:r w:rsidR="008676D9" w:rsidRPr="005B5418">
              <w:rPr>
                <w:rFonts w:cs="Arial"/>
                <w:i w:val="0"/>
                <w:sz w:val="22"/>
                <w:szCs w:val="22"/>
              </w:rPr>
              <w:t xml:space="preserve">U.S. </w:t>
            </w:r>
            <w:r w:rsidR="00643402" w:rsidRPr="005B5418">
              <w:rPr>
                <w:rFonts w:cs="Arial"/>
                <w:i w:val="0"/>
                <w:sz w:val="22"/>
                <w:szCs w:val="22"/>
              </w:rPr>
              <w:t xml:space="preserve">government </w:t>
            </w:r>
            <w:r w:rsidRPr="005B5418">
              <w:rPr>
                <w:rFonts w:cs="Arial"/>
                <w:i w:val="0"/>
                <w:sz w:val="22"/>
                <w:szCs w:val="22"/>
              </w:rPr>
              <w:t>for the reporting periods, and expected payments over the life of the partnership</w:t>
            </w:r>
            <w:r w:rsidR="00901CED" w:rsidRPr="005B5418">
              <w:rPr>
                <w:rFonts w:cs="Arial"/>
                <w:i w:val="0"/>
                <w:sz w:val="22"/>
                <w:szCs w:val="22"/>
              </w:rPr>
              <w:t xml:space="preserve">; </w:t>
            </w:r>
          </w:p>
          <w:p w14:paraId="63D4646F" w14:textId="7C4F1319" w:rsidR="00E05985" w:rsidRPr="005B5418" w:rsidRDefault="006C5478" w:rsidP="008848DA">
            <w:pPr>
              <w:pStyle w:val="Table-Note"/>
              <w:spacing w:before="60" w:after="60" w:line="240" w:lineRule="auto"/>
              <w:ind w:left="0"/>
              <w:jc w:val="left"/>
              <w:rPr>
                <w:rFonts w:cs="Arial"/>
                <w:i w:val="0"/>
                <w:sz w:val="22"/>
                <w:szCs w:val="22"/>
              </w:rPr>
            </w:pPr>
            <w:r w:rsidRPr="005B5418">
              <w:rPr>
                <w:rFonts w:cs="Arial"/>
                <w:i w:val="0"/>
                <w:sz w:val="22"/>
                <w:szCs w:val="22"/>
              </w:rPr>
              <w:t xml:space="preserve">(4) </w:t>
            </w:r>
            <w:r w:rsidR="00025663" w:rsidRPr="005B5418">
              <w:rPr>
                <w:rFonts w:cs="Arial"/>
                <w:i w:val="0"/>
                <w:sz w:val="22"/>
                <w:szCs w:val="22"/>
              </w:rPr>
              <w:t xml:space="preserve">identification of risk the P3 partners are undertaking and </w:t>
            </w:r>
            <w:r w:rsidRPr="005B5418">
              <w:rPr>
                <w:rFonts w:cs="Arial"/>
                <w:i w:val="0"/>
                <w:sz w:val="22"/>
                <w:szCs w:val="22"/>
              </w:rPr>
              <w:t>information about the contractual risks of loss and potential monetary effects if the risks are/were realized</w:t>
            </w:r>
            <w:r w:rsidR="00E05985" w:rsidRPr="005B5418">
              <w:rPr>
                <w:rFonts w:cs="Arial"/>
                <w:i w:val="0"/>
                <w:sz w:val="22"/>
                <w:szCs w:val="22"/>
              </w:rPr>
              <w:t>,</w:t>
            </w:r>
            <w:r w:rsidRPr="005B5418">
              <w:rPr>
                <w:rFonts w:cs="Arial"/>
                <w:i w:val="0"/>
                <w:sz w:val="22"/>
                <w:szCs w:val="22"/>
              </w:rPr>
              <w:t xml:space="preserve"> and information about remote risks of loss if included in the terms of the partnership contract</w:t>
            </w:r>
            <w:r w:rsidR="00025663" w:rsidRPr="005B5418">
              <w:rPr>
                <w:rFonts w:cs="Arial"/>
                <w:i w:val="0"/>
                <w:sz w:val="22"/>
                <w:szCs w:val="22"/>
              </w:rPr>
              <w:t>ual arrangement</w:t>
            </w:r>
            <w:r w:rsidR="00025663" w:rsidRPr="005B5418">
              <w:rPr>
                <w:rStyle w:val="FootnoteReference"/>
                <w:rFonts w:cs="Arial"/>
                <w:i w:val="0"/>
                <w:sz w:val="22"/>
                <w:szCs w:val="22"/>
              </w:rPr>
              <w:footnoteReference w:id="259"/>
            </w:r>
            <w:r w:rsidR="00025663" w:rsidRPr="005B5418">
              <w:rPr>
                <w:rFonts w:cs="Arial"/>
                <w:i w:val="0"/>
                <w:sz w:val="22"/>
                <w:szCs w:val="22"/>
              </w:rPr>
              <w:t>;</w:t>
            </w:r>
            <w:r w:rsidRPr="005B5418">
              <w:rPr>
                <w:rFonts w:cs="Arial"/>
                <w:i w:val="0"/>
                <w:sz w:val="22"/>
                <w:szCs w:val="22"/>
              </w:rPr>
              <w:t xml:space="preserve"> and </w:t>
            </w:r>
          </w:p>
          <w:p w14:paraId="175E62A7" w14:textId="77777777" w:rsidR="00B66F56" w:rsidRPr="005B5418" w:rsidRDefault="006C5478" w:rsidP="008848DA">
            <w:pPr>
              <w:pStyle w:val="Table-Note"/>
              <w:spacing w:before="60" w:after="60" w:line="240" w:lineRule="auto"/>
              <w:ind w:left="0"/>
              <w:jc w:val="left"/>
              <w:rPr>
                <w:rFonts w:cs="Arial"/>
                <w:i w:val="0"/>
                <w:sz w:val="22"/>
                <w:szCs w:val="22"/>
              </w:rPr>
            </w:pPr>
            <w:r w:rsidRPr="005B5418">
              <w:rPr>
                <w:rFonts w:cs="Arial"/>
                <w:i w:val="0"/>
                <w:sz w:val="22"/>
                <w:szCs w:val="22"/>
              </w:rPr>
              <w:t>(5) amounts recognized on the statements, significant instances of non-compliance with</w:t>
            </w:r>
            <w:r w:rsidR="008676D9" w:rsidRPr="005B5418">
              <w:rPr>
                <w:rFonts w:cs="Arial"/>
                <w:i w:val="0"/>
                <w:sz w:val="22"/>
                <w:szCs w:val="22"/>
              </w:rPr>
              <w:t xml:space="preserve"> legal and contractual</w:t>
            </w:r>
            <w:r w:rsidRPr="005B5418">
              <w:rPr>
                <w:rFonts w:cs="Arial"/>
                <w:i w:val="0"/>
                <w:sz w:val="22"/>
                <w:szCs w:val="22"/>
              </w:rPr>
              <w:t xml:space="preserve"> provisions governing the partnership, borrowing or capital investment by the private entity that is contingent on the reporting entity’s promise to pay, and a description of events of termination.</w:t>
            </w:r>
          </w:p>
          <w:p w14:paraId="772601D0" w14:textId="2889A566" w:rsidR="00C05079" w:rsidRPr="005B5418" w:rsidRDefault="00C05079" w:rsidP="00935832">
            <w:pPr>
              <w:pStyle w:val="Table-Note"/>
              <w:spacing w:before="60" w:after="60" w:line="240" w:lineRule="auto"/>
              <w:ind w:left="0"/>
              <w:rPr>
                <w:rFonts w:cs="Arial"/>
                <w:i w:val="0"/>
                <w:sz w:val="22"/>
                <w:szCs w:val="22"/>
              </w:rPr>
            </w:pPr>
            <w:r w:rsidRPr="005B5418">
              <w:rPr>
                <w:rFonts w:cs="Arial"/>
                <w:i w:val="0"/>
                <w:sz w:val="22"/>
                <w:szCs w:val="22"/>
              </w:rPr>
              <w:t>Disclosures should state in plain language the nature and magnitude of risk of loss to the reporting entity. (A-136, section II.3.8.32)</w:t>
            </w:r>
          </w:p>
        </w:tc>
      </w:tr>
      <w:tr w:rsidR="00EB5CEA" w:rsidRPr="005B5418" w14:paraId="2C618339" w14:textId="77777777" w:rsidTr="008848DA">
        <w:trPr>
          <w:cantSplit/>
          <w:trHeight w:val="1133"/>
        </w:trPr>
        <w:tc>
          <w:tcPr>
            <w:tcW w:w="5400" w:type="dxa"/>
          </w:tcPr>
          <w:p w14:paraId="5F7703A0" w14:textId="13653482" w:rsidR="00EB5CEA" w:rsidRPr="005B5418" w:rsidRDefault="00EB5CEA" w:rsidP="00825C76">
            <w:pPr>
              <w:pStyle w:val="FAM-Table-outline"/>
              <w:widowControl/>
              <w:numPr>
                <w:ilvl w:val="0"/>
                <w:numId w:val="64"/>
              </w:numPr>
              <w:adjustRightInd/>
              <w:spacing w:line="240" w:lineRule="auto"/>
              <w:textAlignment w:val="auto"/>
            </w:pPr>
            <w:r w:rsidRPr="005B5418">
              <w:rPr>
                <w:rFonts w:eastAsia="Arial Unicode MS" w:cs="Arial"/>
                <w:szCs w:val="22"/>
              </w:rPr>
              <w:t>Is this topic applicable to the entity’s financial statements? (Answer Y if applicable, N/A if not applicable, or N/S if not significant. If N/A or N/S, skip to the next topic</w:t>
            </w:r>
            <w:r w:rsidR="00735FD8" w:rsidRPr="005B5418">
              <w:rPr>
                <w:rFonts w:eastAsia="Arial Unicode MS" w:cs="Arial"/>
                <w:szCs w:val="22"/>
              </w:rPr>
              <w:t>.</w:t>
            </w:r>
            <w:r w:rsidRPr="005B5418">
              <w:rPr>
                <w:rFonts w:eastAsia="Arial Unicode MS" w:cs="Arial"/>
                <w:szCs w:val="22"/>
              </w:rPr>
              <w:t>)</w:t>
            </w:r>
          </w:p>
        </w:tc>
        <w:tc>
          <w:tcPr>
            <w:tcW w:w="965" w:type="dxa"/>
          </w:tcPr>
          <w:p w14:paraId="73D302B7" w14:textId="77777777" w:rsidR="00EB5CEA" w:rsidRPr="005B5418" w:rsidRDefault="00EB5CEA" w:rsidP="003B61E9">
            <w:pPr>
              <w:pStyle w:val="Table-Cell-CenterBoldBefore6ptAfter6pt"/>
            </w:pPr>
          </w:p>
        </w:tc>
        <w:tc>
          <w:tcPr>
            <w:tcW w:w="3211" w:type="dxa"/>
          </w:tcPr>
          <w:p w14:paraId="011C0E69" w14:textId="77777777" w:rsidR="00EB5CEA" w:rsidRPr="005B5418" w:rsidRDefault="00EB5CEA" w:rsidP="003B61E9">
            <w:pPr>
              <w:spacing w:line="240" w:lineRule="auto"/>
            </w:pPr>
          </w:p>
        </w:tc>
      </w:tr>
      <w:tr w:rsidR="006C5478" w:rsidRPr="005B5418" w14:paraId="4F32F0EA" w14:textId="77777777" w:rsidTr="008848DA">
        <w:trPr>
          <w:trHeight w:val="1610"/>
        </w:trPr>
        <w:tc>
          <w:tcPr>
            <w:tcW w:w="5400" w:type="dxa"/>
          </w:tcPr>
          <w:p w14:paraId="33F3FA93" w14:textId="02F64DCC" w:rsidR="006C5478" w:rsidRPr="005B5418" w:rsidRDefault="006C5478" w:rsidP="00825C76">
            <w:pPr>
              <w:pStyle w:val="FAM-Table-outline"/>
              <w:widowControl/>
              <w:numPr>
                <w:ilvl w:val="0"/>
                <w:numId w:val="64"/>
              </w:numPr>
              <w:adjustRightInd/>
              <w:spacing w:line="240" w:lineRule="auto"/>
              <w:textAlignment w:val="auto"/>
            </w:pPr>
            <w:r w:rsidRPr="005B5418">
              <w:rPr>
                <w:lang w:val="pt-BR"/>
              </w:rPr>
              <w:lastRenderedPageBreak/>
              <w:t>Did the entity assess P3s against the conclusive risk characteristics to determine if they possess risk of loss which indicates that disclosures should be provided? (SFFAS 49, par</w:t>
            </w:r>
            <w:r w:rsidR="00E07628" w:rsidRPr="005B5418">
              <w:rPr>
                <w:lang w:val="pt-BR"/>
              </w:rPr>
              <w:t>as</w:t>
            </w:r>
            <w:r w:rsidRPr="005B5418">
              <w:rPr>
                <w:lang w:val="pt-BR"/>
              </w:rPr>
              <w:t xml:space="preserve">. 14 </w:t>
            </w:r>
            <w:r w:rsidR="00345AD7" w:rsidRPr="005B5418">
              <w:rPr>
                <w:lang w:val="pt-BR"/>
              </w:rPr>
              <w:t>and</w:t>
            </w:r>
            <w:r w:rsidRPr="005B5418">
              <w:rPr>
                <w:lang w:val="pt-BR"/>
              </w:rPr>
              <w:t xml:space="preserve"> 20)</w:t>
            </w:r>
          </w:p>
        </w:tc>
        <w:tc>
          <w:tcPr>
            <w:tcW w:w="965" w:type="dxa"/>
          </w:tcPr>
          <w:p w14:paraId="31E0A8B7" w14:textId="77777777" w:rsidR="006C5478" w:rsidRPr="005B5418" w:rsidRDefault="006C5478" w:rsidP="003B61E9">
            <w:pPr>
              <w:pStyle w:val="Table-Cell-CenterBoldBefore6ptAfter6pt"/>
            </w:pPr>
          </w:p>
        </w:tc>
        <w:tc>
          <w:tcPr>
            <w:tcW w:w="3211" w:type="dxa"/>
          </w:tcPr>
          <w:p w14:paraId="12B5455E" w14:textId="77777777" w:rsidR="006C5478" w:rsidRPr="005B5418" w:rsidRDefault="006C5478" w:rsidP="003B61E9">
            <w:pPr>
              <w:spacing w:line="240" w:lineRule="auto"/>
            </w:pPr>
          </w:p>
        </w:tc>
      </w:tr>
      <w:tr w:rsidR="006C5478" w:rsidRPr="005B5418" w14:paraId="5F9BFE78" w14:textId="77777777" w:rsidTr="008848DA">
        <w:trPr>
          <w:trHeight w:val="1547"/>
        </w:trPr>
        <w:tc>
          <w:tcPr>
            <w:tcW w:w="5400" w:type="dxa"/>
          </w:tcPr>
          <w:p w14:paraId="70512752" w14:textId="7483E3F4" w:rsidR="006C5478" w:rsidRPr="005B5418" w:rsidRDefault="006C5478" w:rsidP="00825C76">
            <w:pPr>
              <w:pStyle w:val="FAM-Table-outline"/>
              <w:widowControl/>
              <w:numPr>
                <w:ilvl w:val="0"/>
                <w:numId w:val="64"/>
              </w:numPr>
              <w:adjustRightInd/>
              <w:spacing w:line="240" w:lineRule="auto"/>
              <w:textAlignment w:val="auto"/>
              <w:rPr>
                <w:lang w:val="pt-BR"/>
              </w:rPr>
            </w:pPr>
            <w:r w:rsidRPr="005B5418">
              <w:rPr>
                <w:lang w:val="pt-BR"/>
              </w:rPr>
              <w:t>Did the entity assess P3s against the suggestive risk characteristics (which are to be considered in the aggregate) to determine if they may possess risk of loss and require disclosure? (SFFAS 49, par</w:t>
            </w:r>
            <w:r w:rsidR="00E07628" w:rsidRPr="005B5418">
              <w:rPr>
                <w:lang w:val="pt-BR"/>
              </w:rPr>
              <w:t>as</w:t>
            </w:r>
            <w:r w:rsidRPr="005B5418">
              <w:rPr>
                <w:lang w:val="pt-BR"/>
              </w:rPr>
              <w:t xml:space="preserve">. 14 </w:t>
            </w:r>
            <w:r w:rsidR="00345AD7" w:rsidRPr="005B5418">
              <w:rPr>
                <w:lang w:val="pt-BR"/>
              </w:rPr>
              <w:t>and</w:t>
            </w:r>
            <w:r w:rsidRPr="005B5418">
              <w:rPr>
                <w:lang w:val="pt-BR"/>
              </w:rPr>
              <w:t xml:space="preserve"> 21</w:t>
            </w:r>
            <w:r w:rsidR="00E61C92" w:rsidRPr="005B5418">
              <w:rPr>
                <w:lang w:val="pt-BR"/>
              </w:rPr>
              <w:t>)</w:t>
            </w:r>
          </w:p>
        </w:tc>
        <w:tc>
          <w:tcPr>
            <w:tcW w:w="965" w:type="dxa"/>
          </w:tcPr>
          <w:p w14:paraId="745E62EE" w14:textId="77777777" w:rsidR="006C5478" w:rsidRPr="005B5418" w:rsidRDefault="006C5478" w:rsidP="003B61E9">
            <w:pPr>
              <w:pStyle w:val="Table-Cell-CenterBoldBefore6ptAfter6pt"/>
            </w:pPr>
          </w:p>
        </w:tc>
        <w:tc>
          <w:tcPr>
            <w:tcW w:w="3211" w:type="dxa"/>
          </w:tcPr>
          <w:p w14:paraId="64064543" w14:textId="77777777" w:rsidR="006C5478" w:rsidRPr="005B5418" w:rsidRDefault="006C5478" w:rsidP="003B61E9">
            <w:pPr>
              <w:spacing w:line="240" w:lineRule="auto"/>
            </w:pPr>
          </w:p>
        </w:tc>
      </w:tr>
      <w:tr w:rsidR="004A7FD1" w:rsidRPr="005B5418" w14:paraId="30F82CE1" w14:textId="77777777" w:rsidTr="008848DA">
        <w:trPr>
          <w:trHeight w:val="1430"/>
        </w:trPr>
        <w:tc>
          <w:tcPr>
            <w:tcW w:w="5400" w:type="dxa"/>
          </w:tcPr>
          <w:p w14:paraId="7E7E2758" w14:textId="7A8713C3" w:rsidR="004A7FD1" w:rsidRPr="005B5418" w:rsidRDefault="004A7FD1" w:rsidP="004E0998">
            <w:pPr>
              <w:pStyle w:val="FAM-Table-outline"/>
              <w:widowControl/>
              <w:numPr>
                <w:ilvl w:val="0"/>
                <w:numId w:val="64"/>
              </w:numPr>
              <w:adjustRightInd/>
              <w:spacing w:line="240" w:lineRule="auto"/>
              <w:textAlignment w:val="auto"/>
              <w:rPr>
                <w:lang w:val="pt-BR"/>
              </w:rPr>
            </w:pPr>
            <w:r w:rsidRPr="005B5418">
              <w:rPr>
                <w:lang w:val="pt-BR"/>
              </w:rPr>
              <w:t xml:space="preserve">Did the entity </w:t>
            </w:r>
            <w:r w:rsidR="00E61C92" w:rsidRPr="005B5418">
              <w:rPr>
                <w:lang w:val="pt-BR"/>
              </w:rPr>
              <w:t xml:space="preserve">consider the magnitude of potential risk of loss </w:t>
            </w:r>
            <w:r w:rsidR="007D2190" w:rsidRPr="005B5418">
              <w:rPr>
                <w:lang w:val="pt-BR"/>
              </w:rPr>
              <w:t>in</w:t>
            </w:r>
            <w:r w:rsidR="00E61C92" w:rsidRPr="005B5418">
              <w:rPr>
                <w:lang w:val="pt-BR"/>
              </w:rPr>
              <w:t xml:space="preserve"> determin</w:t>
            </w:r>
            <w:r w:rsidR="007D2190" w:rsidRPr="005B5418">
              <w:rPr>
                <w:lang w:val="pt-BR"/>
              </w:rPr>
              <w:t>ing</w:t>
            </w:r>
            <w:r w:rsidR="00E61C92" w:rsidRPr="005B5418">
              <w:rPr>
                <w:lang w:val="pt-BR"/>
              </w:rPr>
              <w:t xml:space="preserve"> whether a </w:t>
            </w:r>
            <w:r w:rsidR="001058A7" w:rsidRPr="005B5418">
              <w:rPr>
                <w:lang w:val="pt-BR"/>
              </w:rPr>
              <w:t>P3</w:t>
            </w:r>
            <w:r w:rsidR="00E61C92" w:rsidRPr="005B5418">
              <w:rPr>
                <w:lang w:val="pt-BR"/>
              </w:rPr>
              <w:t xml:space="preserve"> is material to its financial statements? (A-136, section II.3.8.</w:t>
            </w:r>
            <w:r w:rsidR="004E0998" w:rsidRPr="005B5418">
              <w:rPr>
                <w:lang w:val="pt-BR"/>
              </w:rPr>
              <w:t>32</w:t>
            </w:r>
            <w:r w:rsidR="00E61C92" w:rsidRPr="005B5418">
              <w:rPr>
                <w:lang w:val="pt-BR"/>
              </w:rPr>
              <w:t>)</w:t>
            </w:r>
          </w:p>
        </w:tc>
        <w:tc>
          <w:tcPr>
            <w:tcW w:w="965" w:type="dxa"/>
          </w:tcPr>
          <w:p w14:paraId="48B84E6F" w14:textId="77777777" w:rsidR="004A7FD1" w:rsidRPr="005B5418" w:rsidRDefault="004A7FD1" w:rsidP="003B61E9">
            <w:pPr>
              <w:pStyle w:val="Table-Cell-CenterBoldBefore6ptAfter6pt"/>
            </w:pPr>
          </w:p>
        </w:tc>
        <w:tc>
          <w:tcPr>
            <w:tcW w:w="3211" w:type="dxa"/>
          </w:tcPr>
          <w:p w14:paraId="61A5CEB7" w14:textId="77777777" w:rsidR="004A7FD1" w:rsidRPr="005B5418" w:rsidRDefault="004A7FD1" w:rsidP="003B61E9">
            <w:pPr>
              <w:spacing w:line="240" w:lineRule="auto"/>
            </w:pPr>
          </w:p>
        </w:tc>
      </w:tr>
      <w:tr w:rsidR="00702BC9" w:rsidRPr="005B5418" w14:paraId="3571A205" w14:textId="77777777" w:rsidTr="008848DA">
        <w:trPr>
          <w:trHeight w:val="530"/>
        </w:trPr>
        <w:tc>
          <w:tcPr>
            <w:tcW w:w="5400" w:type="dxa"/>
          </w:tcPr>
          <w:p w14:paraId="6A5DE03B" w14:textId="01E02172" w:rsidR="00702BC9" w:rsidRPr="005B5418" w:rsidRDefault="00702BC9" w:rsidP="008848DA">
            <w:pPr>
              <w:pStyle w:val="FAM-Table-outline"/>
              <w:widowControl/>
              <w:numPr>
                <w:ilvl w:val="0"/>
                <w:numId w:val="0"/>
              </w:numPr>
              <w:adjustRightInd/>
              <w:spacing w:line="240" w:lineRule="auto"/>
              <w:ind w:left="576" w:hanging="576"/>
              <w:textAlignment w:val="auto"/>
              <w:rPr>
                <w:lang w:val="pt-BR"/>
              </w:rPr>
            </w:pPr>
            <w:r w:rsidRPr="005B5418">
              <w:rPr>
                <w:b/>
              </w:rPr>
              <w:t>Disclosure</w:t>
            </w:r>
          </w:p>
        </w:tc>
        <w:tc>
          <w:tcPr>
            <w:tcW w:w="965" w:type="dxa"/>
          </w:tcPr>
          <w:p w14:paraId="2E702BE0" w14:textId="77777777" w:rsidR="00702BC9" w:rsidRPr="005B5418" w:rsidRDefault="00702BC9" w:rsidP="003B61E9">
            <w:pPr>
              <w:pStyle w:val="Table-Cell-CenterBoldBefore6ptAfter6pt"/>
            </w:pPr>
          </w:p>
        </w:tc>
        <w:tc>
          <w:tcPr>
            <w:tcW w:w="3211" w:type="dxa"/>
          </w:tcPr>
          <w:p w14:paraId="204FEE31" w14:textId="77777777" w:rsidR="00702BC9" w:rsidRPr="005B5418" w:rsidRDefault="00702BC9" w:rsidP="003B61E9">
            <w:pPr>
              <w:spacing w:line="240" w:lineRule="auto"/>
            </w:pPr>
          </w:p>
        </w:tc>
      </w:tr>
      <w:tr w:rsidR="006C5478" w:rsidRPr="005B5418" w14:paraId="60B3E50E" w14:textId="77777777" w:rsidTr="008848DA">
        <w:trPr>
          <w:trHeight w:val="2160"/>
        </w:trPr>
        <w:tc>
          <w:tcPr>
            <w:tcW w:w="5400" w:type="dxa"/>
          </w:tcPr>
          <w:p w14:paraId="299D1604" w14:textId="5FEC06EB" w:rsidR="006C5478" w:rsidRPr="005B5418" w:rsidRDefault="006C5478" w:rsidP="00825C76">
            <w:pPr>
              <w:pStyle w:val="FAM-Table-outline"/>
              <w:widowControl/>
              <w:numPr>
                <w:ilvl w:val="0"/>
                <w:numId w:val="64"/>
              </w:numPr>
              <w:adjustRightInd/>
              <w:spacing w:line="240" w:lineRule="auto"/>
              <w:textAlignment w:val="auto"/>
              <w:rPr>
                <w:lang w:val="pt-BR"/>
              </w:rPr>
            </w:pPr>
            <w:r w:rsidRPr="005B5418">
              <w:rPr>
                <w:lang w:val="pt-BR"/>
              </w:rPr>
              <w:t>If disclosure is required, based upon the assessment of conclusive risk characteristics and suggestive risk characteristics,</w:t>
            </w:r>
            <w:r w:rsidRPr="005B5418" w:rsidDel="00F54EC6">
              <w:rPr>
                <w:lang w:val="pt-BR"/>
              </w:rPr>
              <w:t xml:space="preserve"> </w:t>
            </w:r>
            <w:r w:rsidRPr="005B5418">
              <w:rPr>
                <w:lang w:val="pt-BR"/>
              </w:rPr>
              <w:t>did the note disclosures</w:t>
            </w:r>
          </w:p>
          <w:p w14:paraId="0A625832" w14:textId="6F377F5A" w:rsidR="006C5478" w:rsidRPr="005B5418" w:rsidRDefault="006C5478" w:rsidP="005425ED">
            <w:pPr>
              <w:pStyle w:val="FAM-Table-outline2"/>
              <w:numPr>
                <w:ilvl w:val="1"/>
                <w:numId w:val="65"/>
              </w:numPr>
              <w:spacing w:line="240" w:lineRule="auto"/>
              <w:ind w:left="1140" w:hanging="443"/>
            </w:pPr>
            <w:r w:rsidRPr="005B5418">
              <w:t>generally accompany the related asset and/or liability contained in the financial statements and</w:t>
            </w:r>
          </w:p>
          <w:p w14:paraId="79DE273D" w14:textId="062B79BF" w:rsidR="006C5478" w:rsidRPr="005B5418" w:rsidRDefault="006C5478" w:rsidP="005425ED">
            <w:pPr>
              <w:pStyle w:val="FAM-Table-outline2"/>
              <w:numPr>
                <w:ilvl w:val="1"/>
                <w:numId w:val="65"/>
              </w:numPr>
              <w:spacing w:line="240" w:lineRule="auto"/>
              <w:ind w:left="1140" w:hanging="443"/>
              <w:rPr>
                <w:lang w:val="pt-BR"/>
              </w:rPr>
            </w:pPr>
            <w:r w:rsidRPr="005B5418">
              <w:t>present information in an integrated manner so that the</w:t>
            </w:r>
            <w:r w:rsidR="005A4B78" w:rsidRPr="005B5418">
              <w:t xml:space="preserve"> notes</w:t>
            </w:r>
            <w:r w:rsidRPr="005B5418">
              <w:t xml:space="preserve"> are concise, meaningful, transparent, and not</w:t>
            </w:r>
            <w:r w:rsidR="00E61C92" w:rsidRPr="005B5418">
              <w:t xml:space="preserve"> repetitive?</w:t>
            </w:r>
            <w:r w:rsidR="00E61C92" w:rsidRPr="005425ED">
              <w:t xml:space="preserve"> (SFFAS 49, par</w:t>
            </w:r>
            <w:r w:rsidR="005A4B78" w:rsidRPr="005425ED">
              <w:t>a</w:t>
            </w:r>
            <w:r w:rsidR="00E61C92" w:rsidRPr="005425ED">
              <w:t>. 23</w:t>
            </w:r>
            <w:r w:rsidRPr="005425ED">
              <w:t>)</w:t>
            </w:r>
          </w:p>
        </w:tc>
        <w:tc>
          <w:tcPr>
            <w:tcW w:w="965" w:type="dxa"/>
          </w:tcPr>
          <w:p w14:paraId="5A944E63" w14:textId="77777777" w:rsidR="006C5478" w:rsidRPr="005B5418" w:rsidRDefault="006C5478" w:rsidP="003B61E9">
            <w:pPr>
              <w:pStyle w:val="Table-Cell-CenterBoldBefore6ptAfter6pt"/>
            </w:pPr>
          </w:p>
        </w:tc>
        <w:tc>
          <w:tcPr>
            <w:tcW w:w="3211" w:type="dxa"/>
          </w:tcPr>
          <w:p w14:paraId="0690164B" w14:textId="77777777" w:rsidR="006C5478" w:rsidRPr="005B5418" w:rsidRDefault="006C5478" w:rsidP="003B61E9">
            <w:pPr>
              <w:spacing w:line="240" w:lineRule="auto"/>
            </w:pPr>
          </w:p>
        </w:tc>
      </w:tr>
      <w:tr w:rsidR="006C5478" w:rsidRPr="005B5418" w14:paraId="2CDA1C22" w14:textId="77777777" w:rsidTr="008848DA">
        <w:trPr>
          <w:trHeight w:val="1313"/>
        </w:trPr>
        <w:tc>
          <w:tcPr>
            <w:tcW w:w="5400" w:type="dxa"/>
          </w:tcPr>
          <w:p w14:paraId="7067318F" w14:textId="05A11C03" w:rsidR="006C5478" w:rsidRPr="005B5418" w:rsidRDefault="006C5478" w:rsidP="00825C76">
            <w:pPr>
              <w:pStyle w:val="FAM-Table-outline"/>
              <w:widowControl/>
              <w:numPr>
                <w:ilvl w:val="0"/>
                <w:numId w:val="64"/>
              </w:numPr>
              <w:adjustRightInd/>
              <w:spacing w:line="240" w:lineRule="auto"/>
              <w:textAlignment w:val="auto"/>
              <w:rPr>
                <w:lang w:val="pt-BR"/>
              </w:rPr>
            </w:pPr>
            <w:r w:rsidRPr="005B5418">
              <w:rPr>
                <w:lang w:val="pt-BR"/>
              </w:rPr>
              <w:t>Did the note disclosure include the initial period and all annual periods thereafter where an entity is a party to</w:t>
            </w:r>
            <w:r w:rsidR="002F008F" w:rsidRPr="005B5418">
              <w:rPr>
                <w:lang w:val="pt-BR"/>
              </w:rPr>
              <w:t xml:space="preserve"> the</w:t>
            </w:r>
            <w:r w:rsidRPr="005B5418">
              <w:rPr>
                <w:lang w:val="pt-BR"/>
              </w:rPr>
              <w:t xml:space="preserve"> P3 arrangement/</w:t>
            </w:r>
            <w:r w:rsidR="00E61C92" w:rsidRPr="005B5418">
              <w:rPr>
                <w:lang w:val="pt-BR"/>
              </w:rPr>
              <w:t>transaction? (SFFAS 49, par</w:t>
            </w:r>
            <w:r w:rsidR="005A4B78" w:rsidRPr="005B5418">
              <w:rPr>
                <w:lang w:val="pt-BR"/>
              </w:rPr>
              <w:t>a</w:t>
            </w:r>
            <w:r w:rsidR="00E61C92" w:rsidRPr="005B5418">
              <w:rPr>
                <w:lang w:val="pt-BR"/>
              </w:rPr>
              <w:t>. 24</w:t>
            </w:r>
            <w:r w:rsidRPr="005B5418">
              <w:rPr>
                <w:lang w:val="pt-BR"/>
              </w:rPr>
              <w:t>)</w:t>
            </w:r>
          </w:p>
        </w:tc>
        <w:tc>
          <w:tcPr>
            <w:tcW w:w="965" w:type="dxa"/>
          </w:tcPr>
          <w:p w14:paraId="41E5353B" w14:textId="77777777" w:rsidR="006C5478" w:rsidRPr="005B5418" w:rsidRDefault="006C5478" w:rsidP="003B61E9">
            <w:pPr>
              <w:pStyle w:val="Table-Cell-CenterBoldBefore6ptAfter6pt"/>
            </w:pPr>
          </w:p>
        </w:tc>
        <w:tc>
          <w:tcPr>
            <w:tcW w:w="3211" w:type="dxa"/>
          </w:tcPr>
          <w:p w14:paraId="1138030F" w14:textId="77777777" w:rsidR="006C5478" w:rsidRPr="005B5418" w:rsidRDefault="006C5478" w:rsidP="003B61E9">
            <w:pPr>
              <w:spacing w:line="240" w:lineRule="auto"/>
            </w:pPr>
          </w:p>
        </w:tc>
      </w:tr>
      <w:tr w:rsidR="006C5478" w:rsidRPr="005B5418" w14:paraId="58D118F1" w14:textId="77777777" w:rsidTr="008848DA">
        <w:trPr>
          <w:trHeight w:val="611"/>
        </w:trPr>
        <w:tc>
          <w:tcPr>
            <w:tcW w:w="5400" w:type="dxa"/>
          </w:tcPr>
          <w:p w14:paraId="46761B58" w14:textId="77777777" w:rsidR="006C5478" w:rsidRPr="005B5418" w:rsidRDefault="006C5478" w:rsidP="00825C76">
            <w:pPr>
              <w:pStyle w:val="FAM-Table-outline"/>
              <w:widowControl/>
              <w:numPr>
                <w:ilvl w:val="0"/>
                <w:numId w:val="64"/>
              </w:numPr>
              <w:adjustRightInd/>
              <w:spacing w:line="240" w:lineRule="auto"/>
              <w:textAlignment w:val="auto"/>
              <w:rPr>
                <w:lang w:val="pt-BR"/>
              </w:rPr>
            </w:pPr>
            <w:r w:rsidRPr="005B5418">
              <w:rPr>
                <w:lang w:val="pt-BR"/>
              </w:rPr>
              <w:t>Did the note disclosure include</w:t>
            </w:r>
          </w:p>
          <w:p w14:paraId="3C03D463" w14:textId="77777777" w:rsidR="006C5478" w:rsidRPr="005B5418" w:rsidRDefault="006C5478" w:rsidP="005425ED">
            <w:pPr>
              <w:pStyle w:val="FAM-Table-outline2"/>
              <w:numPr>
                <w:ilvl w:val="1"/>
                <w:numId w:val="65"/>
              </w:numPr>
              <w:spacing w:line="240" w:lineRule="auto"/>
              <w:ind w:left="1140" w:hanging="443"/>
            </w:pPr>
            <w:r w:rsidRPr="005B5418">
              <w:t>the purpose, objective, and rationale for the P3 arrangement or transaction;</w:t>
            </w:r>
          </w:p>
          <w:p w14:paraId="79F7B680" w14:textId="46AC55A3" w:rsidR="006C5478" w:rsidRPr="005B5418" w:rsidRDefault="006C5478" w:rsidP="005425ED">
            <w:pPr>
              <w:pStyle w:val="FAM-Table-outline2"/>
              <w:numPr>
                <w:ilvl w:val="1"/>
                <w:numId w:val="65"/>
              </w:numPr>
              <w:spacing w:line="240" w:lineRule="auto"/>
              <w:ind w:left="1140" w:hanging="443"/>
            </w:pPr>
            <w:r w:rsidRPr="005B5418">
              <w:t xml:space="preserve">the relative benefits/revenues being </w:t>
            </w:r>
            <w:r w:rsidRPr="005B5418">
              <w:lastRenderedPageBreak/>
              <w:t>received in exchange for the government’s consideration</w:t>
            </w:r>
            <w:r w:rsidR="004706F6" w:rsidRPr="005B5418">
              <w:t xml:space="preserve">, </w:t>
            </w:r>
            <w:r w:rsidRPr="005B5418">
              <w:t>monetary and non-monetary; and</w:t>
            </w:r>
          </w:p>
          <w:p w14:paraId="2F2132DA" w14:textId="3D75976C" w:rsidR="006C5478" w:rsidRPr="005B5418" w:rsidRDefault="00345AD7" w:rsidP="005425ED">
            <w:pPr>
              <w:pStyle w:val="FAM-Table-outline2"/>
              <w:numPr>
                <w:ilvl w:val="1"/>
                <w:numId w:val="65"/>
              </w:numPr>
              <w:spacing w:line="240" w:lineRule="auto"/>
              <w:ind w:left="1140" w:hanging="443"/>
              <w:rPr>
                <w:lang w:val="pt-BR"/>
              </w:rPr>
            </w:pPr>
            <w:r w:rsidRPr="005B5418">
              <w:t xml:space="preserve">the </w:t>
            </w:r>
            <w:r w:rsidR="006C5478" w:rsidRPr="005B5418">
              <w:t>entity’s statutory authority for entering into the P3?</w:t>
            </w:r>
            <w:r w:rsidR="006C5478" w:rsidRPr="005425ED">
              <w:t xml:space="preserve"> (SF</w:t>
            </w:r>
            <w:r w:rsidR="00026ED6" w:rsidRPr="005425ED">
              <w:t>FAS 49, par</w:t>
            </w:r>
            <w:r w:rsidR="004706F6" w:rsidRPr="005425ED">
              <w:t>a</w:t>
            </w:r>
            <w:r w:rsidR="00026ED6" w:rsidRPr="005425ED">
              <w:t>. 24(a)</w:t>
            </w:r>
            <w:r w:rsidR="006C5478" w:rsidRPr="005425ED">
              <w:t>)</w:t>
            </w:r>
          </w:p>
        </w:tc>
        <w:tc>
          <w:tcPr>
            <w:tcW w:w="965" w:type="dxa"/>
          </w:tcPr>
          <w:p w14:paraId="27A8B3D5" w14:textId="77777777" w:rsidR="006C5478" w:rsidRPr="005B5418" w:rsidRDefault="006C5478" w:rsidP="003B61E9">
            <w:pPr>
              <w:pStyle w:val="Table-Cell-CenterBoldBefore6ptAfter6pt"/>
            </w:pPr>
          </w:p>
        </w:tc>
        <w:tc>
          <w:tcPr>
            <w:tcW w:w="3211" w:type="dxa"/>
          </w:tcPr>
          <w:p w14:paraId="0E07B5AB" w14:textId="77777777" w:rsidR="006C5478" w:rsidRPr="005B5418" w:rsidRDefault="006C5478" w:rsidP="003B61E9">
            <w:pPr>
              <w:spacing w:line="240" w:lineRule="auto"/>
            </w:pPr>
          </w:p>
        </w:tc>
      </w:tr>
      <w:tr w:rsidR="006C5478" w:rsidRPr="005B5418" w14:paraId="7A607A02" w14:textId="77777777" w:rsidTr="005425ED">
        <w:trPr>
          <w:trHeight w:val="1430"/>
        </w:trPr>
        <w:tc>
          <w:tcPr>
            <w:tcW w:w="5400" w:type="dxa"/>
          </w:tcPr>
          <w:p w14:paraId="68B6BBC0" w14:textId="29312B6F" w:rsidR="006C5478" w:rsidRPr="005B5418" w:rsidRDefault="006C5478" w:rsidP="00825C76">
            <w:pPr>
              <w:pStyle w:val="FAM-Table-outline"/>
              <w:widowControl/>
              <w:numPr>
                <w:ilvl w:val="0"/>
                <w:numId w:val="64"/>
              </w:numPr>
              <w:adjustRightInd/>
              <w:spacing w:line="240" w:lineRule="auto"/>
              <w:textAlignment w:val="auto"/>
              <w:rPr>
                <w:lang w:val="pt-BR"/>
              </w:rPr>
            </w:pPr>
            <w:r w:rsidRPr="005B5418">
              <w:rPr>
                <w:lang w:val="pt-BR"/>
              </w:rPr>
              <w:t>Did the note disclosure include a description of federal and non-federal funding for the P3 over its expected life</w:t>
            </w:r>
            <w:r w:rsidR="00FC55C5" w:rsidRPr="005B5418">
              <w:rPr>
                <w:lang w:val="pt-BR"/>
              </w:rPr>
              <w:t>,</w:t>
            </w:r>
            <w:r w:rsidRPr="005B5418">
              <w:rPr>
                <w:lang w:val="pt-BR"/>
              </w:rPr>
              <w:t xml:space="preserve"> including the </w:t>
            </w:r>
            <w:r w:rsidR="007E1321" w:rsidRPr="005B5418">
              <w:rPr>
                <w:lang w:val="pt-BR"/>
              </w:rPr>
              <w:t xml:space="preserve">estimated </w:t>
            </w:r>
            <w:r w:rsidRPr="005B5418">
              <w:rPr>
                <w:lang w:val="pt-BR"/>
              </w:rPr>
              <w:t xml:space="preserve">mix </w:t>
            </w:r>
            <w:r w:rsidR="003331C9" w:rsidRPr="005B5418">
              <w:rPr>
                <w:lang w:val="pt-BR"/>
              </w:rPr>
              <w:t xml:space="preserve">of federal and non-federal funding, </w:t>
            </w:r>
            <w:r w:rsidRPr="005B5418">
              <w:rPr>
                <w:lang w:val="pt-BR"/>
              </w:rPr>
              <w:t>and</w:t>
            </w:r>
            <w:r w:rsidR="003331C9" w:rsidRPr="005B5418">
              <w:rPr>
                <w:lang w:val="pt-BR"/>
              </w:rPr>
              <w:t xml:space="preserve"> the estimated</w:t>
            </w:r>
            <w:r w:rsidRPr="005B5418">
              <w:rPr>
                <w:lang w:val="pt-BR"/>
              </w:rPr>
              <w:t xml:space="preserve"> amounts of such funding? </w:t>
            </w:r>
            <w:r w:rsidR="00026ED6" w:rsidRPr="005B5418">
              <w:rPr>
                <w:lang w:val="pt-BR"/>
              </w:rPr>
              <w:t>(SFFAS 49, par</w:t>
            </w:r>
            <w:r w:rsidR="00FC55C5" w:rsidRPr="005B5418">
              <w:rPr>
                <w:lang w:val="pt-BR"/>
              </w:rPr>
              <w:t>a</w:t>
            </w:r>
            <w:r w:rsidR="00026ED6" w:rsidRPr="005B5418">
              <w:rPr>
                <w:lang w:val="pt-BR"/>
              </w:rPr>
              <w:t>. 24(b)</w:t>
            </w:r>
            <w:r w:rsidRPr="005B5418">
              <w:rPr>
                <w:lang w:val="pt-BR"/>
              </w:rPr>
              <w:t>)</w:t>
            </w:r>
          </w:p>
        </w:tc>
        <w:tc>
          <w:tcPr>
            <w:tcW w:w="965" w:type="dxa"/>
          </w:tcPr>
          <w:p w14:paraId="454DABA9" w14:textId="77777777" w:rsidR="006C5478" w:rsidRPr="005B5418" w:rsidRDefault="006C5478" w:rsidP="003B61E9">
            <w:pPr>
              <w:pStyle w:val="Table-Cell-CenterBoldBefore6ptAfter6pt"/>
            </w:pPr>
          </w:p>
        </w:tc>
        <w:tc>
          <w:tcPr>
            <w:tcW w:w="3211" w:type="dxa"/>
          </w:tcPr>
          <w:p w14:paraId="4FBF5659" w14:textId="77777777" w:rsidR="006C5478" w:rsidRPr="005B5418" w:rsidRDefault="006C5478" w:rsidP="003B61E9">
            <w:pPr>
              <w:spacing w:line="240" w:lineRule="auto"/>
            </w:pPr>
          </w:p>
        </w:tc>
      </w:tr>
      <w:tr w:rsidR="006C5478" w:rsidRPr="005B5418" w14:paraId="3F2493DE" w14:textId="77777777" w:rsidTr="008848DA">
        <w:trPr>
          <w:trHeight w:val="2160"/>
        </w:trPr>
        <w:tc>
          <w:tcPr>
            <w:tcW w:w="5400" w:type="dxa"/>
          </w:tcPr>
          <w:p w14:paraId="62358B39" w14:textId="030CA7A4" w:rsidR="006C5478" w:rsidRPr="005B5418" w:rsidRDefault="006C5478" w:rsidP="00825C76">
            <w:pPr>
              <w:pStyle w:val="FAM-Table-outline"/>
              <w:widowControl/>
              <w:numPr>
                <w:ilvl w:val="0"/>
                <w:numId w:val="64"/>
              </w:numPr>
              <w:adjustRightInd/>
              <w:spacing w:line="240" w:lineRule="auto"/>
              <w:textAlignment w:val="auto"/>
              <w:rPr>
                <w:lang w:val="pt-BR"/>
              </w:rPr>
            </w:pPr>
            <w:r w:rsidRPr="005B5418">
              <w:rPr>
                <w:lang w:val="pt-BR"/>
              </w:rPr>
              <w:t>Did the note disclosure include the operational and financial structure of the P3, including the entity’s rights and responsibilities, including</w:t>
            </w:r>
            <w:r w:rsidR="00FC55C5" w:rsidRPr="005B5418">
              <w:rPr>
                <w:lang w:val="pt-BR"/>
              </w:rPr>
              <w:t xml:space="preserve"> the following?</w:t>
            </w:r>
          </w:p>
          <w:p w14:paraId="3B2AE425" w14:textId="2FB00F54" w:rsidR="006C5478" w:rsidRPr="005B5418" w:rsidRDefault="00FC55C5" w:rsidP="005425ED">
            <w:pPr>
              <w:pStyle w:val="FAM-Table-outline2"/>
              <w:numPr>
                <w:ilvl w:val="1"/>
                <w:numId w:val="65"/>
              </w:numPr>
              <w:spacing w:line="240" w:lineRule="auto"/>
              <w:ind w:left="1140" w:hanging="443"/>
            </w:pPr>
            <w:r w:rsidRPr="005B5418">
              <w:t>A</w:t>
            </w:r>
            <w:r w:rsidR="006C5478" w:rsidRPr="005B5418">
              <w:t xml:space="preserve"> description of the contractual terms governing payments to and from the government over the expected life of the P3 arrangement or transaction</w:t>
            </w:r>
            <w:r w:rsidRPr="005B5418">
              <w:t>,</w:t>
            </w:r>
            <w:r w:rsidR="006C5478" w:rsidRPr="005B5418">
              <w:t xml:space="preserve"> includ</w:t>
            </w:r>
            <w:r w:rsidRPr="005B5418">
              <w:t>ing</w:t>
            </w:r>
          </w:p>
          <w:p w14:paraId="777F427E" w14:textId="77777777" w:rsidR="006C5478" w:rsidRPr="005425ED" w:rsidRDefault="006C5478" w:rsidP="005425ED">
            <w:pPr>
              <w:pStyle w:val="FAM-Table-outline3"/>
              <w:widowControl/>
              <w:numPr>
                <w:ilvl w:val="2"/>
                <w:numId w:val="65"/>
              </w:numPr>
              <w:adjustRightInd/>
              <w:spacing w:before="60" w:after="60" w:line="240" w:lineRule="auto"/>
              <w:ind w:left="1410" w:hanging="432"/>
              <w:textAlignment w:val="auto"/>
              <w:rPr>
                <w:sz w:val="22"/>
              </w:rPr>
            </w:pPr>
            <w:r w:rsidRPr="005425ED">
              <w:rPr>
                <w:sz w:val="22"/>
              </w:rPr>
              <w:t>explanation of how the expected life was determined;</w:t>
            </w:r>
          </w:p>
          <w:p w14:paraId="6826E0EB" w14:textId="77777777" w:rsidR="006C5478" w:rsidRPr="005425ED" w:rsidRDefault="006C5478" w:rsidP="005425ED">
            <w:pPr>
              <w:pStyle w:val="FAM-Table-outline3"/>
              <w:widowControl/>
              <w:numPr>
                <w:ilvl w:val="2"/>
                <w:numId w:val="65"/>
              </w:numPr>
              <w:adjustRightInd/>
              <w:spacing w:before="60" w:after="60" w:line="240" w:lineRule="auto"/>
              <w:ind w:left="1410" w:hanging="432"/>
              <w:textAlignment w:val="auto"/>
              <w:rPr>
                <w:sz w:val="22"/>
              </w:rPr>
            </w:pPr>
            <w:r w:rsidRPr="005425ED">
              <w:rPr>
                <w:sz w:val="22"/>
              </w:rPr>
              <w:t>the time periods payments are expected to occur;</w:t>
            </w:r>
          </w:p>
          <w:p w14:paraId="368F8F08" w14:textId="406AE1D6" w:rsidR="006C5478" w:rsidRPr="005425ED" w:rsidRDefault="006C5478" w:rsidP="005425ED">
            <w:pPr>
              <w:pStyle w:val="FAM-Table-outline3"/>
              <w:widowControl/>
              <w:numPr>
                <w:ilvl w:val="2"/>
                <w:numId w:val="65"/>
              </w:numPr>
              <w:adjustRightInd/>
              <w:spacing w:before="60" w:after="60" w:line="240" w:lineRule="auto"/>
              <w:ind w:left="1410" w:hanging="432"/>
              <w:textAlignment w:val="auto"/>
              <w:rPr>
                <w:sz w:val="22"/>
              </w:rPr>
            </w:pPr>
            <w:r w:rsidRPr="005425ED">
              <w:rPr>
                <w:sz w:val="22"/>
              </w:rPr>
              <w:t>whether payments are made directly to each partner or indirectly through a thir</w:t>
            </w:r>
            <w:r w:rsidR="00143AFC" w:rsidRPr="005425ED">
              <w:rPr>
                <w:sz w:val="22"/>
              </w:rPr>
              <w:t>d</w:t>
            </w:r>
            <w:r w:rsidRPr="005425ED">
              <w:rPr>
                <w:sz w:val="22"/>
              </w:rPr>
              <w:t>-party, such as military housing allowances; and</w:t>
            </w:r>
          </w:p>
          <w:p w14:paraId="3C6F02D1" w14:textId="4B2A6DCA" w:rsidR="006C5478" w:rsidRPr="005425ED" w:rsidRDefault="006C5478" w:rsidP="005425ED">
            <w:pPr>
              <w:pStyle w:val="FAM-Table-outline3"/>
              <w:widowControl/>
              <w:numPr>
                <w:ilvl w:val="2"/>
                <w:numId w:val="65"/>
              </w:numPr>
              <w:adjustRightInd/>
              <w:spacing w:before="60" w:after="60" w:line="240" w:lineRule="auto"/>
              <w:ind w:left="1410" w:hanging="432"/>
              <w:textAlignment w:val="auto"/>
              <w:rPr>
                <w:sz w:val="22"/>
              </w:rPr>
            </w:pPr>
            <w:r w:rsidRPr="005425ED">
              <w:rPr>
                <w:sz w:val="22"/>
              </w:rPr>
              <w:t>in-kind contributions/services and donations</w:t>
            </w:r>
            <w:r w:rsidR="00FC55C5" w:rsidRPr="005425ED">
              <w:rPr>
                <w:sz w:val="22"/>
              </w:rPr>
              <w:t>.</w:t>
            </w:r>
          </w:p>
          <w:p w14:paraId="09CBEEC3" w14:textId="13DD5DFB" w:rsidR="006C5478" w:rsidRPr="005B5418" w:rsidRDefault="00FC55C5" w:rsidP="005425ED">
            <w:pPr>
              <w:pStyle w:val="FAM-Table-outline2"/>
              <w:numPr>
                <w:ilvl w:val="1"/>
                <w:numId w:val="65"/>
              </w:numPr>
              <w:spacing w:line="240" w:lineRule="auto"/>
              <w:ind w:left="1140" w:hanging="443"/>
            </w:pPr>
            <w:r w:rsidRPr="005B5418">
              <w:t xml:space="preserve">The </w:t>
            </w:r>
            <w:r w:rsidR="006C5478" w:rsidRPr="005B5418">
              <w:t>amounts received and paid by the government during the reporting period(s)</w:t>
            </w:r>
            <w:r w:rsidRPr="005B5418">
              <w:t>.</w:t>
            </w:r>
            <w:r w:rsidR="006C5478" w:rsidRPr="005B5418">
              <w:t xml:space="preserve"> </w:t>
            </w:r>
          </w:p>
          <w:p w14:paraId="6F93525A" w14:textId="6D1D301B" w:rsidR="006C5478" w:rsidRPr="005B5418" w:rsidRDefault="00FC55C5" w:rsidP="005425ED">
            <w:pPr>
              <w:pStyle w:val="FAM-Table-outline2"/>
              <w:numPr>
                <w:ilvl w:val="1"/>
                <w:numId w:val="65"/>
              </w:numPr>
              <w:spacing w:line="240" w:lineRule="auto"/>
              <w:ind w:left="1140" w:hanging="443"/>
              <w:rPr>
                <w:lang w:val="pt-BR"/>
              </w:rPr>
            </w:pPr>
            <w:r w:rsidRPr="005B5418">
              <w:t>T</w:t>
            </w:r>
            <w:r w:rsidR="006C5478" w:rsidRPr="005B5418">
              <w:t>he amounts estimated to be received and paid in aggregate over the expected life o</w:t>
            </w:r>
            <w:r w:rsidR="00F158FA" w:rsidRPr="005B5418">
              <w:t>f the P3</w:t>
            </w:r>
            <w:r w:rsidRPr="005B5418">
              <w:t>.</w:t>
            </w:r>
            <w:r w:rsidR="00F158FA" w:rsidRPr="005425ED">
              <w:t xml:space="preserve"> (SFFAS 49, par</w:t>
            </w:r>
            <w:r w:rsidRPr="005425ED">
              <w:t>a</w:t>
            </w:r>
            <w:r w:rsidR="00F158FA" w:rsidRPr="005425ED">
              <w:t>. 24(c)</w:t>
            </w:r>
            <w:r w:rsidR="006C5478" w:rsidRPr="005425ED">
              <w:t>)</w:t>
            </w:r>
          </w:p>
        </w:tc>
        <w:tc>
          <w:tcPr>
            <w:tcW w:w="965" w:type="dxa"/>
          </w:tcPr>
          <w:p w14:paraId="01CB4AA6" w14:textId="77777777" w:rsidR="006C5478" w:rsidRPr="005B5418" w:rsidRDefault="006C5478" w:rsidP="003B61E9">
            <w:pPr>
              <w:pStyle w:val="Table-Cell-CenterBoldBefore6ptAfter6pt"/>
            </w:pPr>
          </w:p>
        </w:tc>
        <w:tc>
          <w:tcPr>
            <w:tcW w:w="3211" w:type="dxa"/>
          </w:tcPr>
          <w:p w14:paraId="6EFB70D5" w14:textId="77777777" w:rsidR="006C5478" w:rsidRPr="005B5418" w:rsidRDefault="006C5478" w:rsidP="003B61E9">
            <w:pPr>
              <w:spacing w:line="240" w:lineRule="auto"/>
            </w:pPr>
          </w:p>
        </w:tc>
      </w:tr>
      <w:tr w:rsidR="006C5478" w:rsidRPr="005B5418" w14:paraId="4180197A" w14:textId="77777777" w:rsidTr="008848DA">
        <w:trPr>
          <w:trHeight w:val="377"/>
        </w:trPr>
        <w:tc>
          <w:tcPr>
            <w:tcW w:w="5400" w:type="dxa"/>
          </w:tcPr>
          <w:p w14:paraId="79497932" w14:textId="77777777" w:rsidR="006C5478" w:rsidRPr="005B5418" w:rsidRDefault="006C5478" w:rsidP="00825C76">
            <w:pPr>
              <w:pStyle w:val="FAM-Table-outline"/>
              <w:widowControl/>
              <w:numPr>
                <w:ilvl w:val="0"/>
                <w:numId w:val="64"/>
              </w:numPr>
              <w:adjustRightInd/>
              <w:spacing w:line="240" w:lineRule="auto"/>
              <w:textAlignment w:val="auto"/>
              <w:rPr>
                <w:lang w:val="pt-BR"/>
              </w:rPr>
            </w:pPr>
            <w:r w:rsidRPr="005B5418">
              <w:rPr>
                <w:lang w:val="pt-BR"/>
              </w:rPr>
              <w:t>Did the note disclosure include</w:t>
            </w:r>
          </w:p>
          <w:p w14:paraId="12BB734B" w14:textId="6C0CBD29" w:rsidR="006C5478" w:rsidRPr="005B5418" w:rsidRDefault="006C5478" w:rsidP="005425ED">
            <w:pPr>
              <w:pStyle w:val="FAM-Table-outline2"/>
              <w:numPr>
                <w:ilvl w:val="1"/>
                <w:numId w:val="65"/>
              </w:numPr>
              <w:spacing w:line="240" w:lineRule="auto"/>
              <w:ind w:left="1140" w:hanging="443"/>
            </w:pPr>
            <w:r w:rsidRPr="005B5418">
              <w:t>identification of the contractual risks of loss the P3 partners are undertaking</w:t>
            </w:r>
            <w:r w:rsidR="00FC55C5" w:rsidRPr="005B5418">
              <w:t>,</w:t>
            </w:r>
            <w:r w:rsidRPr="005B5418">
              <w:t xml:space="preserve"> including a description of the contractual risk and the potential effect on cash flows if the risks were realized</w:t>
            </w:r>
            <w:r w:rsidR="00FC55C5" w:rsidRPr="005B5418">
              <w:t>,</w:t>
            </w:r>
            <w:r w:rsidRPr="005B5418">
              <w:t xml:space="preserve"> and</w:t>
            </w:r>
          </w:p>
          <w:p w14:paraId="3C42CF1A" w14:textId="5226C75A" w:rsidR="006C5478" w:rsidRPr="005B5418" w:rsidRDefault="006C5478" w:rsidP="005425ED">
            <w:pPr>
              <w:pStyle w:val="FAM-Table-outline2"/>
              <w:numPr>
                <w:ilvl w:val="1"/>
                <w:numId w:val="65"/>
              </w:numPr>
              <w:spacing w:line="240" w:lineRule="auto"/>
              <w:ind w:left="1140" w:hanging="443"/>
              <w:rPr>
                <w:lang w:val="pt-BR"/>
              </w:rPr>
            </w:pPr>
            <w:r w:rsidRPr="005B5418">
              <w:lastRenderedPageBreak/>
              <w:t>remote risks of loss limited to those included in the terms of the contractual P3 arrangements or transactions?</w:t>
            </w:r>
            <w:r w:rsidRPr="005425ED">
              <w:t xml:space="preserve"> If disclosed, </w:t>
            </w:r>
            <w:r w:rsidR="00BA4BEF" w:rsidRPr="005425ED">
              <w:t xml:space="preserve">is </w:t>
            </w:r>
            <w:r w:rsidRPr="005425ED">
              <w:t>an explanation included that avoids the misleading inference that there is more than a remote chance</w:t>
            </w:r>
            <w:r w:rsidR="00E36F9A" w:rsidRPr="005425ED">
              <w:t xml:space="preserve"> of loss? (SFFAS 49, par</w:t>
            </w:r>
            <w:r w:rsidR="004B22AB" w:rsidRPr="005425ED">
              <w:t>a</w:t>
            </w:r>
            <w:r w:rsidR="00E36F9A" w:rsidRPr="005425ED">
              <w:t>. 24(d)</w:t>
            </w:r>
            <w:r w:rsidRPr="005425ED">
              <w:t>)</w:t>
            </w:r>
            <w:r w:rsidRPr="005B5418">
              <w:rPr>
                <w:lang w:val="pt-BR"/>
              </w:rPr>
              <w:t xml:space="preserve"> </w:t>
            </w:r>
          </w:p>
        </w:tc>
        <w:tc>
          <w:tcPr>
            <w:tcW w:w="965" w:type="dxa"/>
          </w:tcPr>
          <w:p w14:paraId="6A0FDD87" w14:textId="77777777" w:rsidR="006C5478" w:rsidRPr="005B5418" w:rsidRDefault="006C5478" w:rsidP="003B61E9">
            <w:pPr>
              <w:pStyle w:val="Table-Cell-CenterBoldBefore6ptAfter6pt"/>
            </w:pPr>
          </w:p>
        </w:tc>
        <w:tc>
          <w:tcPr>
            <w:tcW w:w="3211" w:type="dxa"/>
          </w:tcPr>
          <w:p w14:paraId="7DB27003" w14:textId="77777777" w:rsidR="006C5478" w:rsidRPr="005B5418" w:rsidRDefault="006C5478" w:rsidP="003B61E9">
            <w:pPr>
              <w:spacing w:line="240" w:lineRule="auto"/>
            </w:pPr>
          </w:p>
        </w:tc>
      </w:tr>
      <w:tr w:rsidR="006C5478" w:rsidRPr="005B5418" w14:paraId="1FF1A714" w14:textId="77777777" w:rsidTr="005425ED">
        <w:trPr>
          <w:trHeight w:val="4283"/>
        </w:trPr>
        <w:tc>
          <w:tcPr>
            <w:tcW w:w="5400" w:type="dxa"/>
          </w:tcPr>
          <w:p w14:paraId="6A5E36DB" w14:textId="77777777" w:rsidR="006C5478" w:rsidRPr="005B5418" w:rsidRDefault="006C5478" w:rsidP="00825C76">
            <w:pPr>
              <w:pStyle w:val="FAM-Table-outline"/>
              <w:widowControl/>
              <w:numPr>
                <w:ilvl w:val="0"/>
                <w:numId w:val="64"/>
              </w:numPr>
              <w:adjustRightInd/>
              <w:spacing w:line="240" w:lineRule="auto"/>
              <w:textAlignment w:val="auto"/>
              <w:rPr>
                <w:lang w:val="pt-BR"/>
              </w:rPr>
            </w:pPr>
            <w:r w:rsidRPr="005B5418">
              <w:rPr>
                <w:lang w:val="pt-BR"/>
              </w:rPr>
              <w:t>As applicable, did the note disclosure include</w:t>
            </w:r>
          </w:p>
          <w:p w14:paraId="3B6B7216" w14:textId="0E415E5F" w:rsidR="006C5478" w:rsidRPr="005B5418" w:rsidRDefault="006C5478" w:rsidP="005425ED">
            <w:pPr>
              <w:pStyle w:val="FAM-Table-outline2"/>
              <w:numPr>
                <w:ilvl w:val="1"/>
                <w:numId w:val="65"/>
              </w:numPr>
              <w:spacing w:line="240" w:lineRule="auto"/>
              <w:ind w:left="1140" w:hanging="443"/>
            </w:pPr>
            <w:r w:rsidRPr="005B5418">
              <w:t>associated amounts recognized in the financial statements</w:t>
            </w:r>
            <w:r w:rsidR="004559D6" w:rsidRPr="005B5418">
              <w:t>,</w:t>
            </w:r>
            <w:r w:rsidRPr="005B5418">
              <w:t xml:space="preserve"> such as gains or losses and capitalized items;</w:t>
            </w:r>
          </w:p>
          <w:p w14:paraId="24047981" w14:textId="475CCED3" w:rsidR="006C5478" w:rsidRPr="005B5418" w:rsidRDefault="006C5478" w:rsidP="005425ED">
            <w:pPr>
              <w:pStyle w:val="FAM-Table-outline2"/>
              <w:numPr>
                <w:ilvl w:val="1"/>
                <w:numId w:val="65"/>
              </w:numPr>
              <w:spacing w:line="240" w:lineRule="auto"/>
              <w:ind w:left="1140" w:hanging="443"/>
            </w:pPr>
            <w:r w:rsidRPr="005B5418">
              <w:t>significant instances of non-compliance with legal and contractual provisions governing the P3 arrangement/transaction;</w:t>
            </w:r>
          </w:p>
          <w:p w14:paraId="5AB61697" w14:textId="5F9E9D2D" w:rsidR="006C5478" w:rsidRPr="005B5418" w:rsidRDefault="006C5478" w:rsidP="005425ED">
            <w:pPr>
              <w:pStyle w:val="FAM-Table-outline2"/>
              <w:numPr>
                <w:ilvl w:val="1"/>
                <w:numId w:val="65"/>
              </w:numPr>
              <w:spacing w:line="240" w:lineRule="auto"/>
              <w:ind w:left="1140" w:hanging="443"/>
            </w:pPr>
            <w:r w:rsidRPr="005B5418">
              <w:t>whether the private partner(s), including any Special Purpose Vehicle, have borrowed or invested capital contingent upon the reporting entity’s promise to pay</w:t>
            </w:r>
            <w:r w:rsidR="004559D6" w:rsidRPr="005B5418">
              <w:t>,</w:t>
            </w:r>
            <w:r w:rsidRPr="005B5418">
              <w:t xml:space="preserve"> whether implied or explicit; and</w:t>
            </w:r>
          </w:p>
          <w:p w14:paraId="168D78B3" w14:textId="4CECCDF4" w:rsidR="006C5478" w:rsidRPr="005B5418" w:rsidRDefault="006C5478" w:rsidP="005425ED">
            <w:pPr>
              <w:pStyle w:val="FAM-Table-outline2"/>
              <w:numPr>
                <w:ilvl w:val="1"/>
                <w:numId w:val="65"/>
              </w:numPr>
              <w:spacing w:line="240" w:lineRule="auto"/>
              <w:ind w:left="1140" w:hanging="443"/>
              <w:rPr>
                <w:lang w:val="pt-BR"/>
              </w:rPr>
            </w:pPr>
            <w:r w:rsidRPr="005B5418">
              <w:t xml:space="preserve">description of events of termination or </w:t>
            </w:r>
            <w:r w:rsidR="00E36F9A" w:rsidRPr="005B5418">
              <w:t>default?</w:t>
            </w:r>
            <w:r w:rsidR="00E36F9A" w:rsidRPr="005425ED">
              <w:t xml:space="preserve"> (SFFAS 49, par</w:t>
            </w:r>
            <w:r w:rsidR="004559D6" w:rsidRPr="005425ED">
              <w:t>a</w:t>
            </w:r>
            <w:r w:rsidR="00E36F9A" w:rsidRPr="005425ED">
              <w:t>. 24(e)</w:t>
            </w:r>
            <w:r w:rsidRPr="005425ED">
              <w:t>)</w:t>
            </w:r>
          </w:p>
        </w:tc>
        <w:tc>
          <w:tcPr>
            <w:tcW w:w="965" w:type="dxa"/>
          </w:tcPr>
          <w:p w14:paraId="4C5C1656" w14:textId="77777777" w:rsidR="006C5478" w:rsidRPr="005B5418" w:rsidRDefault="006C5478" w:rsidP="003B61E9">
            <w:pPr>
              <w:pStyle w:val="Table-Cell-CenterBoldBefore6ptAfter6pt"/>
            </w:pPr>
          </w:p>
        </w:tc>
        <w:tc>
          <w:tcPr>
            <w:tcW w:w="3211" w:type="dxa"/>
          </w:tcPr>
          <w:p w14:paraId="03D1BAA3" w14:textId="77777777" w:rsidR="006C5478" w:rsidRPr="005B5418" w:rsidRDefault="006C5478" w:rsidP="003B61E9">
            <w:pPr>
              <w:spacing w:line="240" w:lineRule="auto"/>
            </w:pPr>
          </w:p>
        </w:tc>
      </w:tr>
      <w:tr w:rsidR="00893A27" w:rsidRPr="005B5418" w14:paraId="5E06002C" w14:textId="77777777" w:rsidTr="007A7A92">
        <w:trPr>
          <w:trHeight w:val="1907"/>
        </w:trPr>
        <w:tc>
          <w:tcPr>
            <w:tcW w:w="5400" w:type="dxa"/>
          </w:tcPr>
          <w:p w14:paraId="377F2330" w14:textId="49228F3E" w:rsidR="00893A27" w:rsidRPr="005B5418" w:rsidRDefault="00893A27" w:rsidP="00825C76">
            <w:pPr>
              <w:pStyle w:val="FAM-Table-outline"/>
              <w:widowControl/>
              <w:numPr>
                <w:ilvl w:val="0"/>
                <w:numId w:val="64"/>
              </w:numPr>
              <w:adjustRightInd/>
              <w:spacing w:line="240" w:lineRule="auto"/>
              <w:textAlignment w:val="auto"/>
              <w:rPr>
                <w:lang w:val="pt-BR"/>
              </w:rPr>
            </w:pPr>
            <w:r w:rsidRPr="005B5418">
              <w:rPr>
                <w:lang w:val="pt-BR"/>
              </w:rPr>
              <w:t>If applicable, did the entity consider the materiality of the cancellation ceiling at year</w:t>
            </w:r>
            <w:r w:rsidR="002A28AB" w:rsidRPr="005B5418">
              <w:rPr>
                <w:lang w:val="pt-BR"/>
              </w:rPr>
              <w:t>-</w:t>
            </w:r>
            <w:r w:rsidRPr="005B5418">
              <w:rPr>
                <w:lang w:val="pt-BR"/>
              </w:rPr>
              <w:t>end, reflected in their energy-savings performance contracts (ESPCs), when determining ESPC disclosures? (A-136, section II.3.8.32)</w:t>
            </w:r>
          </w:p>
          <w:p w14:paraId="50F1A849" w14:textId="7A066F23" w:rsidR="00893A27" w:rsidRPr="005B5418" w:rsidRDefault="00893A27" w:rsidP="00A032A6">
            <w:pPr>
              <w:pStyle w:val="FAM-Table-outline"/>
              <w:widowControl/>
              <w:numPr>
                <w:ilvl w:val="0"/>
                <w:numId w:val="0"/>
              </w:numPr>
              <w:adjustRightInd/>
              <w:spacing w:line="240" w:lineRule="auto"/>
              <w:textAlignment w:val="auto"/>
              <w:rPr>
                <w:lang w:val="pt-BR"/>
              </w:rPr>
            </w:pPr>
          </w:p>
        </w:tc>
        <w:tc>
          <w:tcPr>
            <w:tcW w:w="965" w:type="dxa"/>
          </w:tcPr>
          <w:p w14:paraId="61D1D9DA" w14:textId="77777777" w:rsidR="00893A27" w:rsidRPr="005B5418" w:rsidRDefault="00893A27" w:rsidP="003B61E9">
            <w:pPr>
              <w:pStyle w:val="Table-Cell-CenterBoldBefore6ptAfter6pt"/>
            </w:pPr>
          </w:p>
        </w:tc>
        <w:tc>
          <w:tcPr>
            <w:tcW w:w="3211" w:type="dxa"/>
          </w:tcPr>
          <w:p w14:paraId="4A9F5829" w14:textId="77777777" w:rsidR="00893A27" w:rsidRPr="005B5418" w:rsidRDefault="00893A27" w:rsidP="003B61E9">
            <w:pPr>
              <w:spacing w:line="240" w:lineRule="auto"/>
            </w:pPr>
          </w:p>
        </w:tc>
      </w:tr>
      <w:tr w:rsidR="00935832" w:rsidRPr="005B5418" w14:paraId="711DC051" w14:textId="77777777" w:rsidTr="00A032A6">
        <w:trPr>
          <w:trHeight w:val="1583"/>
        </w:trPr>
        <w:tc>
          <w:tcPr>
            <w:tcW w:w="5400" w:type="dxa"/>
          </w:tcPr>
          <w:p w14:paraId="3733ADCD" w14:textId="43589085" w:rsidR="00935832" w:rsidRPr="005B5418" w:rsidRDefault="00935832" w:rsidP="00935832">
            <w:pPr>
              <w:pStyle w:val="FAM-Table-outline"/>
              <w:numPr>
                <w:ilvl w:val="0"/>
                <w:numId w:val="64"/>
              </w:numPr>
              <w:spacing w:line="240" w:lineRule="auto"/>
              <w:rPr>
                <w:lang w:val="pt-BR"/>
              </w:rPr>
            </w:pPr>
            <w:r w:rsidRPr="005B5418">
              <w:rPr>
                <w:lang w:val="pt-BR"/>
              </w:rPr>
              <w:t>For each P3 disclosed, does the entity’s disclosures state in plain language the nature and magnitude of risk of loss to the reporting entity? (A-136, section II.3.8.32 )</w:t>
            </w:r>
          </w:p>
          <w:p w14:paraId="7060BC0A" w14:textId="23074949" w:rsidR="00935832" w:rsidRPr="005B5418" w:rsidRDefault="00935832" w:rsidP="00935832">
            <w:pPr>
              <w:pStyle w:val="FAM-Table-outline2"/>
              <w:numPr>
                <w:ilvl w:val="0"/>
                <w:numId w:val="0"/>
              </w:numPr>
              <w:rPr>
                <w:lang w:val="pt-BR"/>
              </w:rPr>
            </w:pPr>
          </w:p>
        </w:tc>
        <w:tc>
          <w:tcPr>
            <w:tcW w:w="965" w:type="dxa"/>
          </w:tcPr>
          <w:p w14:paraId="4A1AB428" w14:textId="77777777" w:rsidR="00935832" w:rsidRPr="005B5418" w:rsidRDefault="00935832" w:rsidP="003B61E9">
            <w:pPr>
              <w:pStyle w:val="Table-Cell-CenterBoldBefore6ptAfter6pt"/>
            </w:pPr>
          </w:p>
        </w:tc>
        <w:tc>
          <w:tcPr>
            <w:tcW w:w="3211" w:type="dxa"/>
          </w:tcPr>
          <w:p w14:paraId="7D7E4B5A" w14:textId="77777777" w:rsidR="00935832" w:rsidRPr="005B5418" w:rsidRDefault="00935832" w:rsidP="003B61E9">
            <w:pPr>
              <w:spacing w:line="240" w:lineRule="auto"/>
            </w:pPr>
          </w:p>
        </w:tc>
      </w:tr>
    </w:tbl>
    <w:p w14:paraId="14A37605" w14:textId="77777777" w:rsidR="006C5478" w:rsidRPr="005B5418" w:rsidRDefault="006C5478" w:rsidP="003B61E9">
      <w:pPr>
        <w:spacing w:line="240" w:lineRule="auto"/>
        <w:rPr>
          <w:rFonts w:cs="Arial"/>
        </w:rPr>
      </w:pPr>
    </w:p>
    <w:p w14:paraId="5DF369CB" w14:textId="77777777" w:rsidR="006C5478" w:rsidRPr="005B5418" w:rsidRDefault="006C5478"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65"/>
        <w:gridCol w:w="3211"/>
      </w:tblGrid>
      <w:tr w:rsidR="006C5478" w:rsidRPr="005B5418" w14:paraId="0801F398" w14:textId="77777777" w:rsidTr="00166538">
        <w:trPr>
          <w:tblHeader/>
        </w:trPr>
        <w:tc>
          <w:tcPr>
            <w:tcW w:w="5400" w:type="dxa"/>
          </w:tcPr>
          <w:p w14:paraId="5E2E71A0" w14:textId="2B0E2A75" w:rsidR="006C5478" w:rsidRPr="005B5418" w:rsidRDefault="006C5478" w:rsidP="004E0998">
            <w:pPr>
              <w:pStyle w:val="Heading4"/>
              <w:spacing w:before="60" w:after="60" w:line="240" w:lineRule="auto"/>
              <w:jc w:val="left"/>
              <w:rPr>
                <w:b/>
                <w:vanish/>
                <w:szCs w:val="22"/>
                <w:u w:val="none"/>
              </w:rPr>
            </w:pPr>
            <w:bookmarkStart w:id="231" w:name="_II.3.8.42_Disclosure_Entities"/>
            <w:bookmarkStart w:id="232" w:name="_Ref8657376"/>
            <w:bookmarkEnd w:id="231"/>
            <w:r w:rsidRPr="005B5418">
              <w:rPr>
                <w:b/>
                <w:u w:val="none"/>
              </w:rPr>
              <w:lastRenderedPageBreak/>
              <w:t>II.3.8.</w:t>
            </w:r>
            <w:r w:rsidR="004E0998" w:rsidRPr="005B5418">
              <w:rPr>
                <w:b/>
                <w:u w:val="none"/>
              </w:rPr>
              <w:t xml:space="preserve">33 </w:t>
            </w:r>
            <w:r w:rsidRPr="005B5418">
              <w:rPr>
                <w:b/>
                <w:u w:val="none"/>
              </w:rPr>
              <w:t>Disclosure Entities and Related Parties</w:t>
            </w:r>
            <w:bookmarkEnd w:id="232"/>
          </w:p>
        </w:tc>
        <w:tc>
          <w:tcPr>
            <w:tcW w:w="965" w:type="dxa"/>
          </w:tcPr>
          <w:p w14:paraId="36CA0202" w14:textId="77777777" w:rsidR="006C5478" w:rsidRPr="005B5418" w:rsidRDefault="006C5478" w:rsidP="008848DA">
            <w:pPr>
              <w:spacing w:before="60" w:after="60" w:line="240" w:lineRule="auto"/>
              <w:rPr>
                <w:rFonts w:ascii="Arial" w:hAnsi="Arial" w:cs="Arial"/>
                <w:b/>
              </w:rPr>
            </w:pPr>
            <w:r w:rsidRPr="005B5418">
              <w:rPr>
                <w:rFonts w:ascii="Arial" w:hAnsi="Arial" w:cs="Arial"/>
                <w:b/>
              </w:rPr>
              <w:t>Yes, No, or N/A</w:t>
            </w:r>
          </w:p>
        </w:tc>
        <w:tc>
          <w:tcPr>
            <w:tcW w:w="3211" w:type="dxa"/>
          </w:tcPr>
          <w:p w14:paraId="7EBBDC5E" w14:textId="174659D4" w:rsidR="006C5478" w:rsidRPr="005B5418" w:rsidRDefault="006C5478" w:rsidP="008848DA">
            <w:pPr>
              <w:spacing w:before="60" w:after="60" w:line="240" w:lineRule="auto"/>
              <w:rPr>
                <w:rFonts w:ascii="Arial" w:hAnsi="Arial" w:cs="Arial"/>
                <w:b/>
              </w:rPr>
            </w:pPr>
            <w:r w:rsidRPr="005B5418">
              <w:rPr>
                <w:rFonts w:ascii="Arial" w:hAnsi="Arial" w:cs="Arial"/>
                <w:b/>
              </w:rPr>
              <w:t xml:space="preserve">Explanation </w:t>
            </w:r>
            <w:r w:rsidR="002C1425" w:rsidRPr="005B5418">
              <w:rPr>
                <w:rFonts w:ascii="Arial" w:hAnsi="Arial" w:cs="Arial"/>
                <w:b/>
              </w:rPr>
              <w:t xml:space="preserve">and </w:t>
            </w:r>
            <w:r w:rsidRPr="005B5418">
              <w:rPr>
                <w:rFonts w:ascii="Arial" w:hAnsi="Arial" w:cs="Arial"/>
                <w:b/>
              </w:rPr>
              <w:t>Reference</w:t>
            </w:r>
          </w:p>
        </w:tc>
      </w:tr>
      <w:tr w:rsidR="006C5478" w:rsidRPr="005B5418" w14:paraId="42211AD2" w14:textId="77777777" w:rsidTr="00187469">
        <w:trPr>
          <w:trHeight w:val="701"/>
        </w:trPr>
        <w:tc>
          <w:tcPr>
            <w:tcW w:w="9576" w:type="dxa"/>
            <w:gridSpan w:val="3"/>
          </w:tcPr>
          <w:p w14:paraId="4DEAC1FE" w14:textId="153B0DD2" w:rsidR="006C5478" w:rsidRPr="005B5418" w:rsidRDefault="00573C8A" w:rsidP="008848DA">
            <w:pPr>
              <w:pStyle w:val="ListBullet"/>
              <w:numPr>
                <w:ilvl w:val="0"/>
                <w:numId w:val="0"/>
              </w:numPr>
              <w:spacing w:before="60" w:after="60"/>
              <w:ind w:left="340" w:firstLine="20"/>
              <w:rPr>
                <w:rFonts w:eastAsiaTheme="minorHAnsi"/>
                <w:szCs w:val="22"/>
              </w:rPr>
            </w:pPr>
            <w:r w:rsidRPr="005B5418">
              <w:rPr>
                <w:rFonts w:cs="Arial"/>
                <w:szCs w:val="22"/>
              </w:rPr>
              <w:t xml:space="preserve">Disclosure Entities and Related Parties are addressed in </w:t>
            </w:r>
            <w:r w:rsidR="002C1425" w:rsidRPr="005B5418">
              <w:rPr>
                <w:rFonts w:cs="Arial"/>
                <w:szCs w:val="22"/>
              </w:rPr>
              <w:t xml:space="preserve">section </w:t>
            </w:r>
            <w:r w:rsidRPr="005B5418">
              <w:rPr>
                <w:rFonts w:cs="Arial"/>
                <w:szCs w:val="22"/>
              </w:rPr>
              <w:t>I</w:t>
            </w:r>
            <w:r w:rsidR="002C1425" w:rsidRPr="005B5418">
              <w:rPr>
                <w:rFonts w:cs="Arial"/>
                <w:szCs w:val="22"/>
              </w:rPr>
              <w:t>,</w:t>
            </w:r>
            <w:r w:rsidRPr="005B5418">
              <w:rPr>
                <w:rFonts w:cs="Arial"/>
                <w:szCs w:val="22"/>
              </w:rPr>
              <w:t xml:space="preserve"> Reporting Entity.</w:t>
            </w:r>
          </w:p>
        </w:tc>
      </w:tr>
    </w:tbl>
    <w:p w14:paraId="0B0EB333" w14:textId="77777777" w:rsidR="006C5478" w:rsidRPr="005B5418" w:rsidRDefault="006C5478" w:rsidP="003B61E9">
      <w:pPr>
        <w:spacing w:line="240" w:lineRule="auto"/>
        <w:rPr>
          <w:rFonts w:cs="Arial"/>
        </w:rPr>
      </w:pPr>
    </w:p>
    <w:p w14:paraId="02637B76" w14:textId="01B3CAF8" w:rsidR="00BA222D" w:rsidRPr="00165898" w:rsidRDefault="006C5478" w:rsidP="00165898">
      <w:pPr>
        <w:spacing w:line="240" w:lineRule="auto"/>
        <w:rPr>
          <w:rFonts w:cs="Arial"/>
        </w:rPr>
      </w:pPr>
      <w:r w:rsidRPr="005B5418">
        <w:rPr>
          <w:rFonts w:cs="Arial"/>
        </w:rPr>
        <w:br w:type="page"/>
      </w:r>
      <w:bookmarkStart w:id="233" w:name="_II.3.8.43_Insurance_Programs"/>
      <w:bookmarkStart w:id="234" w:name="__II.3.8.42_COVID-19_Activity"/>
      <w:bookmarkStart w:id="235" w:name="_II.3.8.41_Insurance_Programs"/>
      <w:bookmarkStart w:id="236" w:name="_II.3.8.35_COVID-19_Activity"/>
      <w:bookmarkStart w:id="237" w:name="_II.3.8.36_Subsequent_Events"/>
      <w:bookmarkEnd w:id="233"/>
      <w:bookmarkEnd w:id="234"/>
      <w:bookmarkEnd w:id="235"/>
      <w:bookmarkEnd w:id="236"/>
      <w:bookmarkEnd w:id="237"/>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99"/>
        <w:gridCol w:w="988"/>
        <w:gridCol w:w="3208"/>
      </w:tblGrid>
      <w:tr w:rsidR="00237754" w:rsidRPr="005B5418" w14:paraId="1431148A" w14:textId="77777777" w:rsidTr="008848DA">
        <w:trPr>
          <w:trHeight w:val="431"/>
          <w:tblHeader/>
        </w:trPr>
        <w:tc>
          <w:tcPr>
            <w:tcW w:w="5399" w:type="dxa"/>
          </w:tcPr>
          <w:p w14:paraId="10CCB8C4" w14:textId="4A67A49F" w:rsidR="00237754" w:rsidRPr="005B5418" w:rsidRDefault="00237754" w:rsidP="008F3069">
            <w:pPr>
              <w:pStyle w:val="Heading4"/>
              <w:spacing w:line="240" w:lineRule="auto"/>
              <w:rPr>
                <w:rFonts w:eastAsia="Arial Unicode MS"/>
                <w:b/>
                <w:u w:val="none"/>
              </w:rPr>
            </w:pPr>
            <w:r w:rsidRPr="005B5418">
              <w:rPr>
                <w:b/>
                <w:u w:val="none"/>
              </w:rPr>
              <w:lastRenderedPageBreak/>
              <w:t>II.3.8.</w:t>
            </w:r>
            <w:r w:rsidR="00E3480F" w:rsidRPr="005B5418">
              <w:rPr>
                <w:b/>
                <w:u w:val="none"/>
              </w:rPr>
              <w:t xml:space="preserve">34 </w:t>
            </w:r>
            <w:r w:rsidRPr="005B5418">
              <w:rPr>
                <w:b/>
                <w:u w:val="none"/>
              </w:rPr>
              <w:t>Subsequent Events</w:t>
            </w:r>
          </w:p>
        </w:tc>
        <w:tc>
          <w:tcPr>
            <w:tcW w:w="988" w:type="dxa"/>
          </w:tcPr>
          <w:p w14:paraId="18D90402" w14:textId="77777777" w:rsidR="00237754" w:rsidRPr="005B5418" w:rsidRDefault="00237754" w:rsidP="00367526">
            <w:pPr>
              <w:pStyle w:val="Table-Cell-CenterBoldBefore6ptAfter6pt"/>
              <w:rPr>
                <w:rFonts w:cs="Arial"/>
                <w:lang w:val="pt-BR"/>
              </w:rPr>
            </w:pPr>
            <w:r w:rsidRPr="005B5418">
              <w:t>Yes, No, or N/A</w:t>
            </w:r>
          </w:p>
        </w:tc>
        <w:tc>
          <w:tcPr>
            <w:tcW w:w="3208" w:type="dxa"/>
          </w:tcPr>
          <w:p w14:paraId="587B7B2B" w14:textId="1B1DBABE" w:rsidR="00237754" w:rsidRPr="005B5418" w:rsidRDefault="00237754" w:rsidP="00342685">
            <w:pPr>
              <w:pStyle w:val="BodyTextIndent"/>
              <w:rPr>
                <w:rFonts w:cs="Arial"/>
                <w:b/>
                <w:lang w:val="pt-BR"/>
              </w:rPr>
            </w:pPr>
            <w:r w:rsidRPr="005B5418">
              <w:rPr>
                <w:b/>
              </w:rPr>
              <w:t xml:space="preserve">Explanation </w:t>
            </w:r>
            <w:r w:rsidR="00342685" w:rsidRPr="005B5418">
              <w:rPr>
                <w:b/>
              </w:rPr>
              <w:t xml:space="preserve">and </w:t>
            </w:r>
            <w:r w:rsidRPr="005B5418">
              <w:rPr>
                <w:b/>
              </w:rPr>
              <w:t>Reference</w:t>
            </w:r>
          </w:p>
        </w:tc>
      </w:tr>
      <w:tr w:rsidR="00237754" w:rsidRPr="005B5418" w14:paraId="2836F5E1" w14:textId="77777777" w:rsidTr="008848DA">
        <w:trPr>
          <w:trHeight w:val="431"/>
        </w:trPr>
        <w:tc>
          <w:tcPr>
            <w:tcW w:w="9595" w:type="dxa"/>
            <w:gridSpan w:val="3"/>
          </w:tcPr>
          <w:p w14:paraId="6CF44378" w14:textId="1FD53734" w:rsidR="00670D15" w:rsidRPr="005B5418" w:rsidRDefault="00670D15" w:rsidP="008848DA">
            <w:pPr>
              <w:autoSpaceDE w:val="0"/>
              <w:autoSpaceDN w:val="0"/>
              <w:adjustRightInd w:val="0"/>
              <w:spacing w:before="60" w:after="60" w:line="240" w:lineRule="auto"/>
              <w:rPr>
                <w:rFonts w:ascii="Arial" w:hAnsi="Arial" w:cs="Arial"/>
                <w:b/>
                <w:bCs/>
              </w:rPr>
            </w:pPr>
            <w:r w:rsidRPr="005B5418">
              <w:rPr>
                <w:rFonts w:ascii="Arial,Bold" w:hAnsi="Arial,Bold" w:cs="Arial,Bold"/>
                <w:bCs/>
              </w:rPr>
              <w:t xml:space="preserve">Subsequent events are events </w:t>
            </w:r>
            <w:r w:rsidRPr="005B5418">
              <w:rPr>
                <w:rFonts w:ascii="Arial" w:hAnsi="Arial" w:cs="Arial"/>
              </w:rPr>
              <w:t>or transactions that affect the basic information or RSI that occur subsequent to the end of the reporting period but before the financial report is issued. (SFFAS 39, par</w:t>
            </w:r>
            <w:r w:rsidR="00BA5229" w:rsidRPr="005B5418">
              <w:rPr>
                <w:rFonts w:ascii="Arial" w:hAnsi="Arial" w:cs="Arial"/>
              </w:rPr>
              <w:t>a</w:t>
            </w:r>
            <w:r w:rsidRPr="005B5418">
              <w:rPr>
                <w:rFonts w:ascii="Arial" w:hAnsi="Arial" w:cs="Arial"/>
              </w:rPr>
              <w:t xml:space="preserve">. 8) In addition, subsequent events can be categorized as recognized events or </w:t>
            </w:r>
            <w:r w:rsidR="00274C5F" w:rsidRPr="005B5418">
              <w:rPr>
                <w:rFonts w:ascii="Arial" w:hAnsi="Arial" w:cs="Arial"/>
              </w:rPr>
              <w:t>nonrecognized events.</w:t>
            </w:r>
          </w:p>
          <w:p w14:paraId="71CD5677" w14:textId="51341A41" w:rsidR="00923F4A" w:rsidRPr="005B5418" w:rsidRDefault="00923F4A" w:rsidP="008848DA">
            <w:pPr>
              <w:autoSpaceDE w:val="0"/>
              <w:autoSpaceDN w:val="0"/>
              <w:adjustRightInd w:val="0"/>
              <w:spacing w:before="60" w:after="60" w:line="240" w:lineRule="auto"/>
              <w:rPr>
                <w:rFonts w:ascii="Arial" w:hAnsi="Arial" w:cs="Arial"/>
              </w:rPr>
            </w:pPr>
            <w:r w:rsidRPr="005B5418">
              <w:rPr>
                <w:rFonts w:ascii="Arial" w:hAnsi="Arial" w:cs="Arial"/>
                <w:b/>
                <w:bCs/>
              </w:rPr>
              <w:t>Recognized events</w:t>
            </w:r>
            <w:r w:rsidRPr="005B5418">
              <w:rPr>
                <w:rFonts w:ascii="Arial" w:hAnsi="Arial" w:cs="Arial"/>
              </w:rPr>
              <w:t>: Subsequent events that provide additional evidence with respect to</w:t>
            </w:r>
          </w:p>
          <w:p w14:paraId="23D96FC4" w14:textId="646AD9BB" w:rsidR="00923F4A" w:rsidRPr="005B5418" w:rsidRDefault="00923F4A" w:rsidP="008848DA">
            <w:pPr>
              <w:autoSpaceDE w:val="0"/>
              <w:autoSpaceDN w:val="0"/>
              <w:adjustRightInd w:val="0"/>
              <w:spacing w:before="60" w:after="60" w:line="240" w:lineRule="auto"/>
              <w:rPr>
                <w:rFonts w:cs="Arial"/>
              </w:rPr>
            </w:pPr>
            <w:r w:rsidRPr="005B5418">
              <w:rPr>
                <w:rFonts w:ascii="Arial" w:hAnsi="Arial" w:cs="Arial"/>
              </w:rPr>
              <w:t>conditions that existed at the end of the reporting period and affect the estimates inherent in</w:t>
            </w:r>
            <w:r w:rsidR="00BA5229" w:rsidRPr="005B5418">
              <w:rPr>
                <w:rFonts w:ascii="Arial" w:hAnsi="Arial" w:cs="Arial"/>
              </w:rPr>
              <w:t xml:space="preserve"> </w:t>
            </w:r>
            <w:r w:rsidRPr="005B5418">
              <w:rPr>
                <w:rFonts w:ascii="Arial" w:hAnsi="Arial" w:cs="Arial"/>
              </w:rPr>
              <w:t>the process of preparing basic information and RSI. (SFFAS 39, par</w:t>
            </w:r>
            <w:r w:rsidR="00BA5229" w:rsidRPr="005B5418">
              <w:rPr>
                <w:rFonts w:ascii="Arial" w:hAnsi="Arial" w:cs="Arial"/>
              </w:rPr>
              <w:t>a</w:t>
            </w:r>
            <w:r w:rsidRPr="005B5418">
              <w:rPr>
                <w:rFonts w:ascii="Arial" w:hAnsi="Arial" w:cs="Arial"/>
              </w:rPr>
              <w:t>. 9)</w:t>
            </w:r>
            <w:r w:rsidR="00731ABF" w:rsidRPr="005B5418">
              <w:rPr>
                <w:rFonts w:cs="Arial"/>
              </w:rPr>
              <w:t xml:space="preserve"> </w:t>
            </w:r>
          </w:p>
          <w:p w14:paraId="67A17377" w14:textId="7A6D563B" w:rsidR="00923F4A" w:rsidRPr="005B5418" w:rsidRDefault="00923F4A" w:rsidP="008848DA">
            <w:pPr>
              <w:autoSpaceDE w:val="0"/>
              <w:autoSpaceDN w:val="0"/>
              <w:adjustRightInd w:val="0"/>
              <w:spacing w:before="60" w:after="60" w:line="240" w:lineRule="auto"/>
              <w:rPr>
                <w:rFonts w:ascii="Arial" w:hAnsi="Arial" w:cs="Arial"/>
              </w:rPr>
            </w:pPr>
            <w:r w:rsidRPr="005B5418">
              <w:rPr>
                <w:rFonts w:ascii="Arial" w:hAnsi="Arial" w:cs="Arial"/>
                <w:b/>
                <w:bCs/>
              </w:rPr>
              <w:t>Nonrecognized events</w:t>
            </w:r>
            <w:r w:rsidRPr="005B5418">
              <w:rPr>
                <w:rFonts w:ascii="Arial" w:hAnsi="Arial" w:cs="Arial"/>
              </w:rPr>
              <w:t>: Subsequent events that provide evidence with respect to</w:t>
            </w:r>
          </w:p>
          <w:p w14:paraId="75B13AE5" w14:textId="58967ABF" w:rsidR="00BA5229" w:rsidRPr="005B5418" w:rsidRDefault="00923F4A" w:rsidP="008848DA">
            <w:pPr>
              <w:autoSpaceDE w:val="0"/>
              <w:autoSpaceDN w:val="0"/>
              <w:adjustRightInd w:val="0"/>
              <w:spacing w:before="60" w:after="60" w:line="240" w:lineRule="auto"/>
              <w:rPr>
                <w:rFonts w:cs="Arial"/>
              </w:rPr>
            </w:pPr>
            <w:r w:rsidRPr="005B5418">
              <w:rPr>
                <w:rFonts w:ascii="Arial" w:hAnsi="Arial" w:cs="Arial"/>
              </w:rPr>
              <w:t>conditions that did not exist at the end of the reporting period but arose subsequent to that</w:t>
            </w:r>
            <w:r w:rsidR="00BA5229" w:rsidRPr="005B5418">
              <w:rPr>
                <w:rFonts w:ascii="Arial" w:hAnsi="Arial" w:cs="Arial"/>
              </w:rPr>
              <w:t xml:space="preserve"> </w:t>
            </w:r>
            <w:r w:rsidRPr="005B5418">
              <w:rPr>
                <w:rFonts w:ascii="Arial" w:hAnsi="Arial" w:cs="Arial"/>
              </w:rPr>
              <w:t>date. (SFFAS 39, par</w:t>
            </w:r>
            <w:r w:rsidR="00BA5229" w:rsidRPr="005B5418">
              <w:rPr>
                <w:rFonts w:ascii="Arial" w:hAnsi="Arial" w:cs="Arial"/>
              </w:rPr>
              <w:t>a</w:t>
            </w:r>
            <w:r w:rsidRPr="005B5418">
              <w:rPr>
                <w:rFonts w:ascii="Arial" w:hAnsi="Arial" w:cs="Arial"/>
              </w:rPr>
              <w:t>. 10)</w:t>
            </w:r>
            <w:r w:rsidR="00BA5229" w:rsidRPr="005B5418">
              <w:rPr>
                <w:rFonts w:ascii="Arial" w:hAnsi="Arial" w:cs="Arial"/>
              </w:rPr>
              <w:t xml:space="preserve"> </w:t>
            </w:r>
          </w:p>
          <w:p w14:paraId="4907CD4F" w14:textId="2331DEB2" w:rsidR="00731ABF" w:rsidRPr="005B5418" w:rsidRDefault="00731ABF" w:rsidP="008848DA">
            <w:pPr>
              <w:autoSpaceDE w:val="0"/>
              <w:autoSpaceDN w:val="0"/>
              <w:adjustRightInd w:val="0"/>
              <w:spacing w:before="60" w:after="60" w:line="240" w:lineRule="auto"/>
              <w:rPr>
                <w:rFonts w:cs="Arial"/>
              </w:rPr>
            </w:pPr>
            <w:r w:rsidRPr="005B5418">
              <w:rPr>
                <w:rFonts w:ascii="Arial" w:hAnsi="Arial" w:cs="Arial"/>
              </w:rPr>
              <w:t>Transactions and events (referred to as recognized events) require adjustments</w:t>
            </w:r>
            <w:r w:rsidR="00BA5229" w:rsidRPr="005B5418">
              <w:rPr>
                <w:rFonts w:ascii="Arial" w:hAnsi="Arial" w:cs="Arial"/>
              </w:rPr>
              <w:t>,</w:t>
            </w:r>
            <w:r w:rsidRPr="005B5418">
              <w:rPr>
                <w:rFonts w:ascii="Arial" w:hAnsi="Arial" w:cs="Arial"/>
              </w:rPr>
              <w:t xml:space="preserve"> while others (referred to as nonrecognized events) may require disclosure in the basic information or RSI. (SFFAS 39, par</w:t>
            </w:r>
            <w:r w:rsidR="00BA5229" w:rsidRPr="005B5418">
              <w:rPr>
                <w:rFonts w:ascii="Arial" w:hAnsi="Arial" w:cs="Arial"/>
              </w:rPr>
              <w:t>a</w:t>
            </w:r>
            <w:r w:rsidRPr="005B5418">
              <w:rPr>
                <w:rFonts w:ascii="Arial" w:hAnsi="Arial" w:cs="Arial"/>
              </w:rPr>
              <w:t>. 11)</w:t>
            </w:r>
          </w:p>
          <w:p w14:paraId="6555AE45" w14:textId="326ADBB5" w:rsidR="00237754" w:rsidRPr="005B5418" w:rsidRDefault="00D85E33" w:rsidP="00163EC0">
            <w:pPr>
              <w:pStyle w:val="BodyTextIndent"/>
              <w:spacing w:before="60" w:after="60"/>
              <w:ind w:left="0"/>
              <w:rPr>
                <w:szCs w:val="22"/>
              </w:rPr>
            </w:pPr>
            <w:r w:rsidRPr="005B5418">
              <w:rPr>
                <w:szCs w:val="22"/>
              </w:rPr>
              <w:t xml:space="preserve">Disclose in this note or other applicable note(s) any significant events or transactions that occurred after the date of the </w:t>
            </w:r>
            <w:r w:rsidR="001B5C17" w:rsidRPr="005B5418">
              <w:rPr>
                <w:szCs w:val="22"/>
              </w:rPr>
              <w:t>balance sheet</w:t>
            </w:r>
            <w:r w:rsidRPr="005B5418">
              <w:rPr>
                <w:szCs w:val="22"/>
              </w:rPr>
              <w:t xml:space="preserve"> but before the issuance of the entity’s audited financial statements</w:t>
            </w:r>
            <w:r w:rsidRPr="005B5418">
              <w:rPr>
                <w:i/>
                <w:szCs w:val="22"/>
              </w:rPr>
              <w:t xml:space="preserve"> </w:t>
            </w:r>
            <w:r w:rsidRPr="005B5418">
              <w:rPr>
                <w:szCs w:val="22"/>
              </w:rPr>
              <w:t xml:space="preserve">that have a material effect on the financial statements and, therefore, require adjustments to </w:t>
            </w:r>
            <w:r w:rsidR="00593C1B" w:rsidRPr="005B5418">
              <w:rPr>
                <w:szCs w:val="22"/>
              </w:rPr>
              <w:t>or</w:t>
            </w:r>
            <w:r w:rsidRPr="005B5418">
              <w:rPr>
                <w:szCs w:val="22"/>
              </w:rPr>
              <w:t xml:space="preserve"> disclosure in the statements. If such disclosure is made elsewhere in the notes, this note should include references to the applicable note(s).</w:t>
            </w:r>
            <w:r w:rsidR="009107AB" w:rsidRPr="005B5418">
              <w:rPr>
                <w:szCs w:val="22"/>
              </w:rPr>
              <w:t xml:space="preserve"> (SFFAS 39, par</w:t>
            </w:r>
            <w:r w:rsidR="00BA5229" w:rsidRPr="005B5418">
              <w:rPr>
                <w:szCs w:val="22"/>
              </w:rPr>
              <w:t>a</w:t>
            </w:r>
            <w:r w:rsidR="009107AB" w:rsidRPr="005B5418">
              <w:rPr>
                <w:szCs w:val="22"/>
              </w:rPr>
              <w:t>.11; A-136, section II.3.8.</w:t>
            </w:r>
            <w:r w:rsidR="00BC4FC6" w:rsidRPr="005B5418">
              <w:rPr>
                <w:szCs w:val="22"/>
              </w:rPr>
              <w:t>34</w:t>
            </w:r>
            <w:r w:rsidR="009107AB" w:rsidRPr="005B5418">
              <w:rPr>
                <w:szCs w:val="22"/>
              </w:rPr>
              <w:t>)</w:t>
            </w:r>
          </w:p>
          <w:p w14:paraId="4B5C1FA6" w14:textId="543A8D90" w:rsidR="005436B9" w:rsidRPr="005B5418" w:rsidRDefault="005436B9" w:rsidP="00163EC0">
            <w:pPr>
              <w:pStyle w:val="BodyTextIndent"/>
              <w:spacing w:before="60" w:after="60"/>
              <w:ind w:left="0"/>
              <w:rPr>
                <w:b/>
                <w:szCs w:val="22"/>
              </w:rPr>
            </w:pPr>
          </w:p>
        </w:tc>
      </w:tr>
      <w:tr w:rsidR="00237754" w:rsidRPr="005B5418" w14:paraId="4141421D" w14:textId="77777777" w:rsidTr="008848DA">
        <w:trPr>
          <w:trHeight w:val="431"/>
        </w:trPr>
        <w:tc>
          <w:tcPr>
            <w:tcW w:w="5399" w:type="dxa"/>
            <w:shd w:val="clear" w:color="auto" w:fill="auto"/>
          </w:tcPr>
          <w:p w14:paraId="5F8372A8" w14:textId="30D465CE" w:rsidR="00237754" w:rsidRPr="005B5418" w:rsidRDefault="00237754" w:rsidP="005425ED">
            <w:pPr>
              <w:pStyle w:val="FAM-Table-outline"/>
              <w:numPr>
                <w:ilvl w:val="0"/>
                <w:numId w:val="429"/>
              </w:numPr>
              <w:spacing w:line="240" w:lineRule="auto"/>
            </w:pPr>
            <w:r w:rsidRPr="005425ED">
              <w:rPr>
                <w:lang w:val="pt-BR"/>
              </w:rPr>
              <w:t>Is this topic applicable to the entity’s financial statements? (Answer Y if applicable, N/A if not applicable, or N/S if not significant. If N/A or N/S, skip to the next topic</w:t>
            </w:r>
            <w:r w:rsidR="00A14612" w:rsidRPr="005425ED">
              <w:rPr>
                <w:lang w:val="pt-BR"/>
              </w:rPr>
              <w:t>.</w:t>
            </w:r>
            <w:r w:rsidRPr="005425ED">
              <w:rPr>
                <w:lang w:val="pt-BR"/>
              </w:rPr>
              <w:t>)</w:t>
            </w:r>
          </w:p>
        </w:tc>
        <w:tc>
          <w:tcPr>
            <w:tcW w:w="988" w:type="dxa"/>
          </w:tcPr>
          <w:p w14:paraId="50D28088" w14:textId="77777777" w:rsidR="00237754" w:rsidRPr="005B5418" w:rsidRDefault="00237754" w:rsidP="00367526">
            <w:pPr>
              <w:pStyle w:val="Table-Cell-CenterBoldBefore6ptAfter6pt"/>
            </w:pPr>
          </w:p>
        </w:tc>
        <w:tc>
          <w:tcPr>
            <w:tcW w:w="3208" w:type="dxa"/>
          </w:tcPr>
          <w:p w14:paraId="3699B1A8" w14:textId="77777777" w:rsidR="00237754" w:rsidRPr="005B5418" w:rsidRDefault="00237754" w:rsidP="00367526">
            <w:pPr>
              <w:pStyle w:val="BodyTextIndent"/>
              <w:rPr>
                <w:b/>
              </w:rPr>
            </w:pPr>
          </w:p>
        </w:tc>
      </w:tr>
      <w:tr w:rsidR="00731ABF" w:rsidRPr="005B5418" w14:paraId="243C01E1" w14:textId="77777777" w:rsidTr="005C577A">
        <w:trPr>
          <w:trHeight w:val="431"/>
        </w:trPr>
        <w:tc>
          <w:tcPr>
            <w:tcW w:w="9595" w:type="dxa"/>
            <w:gridSpan w:val="3"/>
          </w:tcPr>
          <w:p w14:paraId="7F922255" w14:textId="77777777" w:rsidR="00731ABF" w:rsidRPr="005B5418" w:rsidRDefault="00731ABF" w:rsidP="008848DA">
            <w:pPr>
              <w:pStyle w:val="BodyTextIndent"/>
              <w:spacing w:before="60" w:after="60"/>
              <w:ind w:left="0"/>
              <w:rPr>
                <w:rFonts w:cs="Arial"/>
                <w:b/>
                <w:lang w:val="pt-BR"/>
              </w:rPr>
            </w:pPr>
            <w:r w:rsidRPr="005B5418">
              <w:rPr>
                <w:rFonts w:cs="Arial"/>
                <w:b/>
                <w:lang w:val="pt-BR"/>
              </w:rPr>
              <w:t>Accounting</w:t>
            </w:r>
          </w:p>
        </w:tc>
      </w:tr>
      <w:tr w:rsidR="00F51030" w:rsidRPr="005B5418" w14:paraId="73FE846A" w14:textId="77777777" w:rsidTr="008848DA">
        <w:trPr>
          <w:trHeight w:val="431"/>
        </w:trPr>
        <w:tc>
          <w:tcPr>
            <w:tcW w:w="5399" w:type="dxa"/>
          </w:tcPr>
          <w:p w14:paraId="2D20D6E7" w14:textId="41682810" w:rsidR="00F51030" w:rsidRPr="005B5418" w:rsidRDefault="00F51030" w:rsidP="005425ED">
            <w:pPr>
              <w:pStyle w:val="FAM-Table-outline"/>
              <w:numPr>
                <w:ilvl w:val="0"/>
                <w:numId w:val="429"/>
              </w:numPr>
              <w:spacing w:line="240" w:lineRule="auto"/>
              <w:rPr>
                <w:rFonts w:cs="Arial"/>
                <w:b/>
                <w:i/>
                <w:lang w:val="pt-BR"/>
              </w:rPr>
            </w:pPr>
            <w:r w:rsidRPr="005B5418">
              <w:rPr>
                <w:lang w:val="pt-BR"/>
              </w:rPr>
              <w:t>For recognized events, does the entity re</w:t>
            </w:r>
            <w:r w:rsidR="00DA67FA" w:rsidRPr="005B5418">
              <w:rPr>
                <w:lang w:val="pt-BR"/>
              </w:rPr>
              <w:t xml:space="preserve">cord adjustments in its basic information </w:t>
            </w:r>
            <w:r w:rsidR="00E573B5" w:rsidRPr="005B5418">
              <w:rPr>
                <w:lang w:val="pt-BR"/>
              </w:rPr>
              <w:t>and</w:t>
            </w:r>
            <w:r w:rsidR="00DA67FA" w:rsidRPr="005B5418">
              <w:rPr>
                <w:lang w:val="pt-BR"/>
              </w:rPr>
              <w:t xml:space="preserve"> RSI? (SFFAS 39, par</w:t>
            </w:r>
            <w:r w:rsidR="00A14612" w:rsidRPr="005B5418">
              <w:rPr>
                <w:lang w:val="pt-BR"/>
              </w:rPr>
              <w:t>a</w:t>
            </w:r>
            <w:r w:rsidR="00DA67FA" w:rsidRPr="005B5418">
              <w:rPr>
                <w:lang w:val="pt-BR"/>
              </w:rPr>
              <w:t>. 11)</w:t>
            </w:r>
          </w:p>
        </w:tc>
        <w:tc>
          <w:tcPr>
            <w:tcW w:w="988" w:type="dxa"/>
          </w:tcPr>
          <w:p w14:paraId="5FE11E4E" w14:textId="77777777" w:rsidR="00F51030" w:rsidRPr="005425ED" w:rsidRDefault="00F51030" w:rsidP="00367526">
            <w:pPr>
              <w:pStyle w:val="BodyTextIndent"/>
              <w:rPr>
                <w:rFonts w:cs="Arial"/>
                <w:b/>
                <w:i/>
                <w:lang w:val="pt-BR"/>
              </w:rPr>
            </w:pPr>
          </w:p>
        </w:tc>
        <w:tc>
          <w:tcPr>
            <w:tcW w:w="3208" w:type="dxa"/>
          </w:tcPr>
          <w:p w14:paraId="5A546DA0" w14:textId="77777777" w:rsidR="00F51030" w:rsidRPr="005425ED" w:rsidRDefault="00F51030" w:rsidP="00367526">
            <w:pPr>
              <w:pStyle w:val="BodyTextIndent"/>
              <w:rPr>
                <w:rFonts w:cs="Arial"/>
                <w:b/>
                <w:i/>
                <w:lang w:val="pt-BR"/>
              </w:rPr>
            </w:pPr>
          </w:p>
        </w:tc>
      </w:tr>
      <w:tr w:rsidR="00237754" w:rsidRPr="005B5418" w14:paraId="326AEDA9" w14:textId="77777777" w:rsidTr="005C577A">
        <w:trPr>
          <w:trHeight w:val="431"/>
        </w:trPr>
        <w:tc>
          <w:tcPr>
            <w:tcW w:w="9595" w:type="dxa"/>
            <w:gridSpan w:val="3"/>
          </w:tcPr>
          <w:p w14:paraId="062AC8ED" w14:textId="77777777" w:rsidR="00237754" w:rsidRPr="005B5418" w:rsidRDefault="00237754" w:rsidP="00FA7004">
            <w:pPr>
              <w:pStyle w:val="BodyTextIndent"/>
              <w:spacing w:before="60" w:after="60"/>
              <w:ind w:left="0"/>
              <w:jc w:val="both"/>
              <w:rPr>
                <w:b/>
              </w:rPr>
            </w:pPr>
            <w:r w:rsidRPr="005B5418">
              <w:rPr>
                <w:rFonts w:cs="Arial"/>
                <w:b/>
                <w:i/>
                <w:lang w:val="pt-BR"/>
              </w:rPr>
              <w:t>Disclosure</w:t>
            </w:r>
          </w:p>
        </w:tc>
      </w:tr>
      <w:tr w:rsidR="00237754" w:rsidRPr="005B5418" w14:paraId="7A800681" w14:textId="77777777" w:rsidTr="008848DA">
        <w:trPr>
          <w:trHeight w:val="431"/>
        </w:trPr>
        <w:tc>
          <w:tcPr>
            <w:tcW w:w="5399" w:type="dxa"/>
          </w:tcPr>
          <w:p w14:paraId="7C3061BC" w14:textId="45370C45" w:rsidR="00237754" w:rsidRPr="005B5418" w:rsidRDefault="00237754" w:rsidP="005425ED">
            <w:pPr>
              <w:pStyle w:val="FAM-Table-outline"/>
              <w:numPr>
                <w:ilvl w:val="0"/>
                <w:numId w:val="429"/>
              </w:numPr>
              <w:spacing w:line="240" w:lineRule="auto"/>
            </w:pPr>
            <w:r w:rsidRPr="005425ED">
              <w:rPr>
                <w:lang w:val="pt-BR"/>
              </w:rPr>
              <w:t xml:space="preserve">Does </w:t>
            </w:r>
            <w:r w:rsidR="00316B01" w:rsidRPr="005425ED">
              <w:rPr>
                <w:lang w:val="pt-BR"/>
              </w:rPr>
              <w:t xml:space="preserve">the </w:t>
            </w:r>
            <w:r w:rsidRPr="005425ED">
              <w:rPr>
                <w:lang w:val="pt-BR"/>
              </w:rPr>
              <w:t xml:space="preserve">entity </w:t>
            </w:r>
            <w:r w:rsidR="004E48A6" w:rsidRPr="005425ED">
              <w:rPr>
                <w:lang w:val="pt-BR"/>
              </w:rPr>
              <w:t xml:space="preserve">disclose significant events or transactions that have a material effect on the financial statements and that occurred after the date of the </w:t>
            </w:r>
            <w:r w:rsidR="001B5C17" w:rsidRPr="005425ED">
              <w:rPr>
                <w:lang w:val="pt-BR"/>
              </w:rPr>
              <w:t>balance sheet</w:t>
            </w:r>
            <w:r w:rsidR="004E48A6" w:rsidRPr="005425ED">
              <w:rPr>
                <w:lang w:val="pt-BR"/>
              </w:rPr>
              <w:t xml:space="preserve"> but before the issuance of the entity’s audited financial statements? (A-136, section II.3.8.</w:t>
            </w:r>
            <w:r w:rsidR="00BC4FC6" w:rsidRPr="005425ED">
              <w:rPr>
                <w:lang w:val="pt-BR"/>
              </w:rPr>
              <w:t>34</w:t>
            </w:r>
            <w:r w:rsidR="004E48A6" w:rsidRPr="005425ED">
              <w:rPr>
                <w:lang w:val="pt-BR"/>
              </w:rPr>
              <w:t>)</w:t>
            </w:r>
          </w:p>
        </w:tc>
        <w:tc>
          <w:tcPr>
            <w:tcW w:w="988" w:type="dxa"/>
          </w:tcPr>
          <w:p w14:paraId="67225797" w14:textId="77777777" w:rsidR="00237754" w:rsidRPr="005B5418" w:rsidRDefault="00237754" w:rsidP="00367526">
            <w:pPr>
              <w:pStyle w:val="Table-Cell-CenterBoldBefore6ptAfter6pt"/>
            </w:pPr>
          </w:p>
        </w:tc>
        <w:tc>
          <w:tcPr>
            <w:tcW w:w="3208" w:type="dxa"/>
          </w:tcPr>
          <w:p w14:paraId="2B872415" w14:textId="77777777" w:rsidR="00237754" w:rsidRPr="005B5418" w:rsidRDefault="00237754" w:rsidP="00F51030">
            <w:pPr>
              <w:pStyle w:val="BodyTextIndent"/>
              <w:ind w:left="-119" w:firstLine="479"/>
              <w:rPr>
                <w:b/>
              </w:rPr>
            </w:pPr>
          </w:p>
        </w:tc>
      </w:tr>
      <w:tr w:rsidR="00FF0322" w:rsidRPr="005B5418" w14:paraId="094E5ABA" w14:textId="77777777" w:rsidTr="008848DA">
        <w:trPr>
          <w:trHeight w:val="431"/>
        </w:trPr>
        <w:tc>
          <w:tcPr>
            <w:tcW w:w="5399" w:type="dxa"/>
          </w:tcPr>
          <w:p w14:paraId="1C866AA4" w14:textId="36E11176" w:rsidR="00FF0322" w:rsidRPr="005B5418" w:rsidRDefault="00FF0322" w:rsidP="005425ED">
            <w:pPr>
              <w:pStyle w:val="FAM-Table-outline"/>
              <w:numPr>
                <w:ilvl w:val="0"/>
                <w:numId w:val="429"/>
              </w:numPr>
              <w:spacing w:line="240" w:lineRule="auto"/>
            </w:pPr>
            <w:r w:rsidRPr="005425ED">
              <w:rPr>
                <w:lang w:val="pt-BR"/>
              </w:rPr>
              <w:t>Does the entity disclose nonrecognized events required to keep the basic information or RSI from being misleading? (SFFAS 39, par</w:t>
            </w:r>
            <w:r w:rsidR="00B224AA" w:rsidRPr="005425ED">
              <w:rPr>
                <w:lang w:val="pt-BR"/>
              </w:rPr>
              <w:t>a</w:t>
            </w:r>
            <w:r w:rsidRPr="005425ED">
              <w:rPr>
                <w:lang w:val="pt-BR"/>
              </w:rPr>
              <w:t>.15)</w:t>
            </w:r>
          </w:p>
        </w:tc>
        <w:tc>
          <w:tcPr>
            <w:tcW w:w="988" w:type="dxa"/>
          </w:tcPr>
          <w:p w14:paraId="6BB5DF15" w14:textId="77777777" w:rsidR="00FF0322" w:rsidRPr="005B5418" w:rsidRDefault="00FF0322" w:rsidP="00367526">
            <w:pPr>
              <w:pStyle w:val="Table-Cell-CenterBoldBefore6ptAfter6pt"/>
            </w:pPr>
          </w:p>
        </w:tc>
        <w:tc>
          <w:tcPr>
            <w:tcW w:w="3208" w:type="dxa"/>
          </w:tcPr>
          <w:p w14:paraId="3B3C09BD" w14:textId="77777777" w:rsidR="00FF0322" w:rsidRPr="005B5418" w:rsidRDefault="00FF0322" w:rsidP="00F51030">
            <w:pPr>
              <w:pStyle w:val="BodyTextIndent"/>
              <w:ind w:left="-119" w:firstLine="479"/>
              <w:rPr>
                <w:b/>
              </w:rPr>
            </w:pPr>
          </w:p>
        </w:tc>
      </w:tr>
      <w:tr w:rsidR="00304B91" w:rsidRPr="005B5418" w14:paraId="5A09B806" w14:textId="77777777" w:rsidTr="008848DA">
        <w:trPr>
          <w:trHeight w:val="710"/>
        </w:trPr>
        <w:tc>
          <w:tcPr>
            <w:tcW w:w="5399" w:type="dxa"/>
          </w:tcPr>
          <w:p w14:paraId="1DFB347D" w14:textId="6BDE9DD6" w:rsidR="00304B91" w:rsidRPr="005B5418" w:rsidRDefault="00304B91" w:rsidP="005425ED">
            <w:pPr>
              <w:pStyle w:val="FAM-Table-outline"/>
              <w:numPr>
                <w:ilvl w:val="0"/>
                <w:numId w:val="429"/>
              </w:numPr>
              <w:spacing w:line="240" w:lineRule="auto"/>
            </w:pPr>
            <w:r w:rsidRPr="005425ED">
              <w:rPr>
                <w:lang w:val="pt-BR"/>
              </w:rPr>
              <w:lastRenderedPageBreak/>
              <w:t>Does the entity refer to other notes that discuss subsequent events? (A-136, section II.3.8.</w:t>
            </w:r>
            <w:r w:rsidR="00BC4FC6" w:rsidRPr="005425ED">
              <w:rPr>
                <w:lang w:val="pt-BR"/>
              </w:rPr>
              <w:t>34</w:t>
            </w:r>
            <w:r w:rsidRPr="005425ED">
              <w:rPr>
                <w:lang w:val="pt-BR"/>
              </w:rPr>
              <w:t>)</w:t>
            </w:r>
          </w:p>
        </w:tc>
        <w:tc>
          <w:tcPr>
            <w:tcW w:w="988" w:type="dxa"/>
          </w:tcPr>
          <w:p w14:paraId="49196B9D" w14:textId="77777777" w:rsidR="00304B91" w:rsidRPr="005B5418" w:rsidRDefault="00304B91" w:rsidP="00367526">
            <w:pPr>
              <w:pStyle w:val="Table-Cell-CenterBoldBefore6ptAfter6pt"/>
            </w:pPr>
          </w:p>
        </w:tc>
        <w:tc>
          <w:tcPr>
            <w:tcW w:w="3208" w:type="dxa"/>
          </w:tcPr>
          <w:p w14:paraId="6F423575" w14:textId="77777777" w:rsidR="00304B91" w:rsidRPr="005B5418" w:rsidRDefault="00304B91" w:rsidP="00367526">
            <w:pPr>
              <w:pStyle w:val="BodyTextIndent"/>
              <w:rPr>
                <w:b/>
              </w:rPr>
            </w:pPr>
          </w:p>
        </w:tc>
      </w:tr>
    </w:tbl>
    <w:p w14:paraId="54E9D413" w14:textId="0475E812" w:rsidR="00E36CD3" w:rsidRPr="005B5418" w:rsidRDefault="00E36CD3"/>
    <w:p w14:paraId="2CF34AF1" w14:textId="77777777" w:rsidR="00E36CD3" w:rsidRPr="005B5418" w:rsidRDefault="00E36CD3">
      <w:r w:rsidRPr="005B5418">
        <w:br w:type="page"/>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99"/>
        <w:gridCol w:w="988"/>
        <w:gridCol w:w="3208"/>
      </w:tblGrid>
      <w:tr w:rsidR="003319B9" w:rsidRPr="005B5418" w14:paraId="029F9397" w14:textId="77777777" w:rsidTr="008848DA">
        <w:trPr>
          <w:trHeight w:val="431"/>
        </w:trPr>
        <w:tc>
          <w:tcPr>
            <w:tcW w:w="5399" w:type="dxa"/>
            <w:tcBorders>
              <w:top w:val="single" w:sz="4" w:space="0" w:color="auto"/>
              <w:left w:val="single" w:sz="4" w:space="0" w:color="auto"/>
              <w:bottom w:val="single" w:sz="4" w:space="0" w:color="auto"/>
              <w:right w:val="single" w:sz="4" w:space="0" w:color="auto"/>
            </w:tcBorders>
          </w:tcPr>
          <w:p w14:paraId="41E59506" w14:textId="1EE1B6F6" w:rsidR="003319B9" w:rsidRPr="005B5418" w:rsidRDefault="003319B9" w:rsidP="008F3069">
            <w:pPr>
              <w:pStyle w:val="Heading4"/>
              <w:spacing w:line="240" w:lineRule="auto"/>
              <w:jc w:val="left"/>
              <w:rPr>
                <w:b/>
                <w:u w:val="none"/>
              </w:rPr>
            </w:pPr>
            <w:bookmarkStart w:id="238" w:name="_II.3.8.37_Non-custodial_Non-exchang"/>
            <w:bookmarkEnd w:id="238"/>
            <w:r w:rsidRPr="005B5418">
              <w:rPr>
                <w:b/>
                <w:u w:val="none"/>
              </w:rPr>
              <w:lastRenderedPageBreak/>
              <w:t>II.3.8.</w:t>
            </w:r>
            <w:r w:rsidR="00E3480F" w:rsidRPr="005B5418">
              <w:rPr>
                <w:b/>
                <w:u w:val="none"/>
              </w:rPr>
              <w:t xml:space="preserve">35 </w:t>
            </w:r>
            <w:r w:rsidR="00246604" w:rsidRPr="005B5418">
              <w:rPr>
                <w:b/>
                <w:u w:val="none"/>
              </w:rPr>
              <w:t>Non</w:t>
            </w:r>
            <w:r w:rsidR="000B696E" w:rsidRPr="005B5418">
              <w:rPr>
                <w:b/>
                <w:u w:val="none"/>
              </w:rPr>
              <w:t>-</w:t>
            </w:r>
            <w:r w:rsidR="007146AC">
              <w:rPr>
                <w:b/>
                <w:u w:val="none"/>
              </w:rPr>
              <w:t>C</w:t>
            </w:r>
            <w:r w:rsidR="007146AC" w:rsidRPr="005B5418">
              <w:rPr>
                <w:b/>
                <w:u w:val="none"/>
              </w:rPr>
              <w:t xml:space="preserve">ustodial </w:t>
            </w:r>
            <w:r w:rsidR="00246604" w:rsidRPr="005B5418">
              <w:rPr>
                <w:b/>
                <w:u w:val="none"/>
              </w:rPr>
              <w:t>Non</w:t>
            </w:r>
            <w:r w:rsidR="000B696E" w:rsidRPr="005B5418">
              <w:rPr>
                <w:b/>
                <w:u w:val="none"/>
              </w:rPr>
              <w:t>-</w:t>
            </w:r>
            <w:r w:rsidR="007146AC">
              <w:rPr>
                <w:b/>
                <w:u w:val="none"/>
              </w:rPr>
              <w:t>E</w:t>
            </w:r>
            <w:r w:rsidR="007146AC" w:rsidRPr="005B5418">
              <w:rPr>
                <w:b/>
                <w:u w:val="none"/>
              </w:rPr>
              <w:t xml:space="preserve">xchange </w:t>
            </w:r>
            <w:r w:rsidR="00246604" w:rsidRPr="005B5418">
              <w:rPr>
                <w:b/>
                <w:u w:val="none"/>
              </w:rPr>
              <w:t xml:space="preserve">Revenues </w:t>
            </w:r>
          </w:p>
        </w:tc>
        <w:tc>
          <w:tcPr>
            <w:tcW w:w="988" w:type="dxa"/>
            <w:tcBorders>
              <w:top w:val="single" w:sz="4" w:space="0" w:color="auto"/>
              <w:left w:val="single" w:sz="4" w:space="0" w:color="auto"/>
              <w:bottom w:val="single" w:sz="4" w:space="0" w:color="auto"/>
              <w:right w:val="single" w:sz="4" w:space="0" w:color="auto"/>
            </w:tcBorders>
          </w:tcPr>
          <w:p w14:paraId="1F92CEAA" w14:textId="77777777" w:rsidR="003319B9" w:rsidRPr="005B5418" w:rsidRDefault="003319B9" w:rsidP="008848DA">
            <w:pPr>
              <w:pStyle w:val="Table-Cell-CenterBoldBefore6ptAfter6pt"/>
              <w:spacing w:before="60" w:after="60"/>
            </w:pPr>
            <w:r w:rsidRPr="005B5418">
              <w:t>Yes, No, or N/A</w:t>
            </w:r>
          </w:p>
        </w:tc>
        <w:tc>
          <w:tcPr>
            <w:tcW w:w="3208" w:type="dxa"/>
            <w:tcBorders>
              <w:top w:val="single" w:sz="4" w:space="0" w:color="auto"/>
              <w:left w:val="single" w:sz="4" w:space="0" w:color="auto"/>
              <w:bottom w:val="single" w:sz="4" w:space="0" w:color="auto"/>
              <w:right w:val="single" w:sz="4" w:space="0" w:color="auto"/>
            </w:tcBorders>
          </w:tcPr>
          <w:p w14:paraId="5E0F0E2C" w14:textId="5F335EEC" w:rsidR="003319B9" w:rsidRPr="005B5418" w:rsidRDefault="003319B9" w:rsidP="008848DA">
            <w:pPr>
              <w:pStyle w:val="BodyTextIndent"/>
              <w:spacing w:before="60" w:after="60"/>
              <w:rPr>
                <w:b/>
              </w:rPr>
            </w:pPr>
            <w:r w:rsidRPr="005B5418">
              <w:rPr>
                <w:b/>
              </w:rPr>
              <w:t xml:space="preserve">Explanation </w:t>
            </w:r>
            <w:r w:rsidR="00B224AA" w:rsidRPr="005B5418">
              <w:rPr>
                <w:b/>
              </w:rPr>
              <w:t xml:space="preserve">and </w:t>
            </w:r>
            <w:r w:rsidRPr="005B5418">
              <w:rPr>
                <w:b/>
              </w:rPr>
              <w:t>Reference</w:t>
            </w:r>
          </w:p>
        </w:tc>
      </w:tr>
      <w:tr w:rsidR="003319B9" w:rsidRPr="005B5418" w14:paraId="621E018F" w14:textId="77777777" w:rsidTr="007E497B">
        <w:trPr>
          <w:trHeight w:val="431"/>
          <w:tblHeader/>
        </w:trPr>
        <w:tc>
          <w:tcPr>
            <w:tcW w:w="9595" w:type="dxa"/>
            <w:gridSpan w:val="3"/>
          </w:tcPr>
          <w:p w14:paraId="3EEDC705" w14:textId="5434C1B9" w:rsidR="00246604" w:rsidRPr="005B5418" w:rsidRDefault="00246604" w:rsidP="008848DA">
            <w:pPr>
              <w:pStyle w:val="BodyText"/>
              <w:spacing w:before="60" w:after="60" w:line="240" w:lineRule="auto"/>
              <w:jc w:val="left"/>
              <w:rPr>
                <w:sz w:val="22"/>
                <w:szCs w:val="22"/>
              </w:rPr>
            </w:pPr>
            <w:r w:rsidRPr="005B5418">
              <w:rPr>
                <w:sz w:val="22"/>
                <w:szCs w:val="22"/>
              </w:rPr>
              <w:t>Disclose information about the collection of non-custodial non-exchange revenue (</w:t>
            </w:r>
            <w:r w:rsidR="00DB4F70" w:rsidRPr="005B5418">
              <w:rPr>
                <w:sz w:val="22"/>
                <w:szCs w:val="22"/>
              </w:rPr>
              <w:t>tax-</w:t>
            </w:r>
            <w:r w:rsidRPr="005B5418">
              <w:rPr>
                <w:sz w:val="22"/>
                <w:szCs w:val="22"/>
              </w:rPr>
              <w:t>related only) in accordance with SFFAS 7, paragraphs 64</w:t>
            </w:r>
            <w:r w:rsidR="00884ACC">
              <w:rPr>
                <w:sz w:val="22"/>
                <w:szCs w:val="22"/>
              </w:rPr>
              <w:t xml:space="preserve"> through </w:t>
            </w:r>
            <w:r w:rsidRPr="005B5418">
              <w:rPr>
                <w:sz w:val="22"/>
                <w:szCs w:val="22"/>
              </w:rPr>
              <w:t xml:space="preserve">66, including (1) basis of accounting; (2) for entities that collect taxes and duties, factors affecting the </w:t>
            </w:r>
            <w:r w:rsidR="007E08CF" w:rsidRPr="005B5418">
              <w:rPr>
                <w:sz w:val="22"/>
                <w:szCs w:val="22"/>
              </w:rPr>
              <w:t>collectability</w:t>
            </w:r>
            <w:r w:rsidR="00DB4F70" w:rsidRPr="005B5418">
              <w:rPr>
                <w:sz w:val="22"/>
                <w:szCs w:val="22"/>
              </w:rPr>
              <w:t xml:space="preserve"> </w:t>
            </w:r>
            <w:r w:rsidRPr="005B5418">
              <w:rPr>
                <w:sz w:val="22"/>
                <w:szCs w:val="22"/>
              </w:rPr>
              <w:t>and timing of accounts receivable; (3) for entities that collect taxes and duties, cash collections and refunds by tax year and type of tax during the current fiscal year and during the prior fiscal year(s)</w:t>
            </w:r>
            <w:r w:rsidR="00DB4F70" w:rsidRPr="005B5418">
              <w:rPr>
                <w:sz w:val="22"/>
                <w:szCs w:val="22"/>
              </w:rPr>
              <w:t>,</w:t>
            </w:r>
            <w:r w:rsidRPr="005B5418">
              <w:rPr>
                <w:sz w:val="22"/>
                <w:szCs w:val="22"/>
              </w:rPr>
              <w:t xml:space="preserve"> as appropriate; and (4) the reason(s), if any, for not recording trust fund revenues in accordance with applicable law.</w:t>
            </w:r>
            <w:r w:rsidR="00E06DF5" w:rsidRPr="005B5418">
              <w:rPr>
                <w:sz w:val="22"/>
                <w:szCs w:val="22"/>
              </w:rPr>
              <w:t xml:space="preserve"> (A-136, section II.3.8.</w:t>
            </w:r>
            <w:r w:rsidR="00425241" w:rsidRPr="005B5418">
              <w:rPr>
                <w:sz w:val="22"/>
                <w:szCs w:val="22"/>
              </w:rPr>
              <w:t>35</w:t>
            </w:r>
            <w:r w:rsidR="00E06DF5" w:rsidRPr="005B5418">
              <w:rPr>
                <w:sz w:val="22"/>
                <w:szCs w:val="22"/>
              </w:rPr>
              <w:t>)</w:t>
            </w:r>
          </w:p>
          <w:p w14:paraId="42F8E961" w14:textId="2E477276" w:rsidR="003319B9" w:rsidRPr="005B5418" w:rsidRDefault="003319B9" w:rsidP="00E06DF5">
            <w:pPr>
              <w:pStyle w:val="BodyText"/>
              <w:spacing w:before="60" w:after="60" w:line="240" w:lineRule="auto"/>
              <w:jc w:val="left"/>
              <w:rPr>
                <w:b/>
                <w:szCs w:val="22"/>
              </w:rPr>
            </w:pPr>
          </w:p>
        </w:tc>
      </w:tr>
      <w:tr w:rsidR="003319B9" w:rsidRPr="005B5418" w14:paraId="7BEFC1FF" w14:textId="77777777" w:rsidTr="008848DA">
        <w:trPr>
          <w:trHeight w:val="431"/>
        </w:trPr>
        <w:tc>
          <w:tcPr>
            <w:tcW w:w="5399" w:type="dxa"/>
            <w:shd w:val="clear" w:color="auto" w:fill="auto"/>
          </w:tcPr>
          <w:p w14:paraId="342EA431" w14:textId="0521EBA6" w:rsidR="003319B9" w:rsidRPr="005B5418" w:rsidRDefault="003319B9" w:rsidP="005425ED">
            <w:pPr>
              <w:pStyle w:val="FAM-Table-outline"/>
              <w:numPr>
                <w:ilvl w:val="0"/>
                <w:numId w:val="435"/>
              </w:numPr>
              <w:spacing w:line="240" w:lineRule="auto"/>
            </w:pPr>
            <w:r w:rsidRPr="005425ED">
              <w:rPr>
                <w:lang w:val="pt-BR"/>
              </w:rPr>
              <w:t>Is this topic applicable to the entity’s financial statements? (Answer Y if applicable, N/A if not applicable, or N/S if not significant. If N/A or N/S, skip to the next topic</w:t>
            </w:r>
            <w:r w:rsidR="00F17458" w:rsidRPr="005425ED">
              <w:rPr>
                <w:lang w:val="pt-BR"/>
              </w:rPr>
              <w:t>.</w:t>
            </w:r>
            <w:r w:rsidRPr="005425ED">
              <w:rPr>
                <w:lang w:val="pt-BR"/>
              </w:rPr>
              <w:t>)</w:t>
            </w:r>
          </w:p>
        </w:tc>
        <w:tc>
          <w:tcPr>
            <w:tcW w:w="988" w:type="dxa"/>
          </w:tcPr>
          <w:p w14:paraId="7C5DAC16" w14:textId="77777777" w:rsidR="003319B9" w:rsidRPr="005B5418" w:rsidRDefault="003319B9" w:rsidP="008848DA">
            <w:pPr>
              <w:pStyle w:val="Table-Cell-CenterBoldBefore6ptAfter6pt"/>
              <w:spacing w:before="60" w:after="60"/>
            </w:pPr>
          </w:p>
        </w:tc>
        <w:tc>
          <w:tcPr>
            <w:tcW w:w="3208" w:type="dxa"/>
          </w:tcPr>
          <w:p w14:paraId="309FC25A" w14:textId="77777777" w:rsidR="003319B9" w:rsidRPr="005B5418" w:rsidRDefault="003319B9" w:rsidP="008848DA">
            <w:pPr>
              <w:pStyle w:val="BodyTextIndent"/>
              <w:spacing w:before="60" w:after="60"/>
              <w:rPr>
                <w:b/>
              </w:rPr>
            </w:pPr>
          </w:p>
        </w:tc>
      </w:tr>
      <w:tr w:rsidR="003319B9" w:rsidRPr="005B5418" w14:paraId="63EF2EA6" w14:textId="77777777" w:rsidTr="007E497B">
        <w:trPr>
          <w:trHeight w:val="431"/>
        </w:trPr>
        <w:tc>
          <w:tcPr>
            <w:tcW w:w="9595" w:type="dxa"/>
            <w:gridSpan w:val="3"/>
          </w:tcPr>
          <w:p w14:paraId="37F24288" w14:textId="77777777" w:rsidR="003319B9" w:rsidRPr="005B5418" w:rsidRDefault="003319B9" w:rsidP="008848DA">
            <w:pPr>
              <w:pStyle w:val="BodyTextIndent"/>
              <w:spacing w:before="60" w:after="60"/>
              <w:ind w:left="0"/>
              <w:rPr>
                <w:b/>
              </w:rPr>
            </w:pPr>
            <w:r w:rsidRPr="005B5418">
              <w:rPr>
                <w:rFonts w:cs="Arial"/>
                <w:b/>
                <w:lang w:val="pt-BR"/>
              </w:rPr>
              <w:t>Disclosure</w:t>
            </w:r>
          </w:p>
        </w:tc>
      </w:tr>
      <w:tr w:rsidR="003319B9" w:rsidRPr="005B5418" w14:paraId="6DEF7299" w14:textId="77777777" w:rsidTr="008848DA">
        <w:trPr>
          <w:trHeight w:val="4373"/>
        </w:trPr>
        <w:tc>
          <w:tcPr>
            <w:tcW w:w="5399" w:type="dxa"/>
          </w:tcPr>
          <w:p w14:paraId="69DD8EF0" w14:textId="77777777" w:rsidR="003E0C56" w:rsidRPr="005425ED" w:rsidRDefault="003E0C56" w:rsidP="005425ED">
            <w:pPr>
              <w:pStyle w:val="FAM-Table-outline"/>
              <w:numPr>
                <w:ilvl w:val="0"/>
                <w:numId w:val="435"/>
              </w:numPr>
              <w:spacing w:line="240" w:lineRule="auto"/>
              <w:rPr>
                <w:lang w:val="pt-BR"/>
              </w:rPr>
            </w:pPr>
            <w:r w:rsidRPr="005425ED">
              <w:rPr>
                <w:lang w:val="pt-BR"/>
              </w:rPr>
              <w:t xml:space="preserve">For entities that collect non-custodial non-exchange revenue, does the entity disclose </w:t>
            </w:r>
          </w:p>
          <w:p w14:paraId="73C177F5" w14:textId="77777777" w:rsidR="003E0C56" w:rsidRPr="005B5418" w:rsidRDefault="003E0C56" w:rsidP="005425ED">
            <w:pPr>
              <w:pStyle w:val="FAM-Table-outline2"/>
              <w:spacing w:line="240" w:lineRule="auto"/>
              <w:ind w:left="1140" w:hanging="443"/>
            </w:pPr>
            <w:r w:rsidRPr="005B5418">
              <w:t xml:space="preserve">the basis of accounting; </w:t>
            </w:r>
          </w:p>
          <w:p w14:paraId="6023EBFC" w14:textId="5AD8ADF5" w:rsidR="003E0C56" w:rsidRPr="005B5418" w:rsidRDefault="003E0C56" w:rsidP="005425ED">
            <w:pPr>
              <w:pStyle w:val="FAM-Table-outline2"/>
              <w:spacing w:line="240" w:lineRule="auto"/>
              <w:ind w:left="1140" w:hanging="443"/>
            </w:pPr>
            <w:r w:rsidRPr="005B5418">
              <w:t xml:space="preserve">factors affecting the </w:t>
            </w:r>
            <w:r w:rsidR="007E08CF" w:rsidRPr="005B5418">
              <w:t>collectability</w:t>
            </w:r>
            <w:r w:rsidRPr="005B5418">
              <w:t xml:space="preserve"> and timing of accounts receivable;</w:t>
            </w:r>
          </w:p>
          <w:p w14:paraId="5D2117A9" w14:textId="79D075FF" w:rsidR="003E0C56" w:rsidRPr="005B5418" w:rsidRDefault="003E0C56" w:rsidP="005425ED">
            <w:pPr>
              <w:pStyle w:val="FAM-Table-outline2"/>
              <w:spacing w:line="240" w:lineRule="auto"/>
              <w:ind w:left="1140" w:hanging="443"/>
            </w:pPr>
            <w:r w:rsidRPr="005B5418">
              <w:t>cash collections and refunds by tax year and type of tax during the current fiscal year and during the prior fiscal year</w:t>
            </w:r>
            <w:r w:rsidR="00F17458" w:rsidRPr="005B5418">
              <w:t>,</w:t>
            </w:r>
            <w:r w:rsidRPr="005B5418">
              <w:t xml:space="preserve"> as appropriate (see illustrative tables in A-136); and </w:t>
            </w:r>
          </w:p>
          <w:p w14:paraId="59958490" w14:textId="41D5D8A4" w:rsidR="003E0C56" w:rsidRPr="005B5418" w:rsidRDefault="003E0C56" w:rsidP="005425ED">
            <w:pPr>
              <w:pStyle w:val="FAM-Table-outline2"/>
              <w:spacing w:line="240" w:lineRule="auto"/>
              <w:ind w:left="1140" w:hanging="443"/>
            </w:pPr>
            <w:r w:rsidRPr="005B5418">
              <w:t>the reason(s), if any, for not recording trust fund revenues in accordance with applicable law? (A-136, section II.3.8.</w:t>
            </w:r>
            <w:r w:rsidR="00BC4FC6" w:rsidRPr="005B5418">
              <w:t>35</w:t>
            </w:r>
            <w:r w:rsidRPr="005B5418">
              <w:t>)</w:t>
            </w:r>
          </w:p>
          <w:p w14:paraId="580B5DCE" w14:textId="77777777" w:rsidR="003319B9" w:rsidRPr="005B5418" w:rsidRDefault="003319B9" w:rsidP="008848DA">
            <w:pPr>
              <w:pStyle w:val="FAM-Table-outline"/>
              <w:widowControl/>
              <w:numPr>
                <w:ilvl w:val="0"/>
                <w:numId w:val="0"/>
              </w:numPr>
              <w:adjustRightInd/>
              <w:spacing w:line="240" w:lineRule="auto"/>
              <w:ind w:left="1296"/>
              <w:textAlignment w:val="auto"/>
            </w:pPr>
          </w:p>
        </w:tc>
        <w:tc>
          <w:tcPr>
            <w:tcW w:w="988" w:type="dxa"/>
          </w:tcPr>
          <w:p w14:paraId="471A8B57" w14:textId="77777777" w:rsidR="003319B9" w:rsidRPr="005B5418" w:rsidRDefault="003319B9" w:rsidP="008848DA">
            <w:pPr>
              <w:pStyle w:val="Table-Cell-CenterBoldBefore6ptAfter6pt"/>
              <w:spacing w:before="60" w:after="60"/>
            </w:pPr>
          </w:p>
        </w:tc>
        <w:tc>
          <w:tcPr>
            <w:tcW w:w="3208" w:type="dxa"/>
          </w:tcPr>
          <w:p w14:paraId="60606AD6" w14:textId="77777777" w:rsidR="003319B9" w:rsidRPr="005B5418" w:rsidRDefault="003319B9" w:rsidP="008848DA">
            <w:pPr>
              <w:pStyle w:val="BodyTextIndent"/>
              <w:spacing w:before="60" w:after="60"/>
              <w:ind w:left="-119" w:firstLine="479"/>
              <w:rPr>
                <w:b/>
              </w:rPr>
            </w:pPr>
          </w:p>
        </w:tc>
      </w:tr>
    </w:tbl>
    <w:p w14:paraId="0E5D6D92" w14:textId="6BD89E1A" w:rsidR="008624C2" w:rsidRPr="005B5418" w:rsidRDefault="008624C2"/>
    <w:p w14:paraId="70362D99" w14:textId="77777777" w:rsidR="008624C2" w:rsidRPr="005B5418" w:rsidRDefault="008624C2">
      <w:r w:rsidRPr="005B5418">
        <w:br w:type="page"/>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99"/>
        <w:gridCol w:w="965"/>
        <w:gridCol w:w="3209"/>
      </w:tblGrid>
      <w:tr w:rsidR="006C5478" w:rsidRPr="005B5418" w14:paraId="55627FF4" w14:textId="77777777" w:rsidTr="008848DA">
        <w:trPr>
          <w:tblHeader/>
        </w:trPr>
        <w:tc>
          <w:tcPr>
            <w:tcW w:w="5399" w:type="dxa"/>
          </w:tcPr>
          <w:p w14:paraId="160C5624" w14:textId="609F8384" w:rsidR="006C5478" w:rsidRPr="005B5418" w:rsidRDefault="006C5478" w:rsidP="008F3069">
            <w:pPr>
              <w:pStyle w:val="Heading4"/>
              <w:spacing w:before="60" w:after="60" w:line="240" w:lineRule="auto"/>
              <w:jc w:val="left"/>
              <w:rPr>
                <w:b/>
                <w:i/>
                <w:u w:val="none"/>
              </w:rPr>
            </w:pPr>
            <w:bookmarkStart w:id="239" w:name="_II.3.8.44_Reclassification_of"/>
            <w:bookmarkStart w:id="240" w:name="_II.3.8.44_45Reclassification_of"/>
            <w:bookmarkStart w:id="241" w:name="__II.3.8.45_Reclassification_of"/>
            <w:bookmarkStart w:id="242" w:name="_Ref8723932"/>
            <w:bookmarkEnd w:id="239"/>
            <w:bookmarkEnd w:id="240"/>
            <w:bookmarkEnd w:id="241"/>
            <w:r w:rsidRPr="005B5418">
              <w:rPr>
                <w:b/>
                <w:u w:val="none"/>
              </w:rPr>
              <w:lastRenderedPageBreak/>
              <w:t>II.3.8.</w:t>
            </w:r>
            <w:r w:rsidR="00E3480F" w:rsidRPr="005B5418">
              <w:rPr>
                <w:b/>
                <w:u w:val="none"/>
              </w:rPr>
              <w:t xml:space="preserve">36 </w:t>
            </w:r>
            <w:r w:rsidRPr="005B5418">
              <w:rPr>
                <w:b/>
                <w:u w:val="none"/>
              </w:rPr>
              <w:t xml:space="preserve">Reclassification of </w:t>
            </w:r>
            <w:r w:rsidR="00207E37" w:rsidRPr="005B5418">
              <w:rPr>
                <w:b/>
                <w:u w:val="none"/>
              </w:rPr>
              <w:t>Financial</w:t>
            </w:r>
            <w:r w:rsidRPr="005B5418">
              <w:rPr>
                <w:b/>
                <w:u w:val="none"/>
              </w:rPr>
              <w:t xml:space="preserve"> Statement </w:t>
            </w:r>
            <w:bookmarkEnd w:id="242"/>
            <w:r w:rsidR="00207E37" w:rsidRPr="005B5418">
              <w:rPr>
                <w:b/>
                <w:u w:val="none"/>
              </w:rPr>
              <w:t>Line Items</w:t>
            </w:r>
            <w:r w:rsidRPr="005B5418">
              <w:rPr>
                <w:b/>
                <w:u w:val="none"/>
              </w:rPr>
              <w:t xml:space="preserve"> for FR Compilation Process</w:t>
            </w:r>
            <w:r w:rsidR="009A6D60" w:rsidRPr="005B5418">
              <w:rPr>
                <w:b/>
                <w:u w:val="none"/>
              </w:rPr>
              <w:t xml:space="preserve"> - Significant Entities Only</w:t>
            </w:r>
          </w:p>
        </w:tc>
        <w:tc>
          <w:tcPr>
            <w:tcW w:w="965" w:type="dxa"/>
          </w:tcPr>
          <w:p w14:paraId="72514E9C" w14:textId="77777777" w:rsidR="006C5478" w:rsidRPr="005B5418" w:rsidRDefault="006C5478" w:rsidP="001E0250">
            <w:pPr>
              <w:pStyle w:val="TableCellCenter"/>
              <w:jc w:val="left"/>
            </w:pPr>
            <w:r w:rsidRPr="005B5418">
              <w:t>Yes, No, or N/A</w:t>
            </w:r>
          </w:p>
        </w:tc>
        <w:tc>
          <w:tcPr>
            <w:tcW w:w="3209" w:type="dxa"/>
          </w:tcPr>
          <w:p w14:paraId="3441A4F8" w14:textId="28C6A8DE" w:rsidR="006C5478" w:rsidRPr="005B5418" w:rsidRDefault="006C5478" w:rsidP="001E0250">
            <w:pPr>
              <w:pStyle w:val="TableCellCenter"/>
              <w:jc w:val="left"/>
            </w:pPr>
            <w:r w:rsidRPr="005B5418">
              <w:t xml:space="preserve">Explanation </w:t>
            </w:r>
            <w:r w:rsidR="00793342" w:rsidRPr="005B5418">
              <w:t>and</w:t>
            </w:r>
            <w:r w:rsidRPr="005B5418">
              <w:t xml:space="preserve"> Reference</w:t>
            </w:r>
          </w:p>
        </w:tc>
      </w:tr>
      <w:tr w:rsidR="006C5478" w:rsidRPr="005B5418" w14:paraId="483DD43E" w14:textId="77777777" w:rsidTr="008848DA">
        <w:tc>
          <w:tcPr>
            <w:tcW w:w="9573" w:type="dxa"/>
            <w:gridSpan w:val="3"/>
          </w:tcPr>
          <w:p w14:paraId="63C23D84" w14:textId="4D31EA84" w:rsidR="009A6D60" w:rsidRPr="005B5418" w:rsidRDefault="009A6D60" w:rsidP="009A6D60">
            <w:pPr>
              <w:autoSpaceDE w:val="0"/>
              <w:autoSpaceDN w:val="0"/>
              <w:adjustRightInd w:val="0"/>
              <w:spacing w:before="60" w:after="60" w:line="240" w:lineRule="auto"/>
              <w:ind w:left="-35"/>
              <w:rPr>
                <w:rFonts w:ascii="Arial" w:hAnsi="Arial" w:cs="Arial"/>
              </w:rPr>
            </w:pPr>
            <w:r w:rsidRPr="005B5418">
              <w:rPr>
                <w:rFonts w:ascii="Arial" w:hAnsi="Arial" w:cs="Arial"/>
              </w:rPr>
              <w:t xml:space="preserve">Only </w:t>
            </w:r>
            <w:r w:rsidRPr="005425ED">
              <w:rPr>
                <w:rFonts w:ascii="Arial" w:hAnsi="Arial" w:cs="Arial"/>
                <w:b/>
                <w:bCs/>
              </w:rPr>
              <w:t>significant entities</w:t>
            </w:r>
            <w:r w:rsidRPr="005B5418">
              <w:rPr>
                <w:rFonts w:ascii="Arial" w:hAnsi="Arial" w:cs="Arial"/>
              </w:rPr>
              <w:t xml:space="preserve"> with at least one GTAS non-federal line item in excess of $5 billion are required to prepare this note. (A-136, section II.3.8.36)</w:t>
            </w:r>
          </w:p>
          <w:p w14:paraId="5C7AC553" w14:textId="15045F21" w:rsidR="00F85197" w:rsidRPr="005B5418" w:rsidRDefault="006C5478" w:rsidP="005436B9">
            <w:pPr>
              <w:autoSpaceDE w:val="0"/>
              <w:autoSpaceDN w:val="0"/>
              <w:adjustRightInd w:val="0"/>
              <w:spacing w:before="60" w:after="60" w:line="240" w:lineRule="auto"/>
              <w:ind w:left="-35"/>
              <w:rPr>
                <w:rFonts w:ascii="Arial" w:hAnsi="Arial" w:cs="Arial"/>
              </w:rPr>
            </w:pPr>
            <w:r w:rsidRPr="005B5418">
              <w:rPr>
                <w:rFonts w:ascii="Arial" w:hAnsi="Arial" w:cs="Arial"/>
              </w:rPr>
              <w:t xml:space="preserve">This note shows how line items in the </w:t>
            </w:r>
            <w:r w:rsidR="00BC4FC6" w:rsidRPr="005B5418">
              <w:rPr>
                <w:rFonts w:ascii="Arial" w:hAnsi="Arial" w:cs="Arial"/>
              </w:rPr>
              <w:t xml:space="preserve">financial </w:t>
            </w:r>
            <w:r w:rsidRPr="005B5418">
              <w:rPr>
                <w:rFonts w:ascii="Arial" w:hAnsi="Arial" w:cs="Arial"/>
              </w:rPr>
              <w:t xml:space="preserve">statements of </w:t>
            </w:r>
            <w:r w:rsidRPr="005B5418">
              <w:rPr>
                <w:rFonts w:ascii="Arial" w:hAnsi="Arial" w:cs="Arial"/>
                <w:b/>
              </w:rPr>
              <w:t>significant entities</w:t>
            </w:r>
            <w:r w:rsidRPr="005B5418">
              <w:rPr>
                <w:rFonts w:ascii="Arial" w:hAnsi="Arial" w:cs="Arial"/>
              </w:rPr>
              <w:t xml:space="preserve"> relate to line items that can be used to compile the FR</w:t>
            </w:r>
            <w:r w:rsidR="009F3AC9" w:rsidRPr="005B5418">
              <w:rPr>
                <w:rFonts w:ascii="Arial" w:hAnsi="Arial" w:cs="Arial"/>
              </w:rPr>
              <w:t xml:space="preserve"> </w:t>
            </w:r>
            <w:r w:rsidRPr="005B5418">
              <w:rPr>
                <w:rFonts w:ascii="Arial" w:hAnsi="Arial" w:cs="Arial"/>
              </w:rPr>
              <w:t>statements</w:t>
            </w:r>
            <w:r w:rsidR="00367526" w:rsidRPr="005B5418">
              <w:rPr>
                <w:rFonts w:ascii="Arial" w:hAnsi="Arial" w:cs="Arial"/>
              </w:rPr>
              <w:t xml:space="preserve"> and is broken out between Funds from Dedicated Collections and other funds</w:t>
            </w:r>
            <w:r w:rsidR="009F3AC9" w:rsidRPr="005B5418">
              <w:rPr>
                <w:rFonts w:ascii="Arial" w:hAnsi="Arial" w:cs="Arial"/>
              </w:rPr>
              <w:t>.</w:t>
            </w:r>
            <w:r w:rsidR="00B054B0" w:rsidRPr="005B5418">
              <w:rPr>
                <w:rStyle w:val="FootnoteReference"/>
                <w:rFonts w:ascii="Arial" w:hAnsi="Arial" w:cs="Arial"/>
              </w:rPr>
              <w:footnoteReference w:id="260"/>
            </w:r>
            <w:r w:rsidRPr="005B5418">
              <w:rPr>
                <w:rFonts w:ascii="Arial" w:hAnsi="Arial" w:cs="Arial"/>
              </w:rPr>
              <w:t xml:space="preserve"> </w:t>
            </w:r>
          </w:p>
          <w:p w14:paraId="2F876628" w14:textId="1F03F608" w:rsidR="003A3266" w:rsidRPr="005B5418" w:rsidRDefault="00207E37" w:rsidP="005436B9">
            <w:pPr>
              <w:autoSpaceDE w:val="0"/>
              <w:autoSpaceDN w:val="0"/>
              <w:adjustRightInd w:val="0"/>
              <w:spacing w:before="60" w:after="60" w:line="240" w:lineRule="auto"/>
              <w:ind w:left="-35"/>
              <w:rPr>
                <w:rFonts w:ascii="Arial" w:hAnsi="Arial" w:cs="Arial"/>
              </w:rPr>
            </w:pPr>
            <w:r w:rsidRPr="005B5418">
              <w:rPr>
                <w:rFonts w:ascii="Arial" w:hAnsi="Arial" w:cs="Arial"/>
              </w:rPr>
              <w:t>Significant entities using the Balance Sheet Template in</w:t>
            </w:r>
            <w:r w:rsidR="000B696E" w:rsidRPr="005B5418">
              <w:rPr>
                <w:rFonts w:ascii="Arial" w:hAnsi="Arial" w:cs="Arial"/>
              </w:rPr>
              <w:t xml:space="preserve"> </w:t>
            </w:r>
            <w:r w:rsidR="00C34770" w:rsidRPr="005B5418">
              <w:rPr>
                <w:rFonts w:ascii="Arial" w:hAnsi="Arial" w:cs="Arial"/>
              </w:rPr>
              <w:t xml:space="preserve">A-136, </w:t>
            </w:r>
            <w:r w:rsidRPr="005B5418">
              <w:rPr>
                <w:rFonts w:ascii="Arial" w:hAnsi="Arial" w:cs="Arial"/>
              </w:rPr>
              <w:t>section II.3.2.2</w:t>
            </w:r>
            <w:r w:rsidR="00C34770" w:rsidRPr="005B5418">
              <w:rPr>
                <w:rFonts w:ascii="Arial" w:hAnsi="Arial" w:cs="Arial"/>
              </w:rPr>
              <w:t>,</w:t>
            </w:r>
            <w:r w:rsidRPr="005B5418">
              <w:rPr>
                <w:rFonts w:ascii="Arial" w:hAnsi="Arial" w:cs="Arial"/>
              </w:rPr>
              <w:t xml:space="preserve"> do not need to disclose any </w:t>
            </w:r>
            <w:r w:rsidR="001B5C17" w:rsidRPr="005B5418">
              <w:rPr>
                <w:rFonts w:ascii="Arial" w:hAnsi="Arial" w:cs="Arial"/>
              </w:rPr>
              <w:t>balance sheet</w:t>
            </w:r>
            <w:r w:rsidRPr="005B5418">
              <w:rPr>
                <w:rFonts w:ascii="Arial" w:hAnsi="Arial" w:cs="Arial"/>
              </w:rPr>
              <w:t xml:space="preserve"> information in this </w:t>
            </w:r>
            <w:r w:rsidR="00C34770" w:rsidRPr="005B5418">
              <w:rPr>
                <w:rFonts w:ascii="Arial" w:hAnsi="Arial" w:cs="Arial"/>
              </w:rPr>
              <w:t>n</w:t>
            </w:r>
            <w:r w:rsidRPr="005B5418">
              <w:rPr>
                <w:rFonts w:ascii="Arial" w:hAnsi="Arial" w:cs="Arial"/>
              </w:rPr>
              <w:t xml:space="preserve">ote. However, significant entities </w:t>
            </w:r>
            <w:r w:rsidR="001868E6" w:rsidRPr="005B5418">
              <w:rPr>
                <w:rFonts w:ascii="Arial" w:hAnsi="Arial" w:cs="Arial"/>
              </w:rPr>
              <w:t xml:space="preserve">deviating from </w:t>
            </w:r>
            <w:r w:rsidR="00CB26CC" w:rsidRPr="005B5418">
              <w:rPr>
                <w:rFonts w:ascii="Arial" w:hAnsi="Arial" w:cs="Arial"/>
              </w:rPr>
              <w:t xml:space="preserve">section II.3.2.2 </w:t>
            </w:r>
            <w:r w:rsidRPr="005B5418">
              <w:rPr>
                <w:rFonts w:ascii="Arial" w:hAnsi="Arial" w:cs="Arial"/>
              </w:rPr>
              <w:t xml:space="preserve">must disclose a reclassification of the </w:t>
            </w:r>
            <w:r w:rsidR="001B5C17" w:rsidRPr="005B5418">
              <w:rPr>
                <w:rFonts w:ascii="Arial" w:hAnsi="Arial" w:cs="Arial"/>
              </w:rPr>
              <w:t>balance sheet</w:t>
            </w:r>
            <w:r w:rsidRPr="005B5418">
              <w:rPr>
                <w:rFonts w:ascii="Arial" w:hAnsi="Arial" w:cs="Arial"/>
              </w:rPr>
              <w:t xml:space="preserve"> using the crosswalk</w:t>
            </w:r>
            <w:r w:rsidR="006163D1" w:rsidRPr="005B5418">
              <w:rPr>
                <w:rFonts w:ascii="Arial" w:hAnsi="Arial" w:cs="Arial"/>
              </w:rPr>
              <w:t>s</w:t>
            </w:r>
            <w:r w:rsidRPr="005B5418">
              <w:rPr>
                <w:rFonts w:ascii="Arial" w:hAnsi="Arial" w:cs="Arial"/>
              </w:rPr>
              <w:t xml:space="preserve"> </w:t>
            </w:r>
            <w:r w:rsidR="00D034CA" w:rsidRPr="005B5418">
              <w:rPr>
                <w:rFonts w:ascii="Arial" w:hAnsi="Arial" w:cs="Arial"/>
              </w:rPr>
              <w:t>that can be obtained from Fiscal Service</w:t>
            </w:r>
            <w:r w:rsidRPr="005B5418">
              <w:rPr>
                <w:rFonts w:ascii="Arial" w:hAnsi="Arial" w:cs="Arial"/>
              </w:rPr>
              <w:t xml:space="preserve">. </w:t>
            </w:r>
            <w:r w:rsidR="007A61CC" w:rsidRPr="005B5418">
              <w:rPr>
                <w:rFonts w:ascii="Arial" w:hAnsi="Arial" w:cs="Arial"/>
              </w:rPr>
              <w:t xml:space="preserve">In addition, significant entities with </w:t>
            </w:r>
            <w:r w:rsidR="00BE04A9" w:rsidRPr="005B5418">
              <w:rPr>
                <w:rFonts w:ascii="Arial" w:hAnsi="Arial" w:cs="Arial"/>
              </w:rPr>
              <w:t xml:space="preserve">Funds from </w:t>
            </w:r>
            <w:r w:rsidR="007A61CC" w:rsidRPr="005B5418">
              <w:rPr>
                <w:rFonts w:ascii="Arial" w:hAnsi="Arial" w:cs="Arial"/>
              </w:rPr>
              <w:t xml:space="preserve">Dedicated Collections that do not use the </w:t>
            </w:r>
            <w:r w:rsidR="00BE04A9" w:rsidRPr="005B5418">
              <w:rPr>
                <w:rFonts w:ascii="Arial" w:hAnsi="Arial" w:cs="Arial"/>
              </w:rPr>
              <w:t xml:space="preserve">Funds from </w:t>
            </w:r>
            <w:r w:rsidR="007A61CC" w:rsidRPr="005B5418">
              <w:rPr>
                <w:rFonts w:ascii="Arial" w:hAnsi="Arial" w:cs="Arial"/>
              </w:rPr>
              <w:t xml:space="preserve">Dedicated Collections Template in </w:t>
            </w:r>
            <w:r w:rsidR="002B1AAC" w:rsidRPr="005B5418">
              <w:rPr>
                <w:rFonts w:ascii="Arial" w:hAnsi="Arial" w:cs="Arial"/>
              </w:rPr>
              <w:t xml:space="preserve">the </w:t>
            </w:r>
            <w:r w:rsidR="00C84CD5" w:rsidRPr="005B5418">
              <w:rPr>
                <w:rFonts w:ascii="Arial" w:hAnsi="Arial" w:cs="Arial"/>
              </w:rPr>
              <w:t>corresponding</w:t>
            </w:r>
            <w:r w:rsidR="002B1AAC" w:rsidRPr="005B5418">
              <w:rPr>
                <w:rFonts w:ascii="Arial" w:hAnsi="Arial" w:cs="Arial"/>
              </w:rPr>
              <w:t xml:space="preserve"> note</w:t>
            </w:r>
            <w:r w:rsidR="007A61CC" w:rsidRPr="005B5418">
              <w:rPr>
                <w:rFonts w:ascii="Arial" w:hAnsi="Arial" w:cs="Arial"/>
              </w:rPr>
              <w:t xml:space="preserve"> must provide Fiscal Service </w:t>
            </w:r>
            <w:r w:rsidR="00E23DF1" w:rsidRPr="005B5418">
              <w:rPr>
                <w:rFonts w:ascii="Arial" w:hAnsi="Arial" w:cs="Arial"/>
              </w:rPr>
              <w:t xml:space="preserve">with </w:t>
            </w:r>
            <w:r w:rsidR="002B1AAC" w:rsidRPr="005B5418">
              <w:rPr>
                <w:rFonts w:ascii="Arial" w:hAnsi="Arial" w:cs="Arial"/>
              </w:rPr>
              <w:t>the Reclassification of Financial Statement Line Items for Financial Report Compilation Process note</w:t>
            </w:r>
            <w:r w:rsidR="00BC4FC6" w:rsidRPr="005B5418">
              <w:rPr>
                <w:rFonts w:ascii="Arial" w:hAnsi="Arial" w:cs="Arial"/>
              </w:rPr>
              <w:t xml:space="preserve"> </w:t>
            </w:r>
            <w:r w:rsidR="007A61CC" w:rsidRPr="005B5418">
              <w:rPr>
                <w:rFonts w:ascii="Arial" w:hAnsi="Arial" w:cs="Arial"/>
              </w:rPr>
              <w:t xml:space="preserve">Balance Sheet information. </w:t>
            </w:r>
            <w:r w:rsidR="006C5478" w:rsidRPr="005B5418">
              <w:rPr>
                <w:rFonts w:ascii="Arial" w:hAnsi="Arial" w:cs="Arial"/>
              </w:rPr>
              <w:t>(A-136, section II.3.8.</w:t>
            </w:r>
            <w:r w:rsidR="00BC4FC6" w:rsidRPr="005B5418">
              <w:rPr>
                <w:rFonts w:ascii="Arial" w:hAnsi="Arial" w:cs="Arial"/>
              </w:rPr>
              <w:t>36</w:t>
            </w:r>
            <w:r w:rsidR="006C5478" w:rsidRPr="005B5418">
              <w:rPr>
                <w:rFonts w:ascii="Arial" w:hAnsi="Arial" w:cs="Arial"/>
              </w:rPr>
              <w:t>)</w:t>
            </w:r>
          </w:p>
          <w:p w14:paraId="72E2734F" w14:textId="76024F65" w:rsidR="009A14D0" w:rsidRPr="005B5418" w:rsidRDefault="009A14D0" w:rsidP="005436B9">
            <w:pPr>
              <w:autoSpaceDE w:val="0"/>
              <w:autoSpaceDN w:val="0"/>
              <w:adjustRightInd w:val="0"/>
              <w:spacing w:before="60" w:after="60" w:line="240" w:lineRule="auto"/>
              <w:ind w:left="-35"/>
              <w:rPr>
                <w:rFonts w:ascii="Arial" w:hAnsi="Arial" w:cs="Arial"/>
              </w:rPr>
            </w:pPr>
            <w:r w:rsidRPr="005B5418">
              <w:rPr>
                <w:rFonts w:ascii="Arial" w:hAnsi="Arial" w:cs="Arial"/>
                <w:b/>
                <w:bCs/>
              </w:rPr>
              <w:t>Significant entities</w:t>
            </w:r>
            <w:r w:rsidRPr="005B5418">
              <w:rPr>
                <w:rFonts w:ascii="Arial" w:hAnsi="Arial" w:cs="Arial"/>
              </w:rPr>
              <w:t xml:space="preserve"> must disclose for the current year a reclassification of the entity’s SCNP using the crosswalk from the USSGL site, noted above. </w:t>
            </w:r>
          </w:p>
          <w:p w14:paraId="5EFBDB77" w14:textId="231971AE" w:rsidR="009A14D0" w:rsidRPr="005B5418" w:rsidRDefault="009A14D0" w:rsidP="005436B9">
            <w:pPr>
              <w:autoSpaceDE w:val="0"/>
              <w:autoSpaceDN w:val="0"/>
              <w:adjustRightInd w:val="0"/>
              <w:spacing w:before="60" w:after="60" w:line="240" w:lineRule="auto"/>
              <w:ind w:left="-35"/>
              <w:rPr>
                <w:rFonts w:ascii="Arial" w:hAnsi="Arial" w:cs="Arial"/>
              </w:rPr>
            </w:pPr>
            <w:r w:rsidRPr="005B5418">
              <w:rPr>
                <w:rFonts w:ascii="Arial" w:hAnsi="Arial" w:cs="Arial"/>
              </w:rPr>
              <w:t>All significant entities must also disclose a reclassified SNC, using the USSGL crosswalk.</w:t>
            </w:r>
          </w:p>
          <w:p w14:paraId="58B5ED83" w14:textId="7433A418" w:rsidR="006C5478" w:rsidRPr="005B5418" w:rsidRDefault="00BA490D" w:rsidP="005436B9">
            <w:pPr>
              <w:autoSpaceDE w:val="0"/>
              <w:autoSpaceDN w:val="0"/>
              <w:adjustRightInd w:val="0"/>
              <w:spacing w:before="60" w:after="60" w:line="240" w:lineRule="auto"/>
              <w:ind w:left="-35"/>
              <w:rPr>
                <w:rFonts w:ascii="Arial" w:hAnsi="Arial" w:cs="Arial"/>
              </w:rPr>
            </w:pPr>
            <w:r w:rsidRPr="005B5418">
              <w:rPr>
                <w:rFonts w:ascii="Arial" w:hAnsi="Arial" w:cs="Arial"/>
              </w:rPr>
              <w:t>T</w:t>
            </w:r>
            <w:r w:rsidR="006C5478" w:rsidRPr="005B5418">
              <w:rPr>
                <w:rFonts w:ascii="Arial" w:hAnsi="Arial" w:cs="Arial"/>
              </w:rPr>
              <w:t xml:space="preserve">he significant entity </w:t>
            </w:r>
            <w:r w:rsidR="00EA4EE9" w:rsidRPr="005B5418">
              <w:rPr>
                <w:rFonts w:ascii="Arial" w:hAnsi="Arial" w:cs="Arial"/>
              </w:rPr>
              <w:t xml:space="preserve">should </w:t>
            </w:r>
            <w:r w:rsidR="006C5478" w:rsidRPr="005B5418">
              <w:rPr>
                <w:rFonts w:ascii="Arial" w:hAnsi="Arial" w:cs="Arial"/>
              </w:rPr>
              <w:t>modify the illustrative statements</w:t>
            </w:r>
            <w:r w:rsidR="00A0324B" w:rsidRPr="005B5418">
              <w:rPr>
                <w:rFonts w:ascii="Arial" w:hAnsi="Arial" w:cs="Arial"/>
              </w:rPr>
              <w:t xml:space="preserve"> (presented in A-136, section II.3.8.</w:t>
            </w:r>
            <w:r w:rsidR="00BC4FC6" w:rsidRPr="005B5418">
              <w:rPr>
                <w:rFonts w:ascii="Arial" w:hAnsi="Arial" w:cs="Arial"/>
              </w:rPr>
              <w:t>36</w:t>
            </w:r>
            <w:r w:rsidR="00A0324B" w:rsidRPr="005B5418">
              <w:rPr>
                <w:rFonts w:ascii="Arial" w:hAnsi="Arial" w:cs="Arial"/>
              </w:rPr>
              <w:t>)</w:t>
            </w:r>
            <w:r w:rsidR="006C5478" w:rsidRPr="005B5418">
              <w:rPr>
                <w:rFonts w:ascii="Arial" w:hAnsi="Arial" w:cs="Arial"/>
              </w:rPr>
              <w:t xml:space="preserve"> to show </w:t>
            </w:r>
            <w:r w:rsidR="00BE2883" w:rsidRPr="005B5418">
              <w:rPr>
                <w:rFonts w:ascii="Arial" w:hAnsi="Arial" w:cs="Arial"/>
              </w:rPr>
              <w:t xml:space="preserve">in the two “Entity” columns </w:t>
            </w:r>
            <w:r w:rsidR="006C5478" w:rsidRPr="005B5418">
              <w:rPr>
                <w:rFonts w:ascii="Arial" w:hAnsi="Arial" w:cs="Arial"/>
              </w:rPr>
              <w:t xml:space="preserve">the line items </w:t>
            </w:r>
            <w:r w:rsidR="00BE2883" w:rsidRPr="005B5418">
              <w:rPr>
                <w:rFonts w:ascii="Arial" w:hAnsi="Arial" w:cs="Arial"/>
              </w:rPr>
              <w:t xml:space="preserve">from </w:t>
            </w:r>
            <w:r w:rsidR="00DA55B5" w:rsidRPr="005B5418">
              <w:rPr>
                <w:rFonts w:ascii="Arial" w:hAnsi="Arial" w:cs="Arial"/>
              </w:rPr>
              <w:t xml:space="preserve">its </w:t>
            </w:r>
            <w:r w:rsidR="006C5478" w:rsidRPr="005B5418">
              <w:rPr>
                <w:rFonts w:ascii="Arial" w:hAnsi="Arial" w:cs="Arial"/>
              </w:rPr>
              <w:t xml:space="preserve">financial statements and to show </w:t>
            </w:r>
            <w:r w:rsidR="00BE2883" w:rsidRPr="005B5418">
              <w:rPr>
                <w:rFonts w:ascii="Arial" w:hAnsi="Arial" w:cs="Arial"/>
              </w:rPr>
              <w:t xml:space="preserve">in the six </w:t>
            </w:r>
            <w:r w:rsidR="008A31DD" w:rsidRPr="005B5418">
              <w:rPr>
                <w:rFonts w:ascii="Arial" w:hAnsi="Arial" w:cs="Arial"/>
              </w:rPr>
              <w:t>“Government</w:t>
            </w:r>
            <w:r w:rsidR="0075673D" w:rsidRPr="005B5418">
              <w:rPr>
                <w:rFonts w:ascii="Arial" w:hAnsi="Arial" w:cs="Arial"/>
              </w:rPr>
              <w:t>-</w:t>
            </w:r>
            <w:r w:rsidR="00BE2883" w:rsidRPr="005B5418">
              <w:rPr>
                <w:rFonts w:ascii="Arial" w:hAnsi="Arial" w:cs="Arial"/>
              </w:rPr>
              <w:t>wid</w:t>
            </w:r>
            <w:r w:rsidR="008A31DD" w:rsidRPr="005B5418">
              <w:rPr>
                <w:rFonts w:ascii="Arial" w:hAnsi="Arial" w:cs="Arial"/>
              </w:rPr>
              <w:t>e”</w:t>
            </w:r>
            <w:r w:rsidR="00BE2883" w:rsidRPr="005B5418">
              <w:rPr>
                <w:rFonts w:ascii="Arial" w:hAnsi="Arial" w:cs="Arial"/>
              </w:rPr>
              <w:t xml:space="preserve"> columns </w:t>
            </w:r>
            <w:r w:rsidR="006C5478" w:rsidRPr="005B5418">
              <w:rPr>
                <w:rFonts w:ascii="Arial" w:hAnsi="Arial" w:cs="Arial"/>
              </w:rPr>
              <w:t xml:space="preserve">line items </w:t>
            </w:r>
            <w:r w:rsidR="00BE2883" w:rsidRPr="005B5418">
              <w:rPr>
                <w:rFonts w:ascii="Arial" w:hAnsi="Arial" w:cs="Arial"/>
              </w:rPr>
              <w:t xml:space="preserve">from </w:t>
            </w:r>
            <w:r w:rsidR="00DA55B5" w:rsidRPr="005B5418">
              <w:rPr>
                <w:rFonts w:ascii="Arial" w:hAnsi="Arial" w:cs="Arial"/>
              </w:rPr>
              <w:t xml:space="preserve">its </w:t>
            </w:r>
            <w:r w:rsidR="006C5478" w:rsidRPr="005B5418">
              <w:rPr>
                <w:rFonts w:ascii="Arial" w:hAnsi="Arial" w:cs="Arial"/>
              </w:rPr>
              <w:t>reclassified financial statements</w:t>
            </w:r>
            <w:r w:rsidR="00BE2883" w:rsidRPr="005B5418">
              <w:rPr>
                <w:rFonts w:ascii="Arial" w:hAnsi="Arial" w:cs="Arial"/>
              </w:rPr>
              <w:t xml:space="preserve"> (broken out between Funds from Dedicated Collections and other funds). </w:t>
            </w:r>
            <w:r w:rsidR="00AC27B8" w:rsidRPr="005B5418">
              <w:rPr>
                <w:rFonts w:ascii="Arial" w:hAnsi="Arial" w:cs="Arial"/>
              </w:rPr>
              <w:t xml:space="preserve">However, entities that have </w:t>
            </w:r>
            <w:r w:rsidR="00BE04A9" w:rsidRPr="005B5418">
              <w:rPr>
                <w:rFonts w:ascii="Arial" w:hAnsi="Arial" w:cs="Arial"/>
              </w:rPr>
              <w:t xml:space="preserve">Funds from </w:t>
            </w:r>
            <w:r w:rsidR="00AC27B8" w:rsidRPr="005B5418">
              <w:rPr>
                <w:rFonts w:ascii="Arial" w:hAnsi="Arial" w:cs="Arial"/>
              </w:rPr>
              <w:t xml:space="preserve">Dedicated Collections and present the SCNP on a consolidated basis, and use the </w:t>
            </w:r>
            <w:r w:rsidR="00BE04A9" w:rsidRPr="005B5418">
              <w:rPr>
                <w:rFonts w:ascii="Arial" w:hAnsi="Arial" w:cs="Arial"/>
              </w:rPr>
              <w:t xml:space="preserve">Funds from </w:t>
            </w:r>
            <w:r w:rsidR="00AC27B8" w:rsidRPr="005B5418">
              <w:rPr>
                <w:rFonts w:ascii="Arial" w:hAnsi="Arial" w:cs="Arial"/>
              </w:rPr>
              <w:t xml:space="preserve">Dedicated Collections Template in </w:t>
            </w:r>
            <w:r w:rsidR="002B1AAC" w:rsidRPr="005B5418">
              <w:rPr>
                <w:rFonts w:ascii="Arial" w:hAnsi="Arial" w:cs="Arial"/>
              </w:rPr>
              <w:t xml:space="preserve">the </w:t>
            </w:r>
            <w:r w:rsidR="00C84CD5" w:rsidRPr="005B5418">
              <w:rPr>
                <w:rFonts w:ascii="Arial" w:hAnsi="Arial" w:cs="Arial"/>
              </w:rPr>
              <w:t>corresponding</w:t>
            </w:r>
            <w:r w:rsidR="002B1AAC" w:rsidRPr="005B5418">
              <w:rPr>
                <w:rFonts w:ascii="Arial" w:hAnsi="Arial" w:cs="Arial"/>
              </w:rPr>
              <w:t xml:space="preserve"> note</w:t>
            </w:r>
            <w:r w:rsidR="0075673D" w:rsidRPr="005B5418">
              <w:rPr>
                <w:rFonts w:ascii="Arial" w:hAnsi="Arial" w:cs="Arial"/>
              </w:rPr>
              <w:t>,</w:t>
            </w:r>
            <w:r w:rsidR="00AC27B8" w:rsidRPr="005B5418">
              <w:rPr>
                <w:rFonts w:ascii="Arial" w:hAnsi="Arial" w:cs="Arial"/>
              </w:rPr>
              <w:t xml:space="preserve"> do not need to </w:t>
            </w:r>
            <w:r w:rsidR="00311343" w:rsidRPr="005B5418">
              <w:rPr>
                <w:rFonts w:ascii="Arial" w:hAnsi="Arial" w:cs="Arial"/>
              </w:rPr>
              <w:t>disclose</w:t>
            </w:r>
            <w:r w:rsidR="00AC27B8" w:rsidRPr="005B5418">
              <w:rPr>
                <w:rFonts w:ascii="Arial" w:hAnsi="Arial" w:cs="Arial"/>
              </w:rPr>
              <w:t xml:space="preserve"> the four middle columns associated with the combined amounts and eliminations in the illustrative reclassification of the SCNP statement. </w:t>
            </w:r>
          </w:p>
          <w:p w14:paraId="5665AA62" w14:textId="21705FB8" w:rsidR="002525C2" w:rsidRPr="005B5418" w:rsidRDefault="002525C2" w:rsidP="005436B9">
            <w:pPr>
              <w:pStyle w:val="BodyText"/>
              <w:spacing w:before="60" w:after="60" w:line="240" w:lineRule="auto"/>
              <w:ind w:left="-35"/>
              <w:jc w:val="left"/>
              <w:rPr>
                <w:spacing w:val="-1"/>
                <w:sz w:val="22"/>
                <w:szCs w:val="22"/>
              </w:rPr>
            </w:pPr>
            <w:r w:rsidRPr="005B5418">
              <w:rPr>
                <w:spacing w:val="-1"/>
                <w:sz w:val="22"/>
                <w:szCs w:val="22"/>
              </w:rPr>
              <w:t>The “Dedicated Collections Combined” column should reflect all transactions that involve Funds from Dedicated Collections, including intra-entity and inter-entity transactions. The consolidated presentation must include all inter-entity transactions that involve Funds from Dedicated Collections.</w:t>
            </w:r>
          </w:p>
          <w:p w14:paraId="15464BBE" w14:textId="0E2E016D" w:rsidR="002525C2" w:rsidRPr="005B5418" w:rsidRDefault="002525C2" w:rsidP="009654F9">
            <w:pPr>
              <w:pStyle w:val="BodyText"/>
              <w:spacing w:before="60" w:after="60" w:line="240" w:lineRule="auto"/>
              <w:ind w:left="-35"/>
              <w:jc w:val="left"/>
              <w:rPr>
                <w:sz w:val="22"/>
                <w:szCs w:val="22"/>
              </w:rPr>
            </w:pPr>
            <w:r w:rsidRPr="005B5418">
              <w:rPr>
                <w:sz w:val="22"/>
                <w:szCs w:val="22"/>
              </w:rPr>
              <w:t xml:space="preserve">The “Dedicated Collections Eliminations” column should reflect intra-entity transactions that involve only Funds from Dedicated Collections.  </w:t>
            </w:r>
          </w:p>
          <w:p w14:paraId="44D47F35" w14:textId="0CE845AE" w:rsidR="002525C2" w:rsidRPr="005B5418" w:rsidRDefault="002525C2">
            <w:pPr>
              <w:pStyle w:val="BodyText"/>
              <w:spacing w:before="60" w:after="60" w:line="240" w:lineRule="auto"/>
              <w:ind w:left="-35"/>
              <w:jc w:val="left"/>
              <w:rPr>
                <w:sz w:val="22"/>
                <w:szCs w:val="22"/>
              </w:rPr>
            </w:pPr>
            <w:r w:rsidRPr="005B5418">
              <w:rPr>
                <w:sz w:val="22"/>
                <w:szCs w:val="22"/>
              </w:rPr>
              <w:t>The “Other</w:t>
            </w:r>
            <w:r w:rsidR="00BE4206" w:rsidRPr="005B5418">
              <w:rPr>
                <w:sz w:val="22"/>
                <w:szCs w:val="22"/>
              </w:rPr>
              <w:t xml:space="preserve"> than Dedicated Collections</w:t>
            </w:r>
            <w:r w:rsidRPr="005B5418">
              <w:rPr>
                <w:sz w:val="22"/>
                <w:szCs w:val="22"/>
              </w:rPr>
              <w:t xml:space="preserve"> Amounts (with Eliminations)” column should reflect inter-entity transactions that involve only</w:t>
            </w:r>
            <w:r w:rsidR="00E36F9A" w:rsidRPr="005B5418">
              <w:rPr>
                <w:sz w:val="22"/>
                <w:szCs w:val="22"/>
              </w:rPr>
              <w:t xml:space="preserve"> </w:t>
            </w:r>
            <w:r w:rsidR="00801523" w:rsidRPr="005B5418">
              <w:rPr>
                <w:sz w:val="22"/>
                <w:szCs w:val="22"/>
              </w:rPr>
              <w:t xml:space="preserve">funds </w:t>
            </w:r>
            <w:r w:rsidR="003E0C44" w:rsidRPr="005B5418">
              <w:rPr>
                <w:sz w:val="22"/>
                <w:szCs w:val="22"/>
              </w:rPr>
              <w:t>other than those from</w:t>
            </w:r>
            <w:r w:rsidR="00A96F7B" w:rsidRPr="005B5418">
              <w:rPr>
                <w:sz w:val="22"/>
                <w:szCs w:val="22"/>
              </w:rPr>
              <w:t xml:space="preserve"> </w:t>
            </w:r>
            <w:r w:rsidRPr="005B5418">
              <w:rPr>
                <w:sz w:val="22"/>
                <w:szCs w:val="22"/>
              </w:rPr>
              <w:t>dedicated collections. It should not reflect transactions that are intra-entity (except transaction</w:t>
            </w:r>
            <w:r w:rsidR="00207E37" w:rsidRPr="005B5418">
              <w:rPr>
                <w:sz w:val="22"/>
                <w:szCs w:val="22"/>
              </w:rPr>
              <w:t>s</w:t>
            </w:r>
            <w:r w:rsidRPr="005B5418">
              <w:rPr>
                <w:sz w:val="22"/>
                <w:szCs w:val="22"/>
              </w:rPr>
              <w:t xml:space="preserve"> with Funds from Dedicated Collections) or transactions that are included in the Funds from Dedicated Collections Combined column.</w:t>
            </w:r>
          </w:p>
          <w:p w14:paraId="2720DD29" w14:textId="0F5B1741" w:rsidR="002525C2" w:rsidRPr="005B5418" w:rsidRDefault="002525C2">
            <w:pPr>
              <w:pStyle w:val="BodyText"/>
              <w:spacing w:before="60" w:after="60" w:line="240" w:lineRule="auto"/>
              <w:ind w:left="-35"/>
              <w:jc w:val="left"/>
              <w:rPr>
                <w:sz w:val="22"/>
                <w:szCs w:val="22"/>
              </w:rPr>
            </w:pPr>
            <w:r w:rsidRPr="005B5418">
              <w:rPr>
                <w:sz w:val="22"/>
                <w:szCs w:val="22"/>
              </w:rPr>
              <w:t>The “Eliminations between Dedicated and Other</w:t>
            </w:r>
            <w:r w:rsidR="00BE4206" w:rsidRPr="005B5418">
              <w:rPr>
                <w:sz w:val="22"/>
                <w:szCs w:val="22"/>
              </w:rPr>
              <w:t xml:space="preserve"> than Dedicated</w:t>
            </w:r>
            <w:r w:rsidRPr="005B5418">
              <w:rPr>
                <w:sz w:val="22"/>
                <w:szCs w:val="22"/>
              </w:rPr>
              <w:t>” column should reflect intra-entity transactions between Funds from Dedicated Collections and other funds,</w:t>
            </w:r>
            <w:r w:rsidR="00D05169" w:rsidRPr="005B5418">
              <w:rPr>
                <w:sz w:val="22"/>
                <w:szCs w:val="22"/>
              </w:rPr>
              <w:t xml:space="preserve"> that is</w:t>
            </w:r>
            <w:r w:rsidRPr="005B5418">
              <w:rPr>
                <w:sz w:val="22"/>
                <w:szCs w:val="22"/>
              </w:rPr>
              <w:t>, intra-entity transactions that involve Funds from Dedicated Collections on one side of the transaction and funds from non-dedicated collections on the other side.</w:t>
            </w:r>
          </w:p>
          <w:p w14:paraId="32D13D9F" w14:textId="370B6012" w:rsidR="002525C2" w:rsidRPr="005B5418" w:rsidRDefault="002525C2">
            <w:pPr>
              <w:pStyle w:val="BodyText"/>
              <w:spacing w:before="60" w:after="60" w:line="240" w:lineRule="auto"/>
              <w:ind w:left="-35"/>
              <w:jc w:val="left"/>
              <w:rPr>
                <w:sz w:val="22"/>
                <w:szCs w:val="22"/>
              </w:rPr>
            </w:pPr>
            <w:r w:rsidRPr="005B5418">
              <w:rPr>
                <w:sz w:val="22"/>
                <w:szCs w:val="22"/>
              </w:rPr>
              <w:t>The “</w:t>
            </w:r>
            <w:r w:rsidR="00D05169" w:rsidRPr="005B5418">
              <w:rPr>
                <w:sz w:val="22"/>
                <w:szCs w:val="22"/>
              </w:rPr>
              <w:t>T</w:t>
            </w:r>
            <w:r w:rsidRPr="005B5418">
              <w:rPr>
                <w:sz w:val="22"/>
                <w:szCs w:val="22"/>
              </w:rPr>
              <w:t xml:space="preserve">otal” column should reflect inter-entity transactions involving Funds from Dedicated Collections, inter-entity transactions not involving any Funds from Dedicated Collections, and </w:t>
            </w:r>
            <w:r w:rsidRPr="005B5418">
              <w:rPr>
                <w:sz w:val="22"/>
                <w:szCs w:val="22"/>
              </w:rPr>
              <w:lastRenderedPageBreak/>
              <w:t>intra-entity eliminations between Funds from Dedicated Collections and</w:t>
            </w:r>
            <w:r w:rsidR="00400CFF" w:rsidRPr="005B5418">
              <w:rPr>
                <w:sz w:val="22"/>
                <w:szCs w:val="22"/>
              </w:rPr>
              <w:t xml:space="preserve"> Funds from Other than Dedicated Collections.</w:t>
            </w:r>
          </w:p>
          <w:p w14:paraId="2035BA6E" w14:textId="1D50838A" w:rsidR="002525C2" w:rsidRPr="005B5418" w:rsidRDefault="002525C2" w:rsidP="00CA5F0E">
            <w:pPr>
              <w:pStyle w:val="BodyText"/>
              <w:spacing w:before="60" w:after="60" w:line="240" w:lineRule="auto"/>
              <w:ind w:left="-35"/>
              <w:jc w:val="left"/>
              <w:rPr>
                <w:rFonts w:cs="Arial"/>
                <w:sz w:val="22"/>
                <w:szCs w:val="22"/>
              </w:rPr>
            </w:pPr>
            <w:r w:rsidRPr="005B5418">
              <w:rPr>
                <w:rFonts w:cs="Arial"/>
                <w:sz w:val="22"/>
                <w:szCs w:val="22"/>
              </w:rPr>
              <w:t>Significant entities are not expected to use all of the lines</w:t>
            </w:r>
            <w:r w:rsidR="008A47A4" w:rsidRPr="005B5418">
              <w:rPr>
                <w:rFonts w:cs="Arial"/>
                <w:sz w:val="22"/>
                <w:szCs w:val="22"/>
              </w:rPr>
              <w:t xml:space="preserve"> in Treasury’s crosswalks </w:t>
            </w:r>
            <w:r w:rsidRPr="005B5418">
              <w:rPr>
                <w:rFonts w:cs="Arial"/>
                <w:sz w:val="22"/>
                <w:szCs w:val="22"/>
              </w:rPr>
              <w:t>and may use additional lines that are not</w:t>
            </w:r>
            <w:r w:rsidR="008A47A4" w:rsidRPr="005B5418">
              <w:rPr>
                <w:rFonts w:cs="Arial"/>
                <w:sz w:val="22"/>
                <w:szCs w:val="22"/>
              </w:rPr>
              <w:t xml:space="preserve"> in Treasury’s crosswalks</w:t>
            </w:r>
            <w:r w:rsidRPr="005B5418">
              <w:rPr>
                <w:rFonts w:cs="Arial"/>
                <w:sz w:val="22"/>
                <w:szCs w:val="22"/>
              </w:rPr>
              <w:t xml:space="preserve"> (for amounts that are aggregated in the entity statements and disaggregated in the FR).</w:t>
            </w:r>
            <w:r w:rsidR="00E078F8" w:rsidRPr="005B5418">
              <w:rPr>
                <w:rFonts w:cs="Arial"/>
                <w:sz w:val="22"/>
                <w:szCs w:val="22"/>
              </w:rPr>
              <w:t xml:space="preserve"> (A-136, section II.3.8.</w:t>
            </w:r>
            <w:r w:rsidR="00605418" w:rsidRPr="005B5418">
              <w:rPr>
                <w:rFonts w:cs="Arial"/>
                <w:sz w:val="22"/>
                <w:szCs w:val="22"/>
              </w:rPr>
              <w:t>36</w:t>
            </w:r>
            <w:r w:rsidR="00E078F8" w:rsidRPr="005B5418">
              <w:rPr>
                <w:rFonts w:cs="Arial"/>
                <w:sz w:val="22"/>
                <w:szCs w:val="22"/>
              </w:rPr>
              <w:t>)</w:t>
            </w:r>
          </w:p>
        </w:tc>
      </w:tr>
      <w:tr w:rsidR="008F6F82" w:rsidRPr="005B5418" w14:paraId="594674C1" w14:textId="77777777" w:rsidTr="008848DA">
        <w:trPr>
          <w:trHeight w:val="440"/>
        </w:trPr>
        <w:tc>
          <w:tcPr>
            <w:tcW w:w="5399" w:type="dxa"/>
          </w:tcPr>
          <w:p w14:paraId="070436E7" w14:textId="292B060F" w:rsidR="008F6F82" w:rsidRPr="005B5418" w:rsidRDefault="00F44C19" w:rsidP="00343610">
            <w:pPr>
              <w:pStyle w:val="FAM-Table-outline"/>
              <w:widowControl/>
              <w:numPr>
                <w:ilvl w:val="0"/>
                <w:numId w:val="31"/>
              </w:numPr>
              <w:adjustRightInd/>
              <w:spacing w:line="240" w:lineRule="auto"/>
              <w:textAlignment w:val="auto"/>
              <w:rPr>
                <w:rFonts w:cs="Arial"/>
                <w:szCs w:val="22"/>
              </w:rPr>
            </w:pPr>
            <w:r w:rsidRPr="005B5418">
              <w:rPr>
                <w:rFonts w:cs="Arial"/>
                <w:szCs w:val="22"/>
              </w:rPr>
              <w:lastRenderedPageBreak/>
              <w:t>Is the reporting entity a significant entity</w:t>
            </w:r>
            <w:r w:rsidR="00DF5074" w:rsidRPr="005B5418">
              <w:rPr>
                <w:rFonts w:cs="Arial"/>
                <w:szCs w:val="22"/>
              </w:rPr>
              <w:t>,</w:t>
            </w:r>
            <w:r w:rsidRPr="005B5418">
              <w:rPr>
                <w:rFonts w:cs="Arial"/>
                <w:szCs w:val="22"/>
              </w:rPr>
              <w:t xml:space="preserve"> as described in OMB Circular </w:t>
            </w:r>
            <w:r w:rsidR="00032FCF" w:rsidRPr="005B5418">
              <w:rPr>
                <w:rFonts w:cs="Arial"/>
                <w:szCs w:val="22"/>
              </w:rPr>
              <w:t xml:space="preserve">No. </w:t>
            </w:r>
            <w:r w:rsidRPr="005B5418">
              <w:rPr>
                <w:rFonts w:cs="Arial"/>
                <w:szCs w:val="22"/>
              </w:rPr>
              <w:t>A-136? If not, this section of the checklist is N/A.</w:t>
            </w:r>
          </w:p>
        </w:tc>
        <w:tc>
          <w:tcPr>
            <w:tcW w:w="965" w:type="dxa"/>
          </w:tcPr>
          <w:p w14:paraId="47BAF05E" w14:textId="77777777" w:rsidR="008F6F82" w:rsidRPr="005B5418" w:rsidRDefault="008F6F82" w:rsidP="003B61E9">
            <w:pPr>
              <w:pStyle w:val="Table-Cell-CenterBoldBefore6ptAfter6pt"/>
              <w:rPr>
                <w:rFonts w:cs="Arial"/>
              </w:rPr>
            </w:pPr>
          </w:p>
        </w:tc>
        <w:tc>
          <w:tcPr>
            <w:tcW w:w="3209" w:type="dxa"/>
          </w:tcPr>
          <w:p w14:paraId="69A425AE" w14:textId="77777777" w:rsidR="008F6F82" w:rsidRPr="005B5418" w:rsidRDefault="008F6F82" w:rsidP="003B61E9">
            <w:pPr>
              <w:pStyle w:val="Table-Cell-Center"/>
              <w:spacing w:line="240" w:lineRule="auto"/>
              <w:rPr>
                <w:rFonts w:cs="Arial"/>
              </w:rPr>
            </w:pPr>
          </w:p>
        </w:tc>
      </w:tr>
      <w:tr w:rsidR="005C56D4" w:rsidRPr="005B5418" w14:paraId="538E52F3" w14:textId="77777777" w:rsidTr="008848DA">
        <w:trPr>
          <w:trHeight w:val="530"/>
        </w:trPr>
        <w:tc>
          <w:tcPr>
            <w:tcW w:w="9573" w:type="dxa"/>
            <w:gridSpan w:val="3"/>
          </w:tcPr>
          <w:p w14:paraId="7EF9E335" w14:textId="77777777" w:rsidR="005C56D4" w:rsidRPr="005B5418" w:rsidRDefault="005C56D4" w:rsidP="008848DA">
            <w:pPr>
              <w:pStyle w:val="Table-Cell-Center"/>
              <w:spacing w:before="60" w:after="60" w:line="240" w:lineRule="auto"/>
              <w:jc w:val="left"/>
              <w:rPr>
                <w:rFonts w:cs="Arial"/>
                <w:b/>
                <w:i/>
                <w:sz w:val="22"/>
                <w:szCs w:val="22"/>
              </w:rPr>
            </w:pPr>
            <w:r w:rsidRPr="005B5418">
              <w:rPr>
                <w:rFonts w:cs="Arial"/>
                <w:b/>
                <w:i/>
                <w:sz w:val="22"/>
                <w:szCs w:val="22"/>
              </w:rPr>
              <w:t>Disclosure</w:t>
            </w:r>
          </w:p>
        </w:tc>
      </w:tr>
      <w:tr w:rsidR="006C5478" w:rsidRPr="005B5418" w14:paraId="0E1FDF6C" w14:textId="77777777" w:rsidTr="008848DA">
        <w:trPr>
          <w:trHeight w:val="395"/>
        </w:trPr>
        <w:tc>
          <w:tcPr>
            <w:tcW w:w="5399" w:type="dxa"/>
          </w:tcPr>
          <w:p w14:paraId="1611274C" w14:textId="72BD6634" w:rsidR="006C5478" w:rsidRPr="005B5418" w:rsidRDefault="00BC4FC6" w:rsidP="00CA5F0E">
            <w:pPr>
              <w:pStyle w:val="FAM-Table-outline"/>
              <w:widowControl/>
              <w:numPr>
                <w:ilvl w:val="0"/>
                <w:numId w:val="31"/>
              </w:numPr>
              <w:adjustRightInd/>
              <w:spacing w:line="240" w:lineRule="auto"/>
              <w:textAlignment w:val="auto"/>
              <w:rPr>
                <w:rFonts w:cs="Arial"/>
                <w:szCs w:val="22"/>
              </w:rPr>
            </w:pPr>
            <w:r w:rsidRPr="005B5418">
              <w:rPr>
                <w:rFonts w:cs="Arial"/>
                <w:szCs w:val="22"/>
              </w:rPr>
              <w:t>If the</w:t>
            </w:r>
            <w:r w:rsidR="006C5478" w:rsidRPr="005B5418">
              <w:rPr>
                <w:rFonts w:cs="Arial"/>
                <w:szCs w:val="22"/>
              </w:rPr>
              <w:t xml:space="preserve"> significant entity </w:t>
            </w:r>
            <w:r w:rsidR="001A5263" w:rsidRPr="005B5418">
              <w:rPr>
                <w:rFonts w:cs="Arial"/>
                <w:szCs w:val="22"/>
              </w:rPr>
              <w:t xml:space="preserve">does not </w:t>
            </w:r>
            <w:r w:rsidR="00D10D94" w:rsidRPr="005B5418">
              <w:rPr>
                <w:rFonts w:cs="Arial"/>
                <w:szCs w:val="22"/>
              </w:rPr>
              <w:t>present</w:t>
            </w:r>
            <w:r w:rsidR="006C5478" w:rsidRPr="005B5418">
              <w:rPr>
                <w:rFonts w:cs="Arial"/>
                <w:szCs w:val="22"/>
              </w:rPr>
              <w:t xml:space="preserve"> </w:t>
            </w:r>
            <w:r w:rsidR="001A5263" w:rsidRPr="005B5418">
              <w:rPr>
                <w:rFonts w:cs="Arial"/>
                <w:szCs w:val="22"/>
              </w:rPr>
              <w:t xml:space="preserve">its </w:t>
            </w:r>
            <w:r w:rsidR="001B5C17" w:rsidRPr="005B5418">
              <w:rPr>
                <w:rFonts w:cs="Arial"/>
                <w:szCs w:val="22"/>
              </w:rPr>
              <w:t>balance sheet</w:t>
            </w:r>
            <w:r w:rsidR="001A5263" w:rsidRPr="005B5418">
              <w:rPr>
                <w:rFonts w:cs="Arial"/>
                <w:szCs w:val="22"/>
              </w:rPr>
              <w:t xml:space="preserve"> consistent with the guidance in A-136, section II.3.2.2, does the significant entity present </w:t>
            </w:r>
            <w:r w:rsidR="00E017BB" w:rsidRPr="005B5418">
              <w:rPr>
                <w:rFonts w:cs="Arial"/>
                <w:szCs w:val="22"/>
              </w:rPr>
              <w:t xml:space="preserve">in this note </w:t>
            </w:r>
            <w:r w:rsidR="006C5478" w:rsidRPr="005B5418">
              <w:rPr>
                <w:rFonts w:cs="Arial"/>
                <w:szCs w:val="22"/>
              </w:rPr>
              <w:t xml:space="preserve">a reclassification of its </w:t>
            </w:r>
            <w:r w:rsidR="001B5C17" w:rsidRPr="005B5418">
              <w:rPr>
                <w:rFonts w:cs="Arial"/>
                <w:szCs w:val="22"/>
              </w:rPr>
              <w:t>balance sheet</w:t>
            </w:r>
            <w:r w:rsidR="004940BA" w:rsidRPr="005B5418" w:rsidDel="004940BA">
              <w:rPr>
                <w:rStyle w:val="FootnoteReference"/>
                <w:rFonts w:cs="Arial"/>
                <w:szCs w:val="22"/>
              </w:rPr>
              <w:t xml:space="preserve"> </w:t>
            </w:r>
            <w:r w:rsidR="00B96B8C" w:rsidRPr="005B5418">
              <w:rPr>
                <w:rFonts w:cs="Arial"/>
                <w:szCs w:val="22"/>
              </w:rPr>
              <w:t>(only for the line items deviating from the guidance in A-136, section II.3.2.2)</w:t>
            </w:r>
            <w:r w:rsidR="00175DFF" w:rsidRPr="005B5418">
              <w:rPr>
                <w:rFonts w:cs="Arial"/>
                <w:szCs w:val="22"/>
              </w:rPr>
              <w:t>?</w:t>
            </w:r>
            <w:r w:rsidR="00175DFF" w:rsidRPr="005B5418">
              <w:rPr>
                <w:rStyle w:val="FootnoteReference"/>
                <w:rFonts w:cs="Arial"/>
                <w:szCs w:val="22"/>
              </w:rPr>
              <w:footnoteReference w:id="261"/>
            </w:r>
            <w:r w:rsidR="0073297A" w:rsidRPr="005B5418">
              <w:rPr>
                <w:rFonts w:cs="Arial"/>
                <w:szCs w:val="22"/>
              </w:rPr>
              <w:t xml:space="preserve"> </w:t>
            </w:r>
            <w:r w:rsidR="006C5478" w:rsidRPr="005B5418">
              <w:t>(A-136, section II.3.8.</w:t>
            </w:r>
            <w:r w:rsidRPr="005B5418">
              <w:t>36</w:t>
            </w:r>
            <w:r w:rsidR="006C5478" w:rsidRPr="005B5418">
              <w:t>)</w:t>
            </w:r>
          </w:p>
        </w:tc>
        <w:tc>
          <w:tcPr>
            <w:tcW w:w="965" w:type="dxa"/>
          </w:tcPr>
          <w:p w14:paraId="2B1D3B1E" w14:textId="77777777" w:rsidR="001E3DBD" w:rsidRPr="005B5418" w:rsidRDefault="001E3DBD" w:rsidP="003B61E9">
            <w:pPr>
              <w:pStyle w:val="Table-Cell-CenterBoldBefore6ptAfter6pt"/>
              <w:rPr>
                <w:rFonts w:cs="Arial"/>
              </w:rPr>
            </w:pPr>
          </w:p>
          <w:p w14:paraId="1B71C3B2" w14:textId="77777777" w:rsidR="001E3DBD" w:rsidRPr="005B5418" w:rsidRDefault="001E3DBD" w:rsidP="001E3DBD"/>
          <w:p w14:paraId="766D3650" w14:textId="77777777" w:rsidR="006C5478" w:rsidRPr="005B5418" w:rsidRDefault="006C5478" w:rsidP="001E3DBD"/>
        </w:tc>
        <w:tc>
          <w:tcPr>
            <w:tcW w:w="3209" w:type="dxa"/>
          </w:tcPr>
          <w:p w14:paraId="56C9932C" w14:textId="77777777" w:rsidR="006C5478" w:rsidRPr="005B5418" w:rsidRDefault="006C5478" w:rsidP="003B61E9">
            <w:pPr>
              <w:pStyle w:val="Table-Cell-Center"/>
              <w:spacing w:line="240" w:lineRule="auto"/>
              <w:rPr>
                <w:rFonts w:cs="Arial"/>
              </w:rPr>
            </w:pPr>
          </w:p>
        </w:tc>
      </w:tr>
      <w:tr w:rsidR="00EA2410" w:rsidRPr="005B5418" w14:paraId="70D8E35A" w14:textId="77777777" w:rsidTr="008848DA">
        <w:trPr>
          <w:trHeight w:val="395"/>
        </w:trPr>
        <w:tc>
          <w:tcPr>
            <w:tcW w:w="5399" w:type="dxa"/>
          </w:tcPr>
          <w:p w14:paraId="03AF8843" w14:textId="3A4DF72E" w:rsidR="00566698" w:rsidRPr="005B5418" w:rsidRDefault="004459CC" w:rsidP="004459CC">
            <w:pPr>
              <w:pStyle w:val="FAM-Table-outline"/>
              <w:widowControl/>
              <w:numPr>
                <w:ilvl w:val="0"/>
                <w:numId w:val="31"/>
              </w:numPr>
              <w:adjustRightInd/>
              <w:spacing w:line="240" w:lineRule="auto"/>
              <w:textAlignment w:val="auto"/>
              <w:rPr>
                <w:rFonts w:cs="Arial"/>
                <w:szCs w:val="22"/>
              </w:rPr>
            </w:pPr>
            <w:r w:rsidRPr="005B5418">
              <w:rPr>
                <w:rFonts w:cs="Arial"/>
                <w:szCs w:val="22"/>
              </w:rPr>
              <w:t xml:space="preserve">Does the significant entity present in this note a reclassification of its SCNP for </w:t>
            </w:r>
            <w:r w:rsidR="00F74D70" w:rsidRPr="005B5418">
              <w:rPr>
                <w:rFonts w:cs="Arial"/>
                <w:szCs w:val="22"/>
              </w:rPr>
              <w:t>the current year</w:t>
            </w:r>
            <w:r w:rsidR="00175DFF" w:rsidRPr="005B5418">
              <w:rPr>
                <w:rFonts w:cs="Arial"/>
                <w:szCs w:val="22"/>
              </w:rPr>
              <w:t>?</w:t>
            </w:r>
            <w:r w:rsidR="00175DFF" w:rsidRPr="005B5418">
              <w:rPr>
                <w:rStyle w:val="FootnoteReference"/>
                <w:rFonts w:cs="Arial"/>
                <w:szCs w:val="22"/>
              </w:rPr>
              <w:footnoteReference w:id="262"/>
            </w:r>
            <w:r w:rsidR="0073297A" w:rsidRPr="005B5418">
              <w:rPr>
                <w:rFonts w:cs="Arial"/>
                <w:szCs w:val="22"/>
              </w:rPr>
              <w:t xml:space="preserve"> </w:t>
            </w:r>
            <w:r w:rsidR="00566698" w:rsidRPr="005B5418">
              <w:rPr>
                <w:rFonts w:cs="Arial"/>
                <w:szCs w:val="22"/>
              </w:rPr>
              <w:t>(A-136, section II.3.8.</w:t>
            </w:r>
            <w:r w:rsidR="00BC4FC6" w:rsidRPr="005B5418">
              <w:rPr>
                <w:rFonts w:cs="Arial"/>
                <w:szCs w:val="22"/>
              </w:rPr>
              <w:t>36</w:t>
            </w:r>
            <w:r w:rsidR="00566698" w:rsidRPr="005B5418">
              <w:rPr>
                <w:rFonts w:cs="Arial"/>
                <w:szCs w:val="22"/>
              </w:rPr>
              <w:t xml:space="preserve">) </w:t>
            </w:r>
          </w:p>
        </w:tc>
        <w:tc>
          <w:tcPr>
            <w:tcW w:w="965" w:type="dxa"/>
          </w:tcPr>
          <w:p w14:paraId="000B3601" w14:textId="77777777" w:rsidR="00EA2410" w:rsidRPr="005B5418" w:rsidRDefault="00EA2410" w:rsidP="003B61E9">
            <w:pPr>
              <w:pStyle w:val="Table-Cell-CenterBoldBefore6ptAfter6pt"/>
              <w:rPr>
                <w:rFonts w:cs="Arial"/>
              </w:rPr>
            </w:pPr>
          </w:p>
        </w:tc>
        <w:tc>
          <w:tcPr>
            <w:tcW w:w="3209" w:type="dxa"/>
          </w:tcPr>
          <w:p w14:paraId="492378AA" w14:textId="77777777" w:rsidR="00EA2410" w:rsidRPr="005B5418" w:rsidRDefault="00EA2410" w:rsidP="003B61E9">
            <w:pPr>
              <w:pStyle w:val="Table-Cell-Center"/>
              <w:spacing w:line="240" w:lineRule="auto"/>
              <w:rPr>
                <w:rFonts w:cs="Arial"/>
              </w:rPr>
            </w:pPr>
          </w:p>
        </w:tc>
      </w:tr>
      <w:tr w:rsidR="001F1333" w:rsidRPr="005B5418" w14:paraId="64F6DC8A" w14:textId="77777777" w:rsidTr="00DB4CB8">
        <w:trPr>
          <w:trHeight w:hRule="exact" w:val="878"/>
        </w:trPr>
        <w:tc>
          <w:tcPr>
            <w:tcW w:w="5399" w:type="dxa"/>
          </w:tcPr>
          <w:p w14:paraId="3C1F00AE" w14:textId="13CFFF57" w:rsidR="001F1333" w:rsidRPr="005B5418" w:rsidRDefault="001F1333" w:rsidP="001838A2">
            <w:pPr>
              <w:pStyle w:val="FAM-Table-outline"/>
              <w:widowControl/>
              <w:numPr>
                <w:ilvl w:val="0"/>
                <w:numId w:val="31"/>
              </w:numPr>
              <w:adjustRightInd/>
              <w:spacing w:line="240" w:lineRule="auto"/>
              <w:textAlignment w:val="auto"/>
              <w:rPr>
                <w:rFonts w:cs="Arial"/>
                <w:szCs w:val="22"/>
              </w:rPr>
            </w:pPr>
            <w:r w:rsidRPr="005B5418">
              <w:rPr>
                <w:rFonts w:cs="Arial"/>
                <w:szCs w:val="22"/>
              </w:rPr>
              <w:t xml:space="preserve">Does the significant entity present in this note a reclassification of its SNC for </w:t>
            </w:r>
            <w:r w:rsidR="00F74D70" w:rsidRPr="005B5418">
              <w:rPr>
                <w:rFonts w:cs="Arial"/>
                <w:szCs w:val="22"/>
              </w:rPr>
              <w:t>the current year</w:t>
            </w:r>
            <w:r w:rsidR="0073297A" w:rsidRPr="005B5418">
              <w:rPr>
                <w:rFonts w:cs="Arial"/>
                <w:szCs w:val="22"/>
              </w:rPr>
              <w:t>?</w:t>
            </w:r>
            <w:r w:rsidR="00175DFF" w:rsidRPr="005B5418">
              <w:rPr>
                <w:rStyle w:val="FootnoteReference"/>
                <w:rFonts w:cs="Arial"/>
                <w:szCs w:val="22"/>
              </w:rPr>
              <w:footnoteReference w:id="263"/>
            </w:r>
            <w:r w:rsidR="00175DFF" w:rsidRPr="005B5418">
              <w:rPr>
                <w:rFonts w:cs="Arial"/>
                <w:szCs w:val="22"/>
              </w:rPr>
              <w:t xml:space="preserve"> (A-136, section II.3.8.</w:t>
            </w:r>
            <w:r w:rsidR="00BC4FC6" w:rsidRPr="005B5418">
              <w:rPr>
                <w:rFonts w:cs="Arial"/>
                <w:szCs w:val="22"/>
              </w:rPr>
              <w:t>36</w:t>
            </w:r>
            <w:r w:rsidR="00175DFF" w:rsidRPr="005B5418">
              <w:rPr>
                <w:rFonts w:cs="Arial"/>
                <w:szCs w:val="22"/>
              </w:rPr>
              <w:t xml:space="preserve">) </w:t>
            </w:r>
            <w:r w:rsidRPr="005B5418">
              <w:rPr>
                <w:rFonts w:cs="Arial"/>
                <w:szCs w:val="22"/>
              </w:rPr>
              <w:t xml:space="preserve"> </w:t>
            </w:r>
          </w:p>
          <w:p w14:paraId="49CB9DFC" w14:textId="0E479B51" w:rsidR="001F1333" w:rsidRPr="005B5418" w:rsidRDefault="001F1333" w:rsidP="003E7D0D">
            <w:pPr>
              <w:pStyle w:val="FAM-Table-outline"/>
              <w:widowControl/>
              <w:numPr>
                <w:ilvl w:val="0"/>
                <w:numId w:val="0"/>
              </w:numPr>
              <w:adjustRightInd/>
              <w:spacing w:line="240" w:lineRule="auto"/>
              <w:ind w:left="666"/>
              <w:textAlignment w:val="auto"/>
              <w:rPr>
                <w:rFonts w:cs="Arial"/>
                <w:szCs w:val="22"/>
              </w:rPr>
            </w:pPr>
          </w:p>
        </w:tc>
        <w:tc>
          <w:tcPr>
            <w:tcW w:w="965" w:type="dxa"/>
          </w:tcPr>
          <w:p w14:paraId="2378A87C" w14:textId="77777777" w:rsidR="001F1333" w:rsidRPr="005B5418" w:rsidRDefault="001F1333" w:rsidP="003B61E9">
            <w:pPr>
              <w:pStyle w:val="Table-Cell-CenterBoldBefore6ptAfter6pt"/>
              <w:rPr>
                <w:rFonts w:cs="Arial"/>
              </w:rPr>
            </w:pPr>
          </w:p>
        </w:tc>
        <w:tc>
          <w:tcPr>
            <w:tcW w:w="3209" w:type="dxa"/>
          </w:tcPr>
          <w:p w14:paraId="66E47203" w14:textId="77777777" w:rsidR="001F1333" w:rsidRPr="005B5418" w:rsidRDefault="001F1333" w:rsidP="003B61E9">
            <w:pPr>
              <w:pStyle w:val="Table-Cell-Center"/>
              <w:spacing w:line="240" w:lineRule="auto"/>
              <w:rPr>
                <w:rFonts w:cs="Arial"/>
              </w:rPr>
            </w:pPr>
          </w:p>
        </w:tc>
      </w:tr>
      <w:tr w:rsidR="009478C6" w:rsidRPr="005B5418" w14:paraId="0BBE204E" w14:textId="77777777" w:rsidTr="008848DA">
        <w:trPr>
          <w:trHeight w:val="395"/>
        </w:trPr>
        <w:tc>
          <w:tcPr>
            <w:tcW w:w="5399" w:type="dxa"/>
          </w:tcPr>
          <w:p w14:paraId="77CADCF1" w14:textId="3955CF89" w:rsidR="009478C6" w:rsidRPr="005B5418" w:rsidRDefault="009478C6" w:rsidP="00CA5F0E">
            <w:pPr>
              <w:pStyle w:val="FAM-Table-outline"/>
              <w:widowControl/>
              <w:numPr>
                <w:ilvl w:val="0"/>
                <w:numId w:val="31"/>
              </w:numPr>
              <w:adjustRightInd/>
              <w:spacing w:line="240" w:lineRule="auto"/>
              <w:textAlignment w:val="auto"/>
              <w:rPr>
                <w:rFonts w:cs="Arial"/>
                <w:szCs w:val="22"/>
              </w:rPr>
            </w:pPr>
            <w:r w:rsidRPr="005B5418">
              <w:rPr>
                <w:rFonts w:cs="Arial"/>
                <w:szCs w:val="22"/>
              </w:rPr>
              <w:t>Does the entity’s disclosure include two “Entity” columns and six “Governmentwide” columns</w:t>
            </w:r>
            <w:r w:rsidR="00DF5074" w:rsidRPr="005B5418">
              <w:rPr>
                <w:rFonts w:cs="Arial"/>
                <w:szCs w:val="22"/>
              </w:rPr>
              <w:t>,</w:t>
            </w:r>
            <w:r w:rsidRPr="005B5418">
              <w:rPr>
                <w:rFonts w:cs="Arial"/>
                <w:szCs w:val="22"/>
              </w:rPr>
              <w:t xml:space="preserve"> consistent with A-136 guidance, and include the corresponding amounts</w:t>
            </w:r>
            <w:r w:rsidR="00DF5074" w:rsidRPr="005B5418">
              <w:rPr>
                <w:rFonts w:cs="Arial"/>
                <w:szCs w:val="22"/>
              </w:rPr>
              <w:t>,</w:t>
            </w:r>
            <w:r w:rsidRPr="005B5418">
              <w:rPr>
                <w:rFonts w:cs="Arial"/>
                <w:szCs w:val="22"/>
              </w:rPr>
              <w:t xml:space="preserve"> as appropriate? (A-136, section II.3.8.</w:t>
            </w:r>
            <w:r w:rsidR="00BC4FC6" w:rsidRPr="005B5418">
              <w:rPr>
                <w:rFonts w:cs="Arial"/>
                <w:szCs w:val="22"/>
              </w:rPr>
              <w:t>36</w:t>
            </w:r>
            <w:r w:rsidRPr="005B5418">
              <w:rPr>
                <w:rFonts w:cs="Arial"/>
                <w:szCs w:val="22"/>
              </w:rPr>
              <w:t>)</w:t>
            </w:r>
          </w:p>
        </w:tc>
        <w:tc>
          <w:tcPr>
            <w:tcW w:w="965" w:type="dxa"/>
          </w:tcPr>
          <w:p w14:paraId="3C8AF7EC" w14:textId="77777777" w:rsidR="009478C6" w:rsidRPr="005B5418" w:rsidRDefault="009478C6" w:rsidP="003B61E9">
            <w:pPr>
              <w:pStyle w:val="Table-Cell-CenterBoldBefore6ptAfter6pt"/>
              <w:rPr>
                <w:rFonts w:cs="Arial"/>
              </w:rPr>
            </w:pPr>
          </w:p>
        </w:tc>
        <w:tc>
          <w:tcPr>
            <w:tcW w:w="3209" w:type="dxa"/>
          </w:tcPr>
          <w:p w14:paraId="3A55E1A4" w14:textId="77777777" w:rsidR="009478C6" w:rsidRPr="005B5418" w:rsidRDefault="009478C6" w:rsidP="003B61E9">
            <w:pPr>
              <w:pStyle w:val="Table-Cell-Center"/>
              <w:spacing w:line="240" w:lineRule="auto"/>
              <w:rPr>
                <w:rFonts w:cs="Arial"/>
              </w:rPr>
            </w:pPr>
          </w:p>
        </w:tc>
      </w:tr>
      <w:tr w:rsidR="006C5478" w:rsidRPr="005B5418" w14:paraId="45B46A3D" w14:textId="77777777" w:rsidTr="008848DA">
        <w:trPr>
          <w:trHeight w:val="1440"/>
        </w:trPr>
        <w:tc>
          <w:tcPr>
            <w:tcW w:w="5399" w:type="dxa"/>
          </w:tcPr>
          <w:p w14:paraId="17EA0E01" w14:textId="2C078579" w:rsidR="006C5478" w:rsidRPr="005B5418" w:rsidRDefault="00220283" w:rsidP="00CA5F0E">
            <w:pPr>
              <w:pStyle w:val="FAM-Table-outline"/>
              <w:spacing w:line="240" w:lineRule="auto"/>
            </w:pPr>
            <w:r w:rsidRPr="005B5418">
              <w:t xml:space="preserve">Do the line items and amounts </w:t>
            </w:r>
            <w:r w:rsidR="00DF5074" w:rsidRPr="005B5418">
              <w:t xml:space="preserve">in </w:t>
            </w:r>
            <w:r w:rsidRPr="005B5418">
              <w:t xml:space="preserve">the </w:t>
            </w:r>
            <w:r w:rsidR="009478C6" w:rsidRPr="005B5418">
              <w:t xml:space="preserve">two “Entity” columns </w:t>
            </w:r>
            <w:r w:rsidRPr="005B5418">
              <w:t xml:space="preserve">of the </w:t>
            </w:r>
            <w:r w:rsidR="006D6CF5" w:rsidRPr="005B5418">
              <w:t>note disclosure</w:t>
            </w:r>
            <w:r w:rsidRPr="005B5418">
              <w:t xml:space="preserve"> agree to the line items and amounts in the significant entit</w:t>
            </w:r>
            <w:r w:rsidR="006D6CF5" w:rsidRPr="005B5418">
              <w:t>y’s</w:t>
            </w:r>
            <w:r w:rsidRPr="005B5418">
              <w:t xml:space="preserve"> basic financial statements?</w:t>
            </w:r>
            <w:r w:rsidR="006C5478" w:rsidRPr="005B5418">
              <w:t xml:space="preserve"> (A-136, section II.3.8.</w:t>
            </w:r>
            <w:r w:rsidR="00BC4FC6" w:rsidRPr="005B5418">
              <w:t>36</w:t>
            </w:r>
            <w:r w:rsidR="006C5478" w:rsidRPr="005B5418">
              <w:t>)</w:t>
            </w:r>
          </w:p>
        </w:tc>
        <w:tc>
          <w:tcPr>
            <w:tcW w:w="965" w:type="dxa"/>
          </w:tcPr>
          <w:p w14:paraId="092802A6" w14:textId="77777777" w:rsidR="006C5478" w:rsidRPr="005B5418" w:rsidRDefault="006C5478" w:rsidP="003B61E9">
            <w:pPr>
              <w:pStyle w:val="Table-Cell-CenterBoldBefore6ptAfter6pt"/>
              <w:rPr>
                <w:rFonts w:cs="Arial"/>
              </w:rPr>
            </w:pPr>
          </w:p>
        </w:tc>
        <w:tc>
          <w:tcPr>
            <w:tcW w:w="3209" w:type="dxa"/>
          </w:tcPr>
          <w:p w14:paraId="5EFA5C51" w14:textId="77777777" w:rsidR="006C5478" w:rsidRPr="005B5418" w:rsidRDefault="006C5478" w:rsidP="003B61E9">
            <w:pPr>
              <w:pStyle w:val="Table-Cell-Center"/>
              <w:spacing w:line="240" w:lineRule="auto"/>
              <w:rPr>
                <w:rFonts w:cs="Arial"/>
              </w:rPr>
            </w:pPr>
          </w:p>
        </w:tc>
      </w:tr>
      <w:tr w:rsidR="006C5478" w:rsidRPr="005B5418" w14:paraId="1FA38B03" w14:textId="77777777" w:rsidTr="008848DA">
        <w:trPr>
          <w:trHeight w:val="1214"/>
        </w:trPr>
        <w:tc>
          <w:tcPr>
            <w:tcW w:w="5399" w:type="dxa"/>
          </w:tcPr>
          <w:p w14:paraId="355C85B2" w14:textId="37985078" w:rsidR="006C5478" w:rsidRPr="005B5418" w:rsidRDefault="006C5478" w:rsidP="00CA5F0E">
            <w:pPr>
              <w:pStyle w:val="FAM-Table-outline"/>
              <w:spacing w:line="240" w:lineRule="auto"/>
            </w:pPr>
            <w:r w:rsidRPr="005B5418">
              <w:lastRenderedPageBreak/>
              <w:t>Do</w:t>
            </w:r>
            <w:r w:rsidR="006D6CF5" w:rsidRPr="005B5418">
              <w:t xml:space="preserve"> the line items and amounts </w:t>
            </w:r>
            <w:r w:rsidR="00DF5074" w:rsidRPr="005B5418">
              <w:t>i</w:t>
            </w:r>
            <w:r w:rsidR="006D6CF5" w:rsidRPr="005B5418">
              <w:t xml:space="preserve">n </w:t>
            </w:r>
            <w:r w:rsidR="009478C6" w:rsidRPr="005B5418">
              <w:t xml:space="preserve">the six “Governmentwide” columns </w:t>
            </w:r>
            <w:r w:rsidR="006D6CF5" w:rsidRPr="005B5418">
              <w:t>of the note disclosure</w:t>
            </w:r>
            <w:r w:rsidRPr="005B5418">
              <w:t xml:space="preserve"> agree with the reclassified statements in GTAS</w:t>
            </w:r>
            <w:r w:rsidR="00A56FE5" w:rsidRPr="005B5418">
              <w:t>, including amounts associated with Funds from Dedicated Collections</w:t>
            </w:r>
            <w:r w:rsidRPr="005B5418">
              <w:t>? (A-136, section II.3.8.</w:t>
            </w:r>
            <w:r w:rsidR="00425241" w:rsidRPr="005B5418">
              <w:t>36</w:t>
            </w:r>
            <w:r w:rsidRPr="005B5418">
              <w:t>)</w:t>
            </w:r>
          </w:p>
        </w:tc>
        <w:tc>
          <w:tcPr>
            <w:tcW w:w="965" w:type="dxa"/>
          </w:tcPr>
          <w:p w14:paraId="3981C7D8" w14:textId="77777777" w:rsidR="006C5478" w:rsidRPr="005B5418" w:rsidRDefault="006C5478" w:rsidP="003B61E9">
            <w:pPr>
              <w:pStyle w:val="Table-Cell-CenterBoldBefore6ptAfter6pt"/>
              <w:rPr>
                <w:rFonts w:cs="Arial"/>
              </w:rPr>
            </w:pPr>
          </w:p>
        </w:tc>
        <w:tc>
          <w:tcPr>
            <w:tcW w:w="3209" w:type="dxa"/>
          </w:tcPr>
          <w:p w14:paraId="42DC7C90" w14:textId="77777777" w:rsidR="006C5478" w:rsidRPr="005B5418" w:rsidRDefault="006C5478" w:rsidP="003B61E9">
            <w:pPr>
              <w:pStyle w:val="Table-Cell-Center"/>
              <w:spacing w:line="240" w:lineRule="auto"/>
              <w:rPr>
                <w:rFonts w:cs="Arial"/>
              </w:rPr>
            </w:pPr>
          </w:p>
        </w:tc>
      </w:tr>
      <w:tr w:rsidR="00EA271B" w:rsidRPr="005B5418" w14:paraId="0EAE0391" w14:textId="77777777" w:rsidTr="008848DA">
        <w:trPr>
          <w:trHeight w:val="854"/>
        </w:trPr>
        <w:tc>
          <w:tcPr>
            <w:tcW w:w="5399" w:type="dxa"/>
          </w:tcPr>
          <w:p w14:paraId="6018BEBD" w14:textId="07FBAC49" w:rsidR="00EA271B" w:rsidRPr="005B5418" w:rsidRDefault="00EA271B" w:rsidP="00CA5F0E">
            <w:pPr>
              <w:pStyle w:val="FAM-Table-outline"/>
              <w:spacing w:line="240" w:lineRule="auto"/>
            </w:pPr>
            <w:r w:rsidRPr="005B5418">
              <w:t xml:space="preserve">Do the total amounts </w:t>
            </w:r>
            <w:r w:rsidR="00DB1DB0" w:rsidRPr="005B5418">
              <w:t xml:space="preserve">reported for the “Entity” </w:t>
            </w:r>
            <w:r w:rsidRPr="005B5418">
              <w:t>agree to the total amounts</w:t>
            </w:r>
            <w:r w:rsidR="00DB1DB0" w:rsidRPr="005B5418">
              <w:t xml:space="preserve"> reported for “Governmentwide”</w:t>
            </w:r>
            <w:r w:rsidRPr="005B5418">
              <w:t xml:space="preserve"> for the </w:t>
            </w:r>
            <w:r w:rsidR="001B5C17" w:rsidRPr="005B5418">
              <w:t>balance sheet</w:t>
            </w:r>
            <w:r w:rsidR="00953976" w:rsidRPr="005B5418">
              <w:t xml:space="preserve"> (if applicable)</w:t>
            </w:r>
            <w:r w:rsidRPr="005B5418">
              <w:t>, SNC, and SCNP</w:t>
            </w:r>
            <w:r w:rsidR="003023C2" w:rsidRPr="005B5418">
              <w:t xml:space="preserve"> (if applicable)</w:t>
            </w:r>
            <w:r w:rsidRPr="005B5418">
              <w:t>?</w:t>
            </w:r>
            <w:r w:rsidR="00CF772E" w:rsidRPr="005B5418">
              <w:t xml:space="preserve"> (A-136, section II.3.8.</w:t>
            </w:r>
            <w:r w:rsidR="00425241" w:rsidRPr="005B5418">
              <w:t>36</w:t>
            </w:r>
            <w:r w:rsidR="00CF772E" w:rsidRPr="005B5418">
              <w:t>)</w:t>
            </w:r>
          </w:p>
        </w:tc>
        <w:tc>
          <w:tcPr>
            <w:tcW w:w="965" w:type="dxa"/>
          </w:tcPr>
          <w:p w14:paraId="305A51E5" w14:textId="77777777" w:rsidR="00EA271B" w:rsidRPr="005B5418" w:rsidRDefault="00EA271B" w:rsidP="003B61E9">
            <w:pPr>
              <w:pStyle w:val="Table-Cell-CenterBoldBefore6ptAfter6pt"/>
              <w:rPr>
                <w:rFonts w:cs="Arial"/>
              </w:rPr>
            </w:pPr>
          </w:p>
        </w:tc>
        <w:tc>
          <w:tcPr>
            <w:tcW w:w="3209" w:type="dxa"/>
          </w:tcPr>
          <w:p w14:paraId="140493FD" w14:textId="77777777" w:rsidR="00EA271B" w:rsidRPr="005B5418" w:rsidRDefault="00EA271B" w:rsidP="003B61E9">
            <w:pPr>
              <w:pStyle w:val="Table-Cell-Center"/>
              <w:spacing w:line="240" w:lineRule="auto"/>
              <w:rPr>
                <w:rFonts w:cs="Arial"/>
              </w:rPr>
            </w:pPr>
          </w:p>
        </w:tc>
      </w:tr>
      <w:tr w:rsidR="003D4170" w:rsidRPr="005B5418" w14:paraId="5D207776" w14:textId="77777777" w:rsidTr="008848DA">
        <w:trPr>
          <w:trHeight w:val="1440"/>
        </w:trPr>
        <w:tc>
          <w:tcPr>
            <w:tcW w:w="5399" w:type="dxa"/>
          </w:tcPr>
          <w:p w14:paraId="44CB7D0F" w14:textId="5D0D0FBC" w:rsidR="003D4170" w:rsidRPr="005B5418" w:rsidRDefault="003D4170" w:rsidP="00CA5F0E">
            <w:pPr>
              <w:pStyle w:val="FAM-Table-outline"/>
              <w:spacing w:line="240" w:lineRule="auto"/>
            </w:pPr>
            <w:r w:rsidRPr="005B5418">
              <w:t>Does the crosswalk used to prepare the note disclosure show adjustments made to reclassify the balances to the agency’s GTAS submission, and an explanation of any differences? (A-136, section II.3.8.</w:t>
            </w:r>
            <w:r w:rsidR="00425241" w:rsidRPr="005B5418">
              <w:t>36</w:t>
            </w:r>
            <w:r w:rsidRPr="005B5418">
              <w:t>)</w:t>
            </w:r>
          </w:p>
        </w:tc>
        <w:tc>
          <w:tcPr>
            <w:tcW w:w="965" w:type="dxa"/>
          </w:tcPr>
          <w:p w14:paraId="4D8988CE" w14:textId="77777777" w:rsidR="003D4170" w:rsidRPr="005B5418" w:rsidRDefault="003D4170" w:rsidP="003B61E9">
            <w:pPr>
              <w:pStyle w:val="Table-Cell-CenterBoldBefore6ptAfter6pt"/>
              <w:rPr>
                <w:rFonts w:cs="Arial"/>
              </w:rPr>
            </w:pPr>
          </w:p>
        </w:tc>
        <w:tc>
          <w:tcPr>
            <w:tcW w:w="3209" w:type="dxa"/>
          </w:tcPr>
          <w:p w14:paraId="3052374E" w14:textId="77777777" w:rsidR="003D4170" w:rsidRPr="005B5418" w:rsidRDefault="003D4170" w:rsidP="003B61E9">
            <w:pPr>
              <w:pStyle w:val="Table-Cell-Center"/>
              <w:spacing w:line="240" w:lineRule="auto"/>
              <w:rPr>
                <w:rFonts w:cs="Arial"/>
              </w:rPr>
            </w:pPr>
          </w:p>
        </w:tc>
      </w:tr>
    </w:tbl>
    <w:p w14:paraId="4193D8B0" w14:textId="77777777" w:rsidR="000E1A2F" w:rsidRPr="005B5418" w:rsidRDefault="000E1A2F" w:rsidP="003B61E9">
      <w:pPr>
        <w:spacing w:line="240" w:lineRule="auto"/>
        <w:rPr>
          <w:rFonts w:cs="Arial"/>
        </w:rPr>
        <w:sectPr w:rsidR="000E1A2F" w:rsidRPr="005B5418" w:rsidSect="00571B6D">
          <w:pgSz w:w="12240" w:h="15840" w:code="1"/>
          <w:pgMar w:top="1440" w:right="1440" w:bottom="1440" w:left="1440" w:header="720" w:footer="720" w:gutter="0"/>
          <w:cols w:space="708"/>
          <w:docGrid w:linePitch="326"/>
        </w:sectPr>
      </w:pPr>
    </w:p>
    <w:p w14:paraId="5FECA436" w14:textId="77777777" w:rsidR="007C781D" w:rsidRPr="005B5418" w:rsidRDefault="007C781D" w:rsidP="003B61E9">
      <w:pPr>
        <w:pStyle w:val="Heading3"/>
        <w:spacing w:line="240" w:lineRule="auto"/>
      </w:pPr>
      <w:bookmarkStart w:id="243" w:name="_Section_II.3.9_–"/>
      <w:bookmarkStart w:id="244" w:name="_Section_II.3.10_–"/>
      <w:bookmarkStart w:id="245" w:name="_Ref384814367"/>
      <w:bookmarkStart w:id="246" w:name="_Ref384818039"/>
      <w:bookmarkStart w:id="247" w:name="_Ref385592078"/>
      <w:bookmarkStart w:id="248" w:name="_Ref385592116"/>
      <w:bookmarkStart w:id="249" w:name="_Ref390096825"/>
      <w:bookmarkStart w:id="250" w:name="_Toc394667932"/>
      <w:bookmarkStart w:id="251" w:name="_Toc491078375"/>
      <w:bookmarkStart w:id="252" w:name="_Toc8724394"/>
      <w:bookmarkStart w:id="253" w:name="_Toc18571196"/>
      <w:bookmarkEnd w:id="243"/>
      <w:bookmarkEnd w:id="244"/>
      <w:r w:rsidRPr="005B5418">
        <w:lastRenderedPageBreak/>
        <w:t>Section II.3.</w:t>
      </w:r>
      <w:r w:rsidR="002525C2" w:rsidRPr="005B5418">
        <w:t xml:space="preserve">9 </w:t>
      </w:r>
      <w:r w:rsidRPr="005B5418">
        <w:t>– Required Supplementary Information</w:t>
      </w:r>
      <w:bookmarkEnd w:id="245"/>
      <w:bookmarkEnd w:id="246"/>
      <w:bookmarkEnd w:id="247"/>
      <w:bookmarkEnd w:id="248"/>
      <w:bookmarkEnd w:id="249"/>
      <w:bookmarkEnd w:id="250"/>
      <w:bookmarkEnd w:id="251"/>
      <w:bookmarkEnd w:id="252"/>
      <w:bookmarkEnd w:id="253"/>
    </w:p>
    <w:p w14:paraId="1464A860" w14:textId="77777777" w:rsidR="007C781D" w:rsidRPr="005B5418" w:rsidRDefault="007C781D" w:rsidP="003B61E9">
      <w:pPr>
        <w:spacing w:after="240" w:line="240" w:lineRule="auto"/>
        <w:rPr>
          <w:rFonts w:ascii="Arial" w:hAnsi="Arial" w:cs="Arial"/>
        </w:rPr>
      </w:pPr>
      <w:r w:rsidRPr="005B5418">
        <w:rPr>
          <w:rFonts w:ascii="Arial" w:hAnsi="Arial" w:cs="Arial"/>
        </w:rPr>
        <w:t xml:space="preserve">The questions related to the unaudited required supplementary information (RSI) requirements are presented under </w:t>
      </w:r>
      <w:r w:rsidR="00923AD3" w:rsidRPr="005B5418">
        <w:rPr>
          <w:rFonts w:ascii="Arial" w:hAnsi="Arial" w:cs="Arial"/>
        </w:rPr>
        <w:t xml:space="preserve">the </w:t>
      </w:r>
      <w:r w:rsidRPr="005B5418">
        <w:rPr>
          <w:rFonts w:ascii="Arial" w:hAnsi="Arial" w:cs="Arial"/>
        </w:rPr>
        <w:t>seven captions</w:t>
      </w:r>
      <w:r w:rsidR="00923AD3" w:rsidRPr="005B5418">
        <w:rPr>
          <w:rFonts w:ascii="Arial" w:hAnsi="Arial" w:cs="Arial"/>
        </w:rPr>
        <w:t xml:space="preserve"> presented below</w:t>
      </w:r>
      <w:r w:rsidRPr="005B5418">
        <w:rPr>
          <w:rFonts w:ascii="Arial" w:hAnsi="Arial" w:cs="Arial"/>
        </w:rPr>
        <w:t>.</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9C6671" w:rsidRPr="005B5418" w14:paraId="26C077CA" w14:textId="77777777" w:rsidTr="002D4ACC">
        <w:tc>
          <w:tcPr>
            <w:tcW w:w="7560" w:type="dxa"/>
          </w:tcPr>
          <w:p w14:paraId="749C2EE8" w14:textId="77777777" w:rsidR="009C6671" w:rsidRPr="005B5418" w:rsidRDefault="009C6671" w:rsidP="004E69DD">
            <w:pPr>
              <w:pStyle w:val="Heading4"/>
              <w:spacing w:line="240" w:lineRule="auto"/>
              <w:jc w:val="left"/>
              <w:rPr>
                <w:b/>
                <w:u w:val="none"/>
              </w:rPr>
            </w:pPr>
            <w:bookmarkStart w:id="254" w:name="_Ref495498346"/>
            <w:r w:rsidRPr="005B5418">
              <w:rPr>
                <w:b/>
                <w:u w:val="none"/>
              </w:rPr>
              <w:t>II.3.</w:t>
            </w:r>
            <w:r w:rsidR="004E69DD" w:rsidRPr="005B5418">
              <w:rPr>
                <w:b/>
                <w:u w:val="none"/>
              </w:rPr>
              <w:t xml:space="preserve">9 </w:t>
            </w:r>
            <w:r w:rsidRPr="005B5418">
              <w:rPr>
                <w:b/>
                <w:u w:val="none"/>
              </w:rPr>
              <w:t>– Required Supplementary Information</w:t>
            </w:r>
            <w:bookmarkEnd w:id="254"/>
          </w:p>
        </w:tc>
      </w:tr>
      <w:tr w:rsidR="009C6671" w:rsidRPr="005B5418" w14:paraId="2A02400B" w14:textId="77777777" w:rsidTr="00B3227F">
        <w:tc>
          <w:tcPr>
            <w:tcW w:w="7560" w:type="dxa"/>
            <w:vAlign w:val="center"/>
          </w:tcPr>
          <w:p w14:paraId="40C03D73" w14:textId="1A951E42" w:rsidR="009C6671" w:rsidRPr="005B5418" w:rsidRDefault="009C6671" w:rsidP="002525C2">
            <w:pPr>
              <w:pStyle w:val="Table-Cell-Indent"/>
            </w:pPr>
            <w:hyperlink w:anchor="_II.3.9.1_Management’s_Discussion" w:history="1">
              <w:r w:rsidRPr="005B5418">
                <w:t>II.3.</w:t>
              </w:r>
              <w:r w:rsidR="002525C2" w:rsidRPr="005B5418">
                <w:t>9</w:t>
              </w:r>
              <w:r w:rsidRPr="005B5418">
                <w:t>.1 Management’s Discussion and Analysis</w:t>
              </w:r>
            </w:hyperlink>
          </w:p>
        </w:tc>
      </w:tr>
      <w:tr w:rsidR="009C6671" w:rsidRPr="005B5418" w14:paraId="76EE38D9" w14:textId="77777777" w:rsidTr="00B3227F">
        <w:tc>
          <w:tcPr>
            <w:tcW w:w="7560" w:type="dxa"/>
            <w:vAlign w:val="center"/>
          </w:tcPr>
          <w:p w14:paraId="335FA29D" w14:textId="77777777" w:rsidR="009C6671" w:rsidRPr="005B5418" w:rsidRDefault="009C6671" w:rsidP="002525C2">
            <w:pPr>
              <w:pStyle w:val="Table-Cell-Indent"/>
            </w:pPr>
            <w:r w:rsidRPr="005B5418">
              <w:fldChar w:fldCharType="begin"/>
            </w:r>
            <w:r w:rsidRPr="005B5418">
              <w:instrText xml:space="preserve"> REF _Ref8657488 \h  \* MERGEFORMAT </w:instrText>
            </w:r>
            <w:r w:rsidRPr="005B5418">
              <w:fldChar w:fldCharType="separate"/>
            </w:r>
            <w:r w:rsidR="00B22634" w:rsidRPr="005B5418">
              <w:t>II.3.9.2 Federal Oil and Gas Resources</w:t>
            </w:r>
            <w:r w:rsidRPr="005B5418">
              <w:fldChar w:fldCharType="end"/>
            </w:r>
          </w:p>
        </w:tc>
      </w:tr>
      <w:tr w:rsidR="009C6671" w:rsidRPr="005B5418" w14:paraId="440AFBC7" w14:textId="77777777" w:rsidTr="00B3227F">
        <w:tc>
          <w:tcPr>
            <w:tcW w:w="7560" w:type="dxa"/>
            <w:vAlign w:val="center"/>
          </w:tcPr>
          <w:p w14:paraId="2C07D88A" w14:textId="77777777" w:rsidR="009C6671" w:rsidRPr="005B5418" w:rsidRDefault="009C6671" w:rsidP="002525C2">
            <w:pPr>
              <w:pStyle w:val="Table-Cell-Indent"/>
            </w:pPr>
            <w:r w:rsidRPr="005B5418">
              <w:fldChar w:fldCharType="begin"/>
            </w:r>
            <w:r w:rsidRPr="005B5418">
              <w:instrText xml:space="preserve"> REF _Ref8657511 \h  \* MERGEFORMAT </w:instrText>
            </w:r>
            <w:r w:rsidRPr="005B5418">
              <w:fldChar w:fldCharType="separate"/>
            </w:r>
            <w:r w:rsidR="00B22634" w:rsidRPr="005B5418">
              <w:t>II.3.9.3 Other Federal Natural Resources</w:t>
            </w:r>
            <w:r w:rsidRPr="005B5418">
              <w:fldChar w:fldCharType="end"/>
            </w:r>
          </w:p>
        </w:tc>
      </w:tr>
      <w:tr w:rsidR="009C6671" w:rsidRPr="005B5418" w14:paraId="19D23281" w14:textId="77777777" w:rsidTr="00B3227F">
        <w:tc>
          <w:tcPr>
            <w:tcW w:w="7560" w:type="dxa"/>
            <w:vAlign w:val="center"/>
          </w:tcPr>
          <w:p w14:paraId="7469CC5E" w14:textId="77777777" w:rsidR="009C6671" w:rsidRPr="005B5418" w:rsidRDefault="009C6671" w:rsidP="002525C2">
            <w:pPr>
              <w:pStyle w:val="Table-Cell-Indent"/>
            </w:pPr>
            <w:r w:rsidRPr="005B5418">
              <w:fldChar w:fldCharType="begin"/>
            </w:r>
            <w:r w:rsidRPr="005B5418">
              <w:instrText xml:space="preserve"> REF _Ref8657520 \h  \* MERGEFORMAT </w:instrText>
            </w:r>
            <w:r w:rsidRPr="005B5418">
              <w:fldChar w:fldCharType="separate"/>
            </w:r>
            <w:r w:rsidR="00B22634" w:rsidRPr="005B5418">
              <w:t>II.3.9.4 Deferred Maintenance and Repairs</w:t>
            </w:r>
            <w:r w:rsidRPr="005B5418">
              <w:fldChar w:fldCharType="end"/>
            </w:r>
          </w:p>
        </w:tc>
      </w:tr>
      <w:tr w:rsidR="009C6671" w:rsidRPr="005B5418" w14:paraId="7AC03B30" w14:textId="77777777" w:rsidTr="00B3227F">
        <w:tc>
          <w:tcPr>
            <w:tcW w:w="7560" w:type="dxa"/>
            <w:vAlign w:val="center"/>
          </w:tcPr>
          <w:p w14:paraId="2FE8382F" w14:textId="77777777" w:rsidR="009C6671" w:rsidRPr="005B5418" w:rsidRDefault="009C6671" w:rsidP="002525C2">
            <w:pPr>
              <w:pStyle w:val="Table-Cell-Indent"/>
            </w:pPr>
            <w:r w:rsidRPr="005B5418">
              <w:fldChar w:fldCharType="begin"/>
            </w:r>
            <w:r w:rsidRPr="005B5418">
              <w:instrText xml:space="preserve"> REF _Ref8657530 \h  \* MERGEFORMAT </w:instrText>
            </w:r>
            <w:r w:rsidRPr="005B5418">
              <w:fldChar w:fldCharType="separate"/>
            </w:r>
            <w:r w:rsidR="00B22634" w:rsidRPr="005B5418">
              <w:t>II.3.9.5 Social Insurance</w:t>
            </w:r>
            <w:r w:rsidRPr="005B5418">
              <w:fldChar w:fldCharType="end"/>
            </w:r>
          </w:p>
        </w:tc>
      </w:tr>
      <w:tr w:rsidR="009C6671" w:rsidRPr="005B5418" w14:paraId="3FFF9F31" w14:textId="77777777" w:rsidTr="00B3227F">
        <w:tc>
          <w:tcPr>
            <w:tcW w:w="7560" w:type="dxa"/>
            <w:vAlign w:val="center"/>
          </w:tcPr>
          <w:p w14:paraId="3BAB91A8" w14:textId="77777777" w:rsidR="009C6671" w:rsidRPr="005B5418" w:rsidRDefault="009C6671" w:rsidP="002525C2">
            <w:pPr>
              <w:pStyle w:val="Table-Cell-Indent"/>
            </w:pPr>
            <w:r w:rsidRPr="005B5418">
              <w:fldChar w:fldCharType="begin"/>
            </w:r>
            <w:r w:rsidRPr="005B5418">
              <w:instrText xml:space="preserve"> REF _Ref8657538 \h  \* MERGEFORMAT </w:instrText>
            </w:r>
            <w:r w:rsidRPr="005B5418">
              <w:fldChar w:fldCharType="separate"/>
            </w:r>
            <w:r w:rsidR="00B22634" w:rsidRPr="005B5418">
              <w:t>II.3.9.6 Combining Statement of Budgetary Resources</w:t>
            </w:r>
            <w:r w:rsidRPr="005B5418">
              <w:fldChar w:fldCharType="end"/>
            </w:r>
          </w:p>
        </w:tc>
      </w:tr>
      <w:tr w:rsidR="009C6671" w:rsidRPr="005B5418" w14:paraId="07DB4025" w14:textId="77777777" w:rsidTr="00B3227F">
        <w:tc>
          <w:tcPr>
            <w:tcW w:w="7560" w:type="dxa"/>
            <w:vAlign w:val="center"/>
          </w:tcPr>
          <w:p w14:paraId="4C8AE761" w14:textId="77777777" w:rsidR="009C6671" w:rsidRPr="005B5418" w:rsidRDefault="009C6671" w:rsidP="00792043">
            <w:pPr>
              <w:pStyle w:val="Table-Cell-Indent"/>
            </w:pPr>
            <w:r w:rsidRPr="005B5418">
              <w:fldChar w:fldCharType="begin"/>
            </w:r>
            <w:r w:rsidRPr="005B5418">
              <w:instrText xml:space="preserve"> REF _Ref8657548 \h  \* MERGEFORMAT </w:instrText>
            </w:r>
            <w:r w:rsidRPr="005B5418">
              <w:fldChar w:fldCharType="separate"/>
            </w:r>
            <w:r w:rsidR="00B22634" w:rsidRPr="005B5418">
              <w:t>II.3.9.7 Custodial Activity</w:t>
            </w:r>
            <w:r w:rsidRPr="005B5418">
              <w:fldChar w:fldCharType="end"/>
            </w:r>
          </w:p>
        </w:tc>
      </w:tr>
      <w:tr w:rsidR="00FA0C99" w:rsidRPr="005B5418" w14:paraId="45D0AB33" w14:textId="77777777" w:rsidTr="00B3227F">
        <w:tc>
          <w:tcPr>
            <w:tcW w:w="7560" w:type="dxa"/>
            <w:vAlign w:val="center"/>
          </w:tcPr>
          <w:p w14:paraId="2A637D75" w14:textId="2D836A3C" w:rsidR="00FA0C99" w:rsidRPr="005B5418" w:rsidRDefault="00FA0C99" w:rsidP="00792043">
            <w:pPr>
              <w:pStyle w:val="Table-Cell-Indent"/>
            </w:pPr>
            <w:hyperlink w:anchor="_II.3.9.8_Land_(RSI" w:history="1">
              <w:r w:rsidRPr="005B5418">
                <w:t>II.3.9.8 Land</w:t>
              </w:r>
              <w:r w:rsidR="004404AE" w:rsidRPr="005B5418">
                <w:t xml:space="preserve"> </w:t>
              </w:r>
            </w:hyperlink>
          </w:p>
        </w:tc>
      </w:tr>
    </w:tbl>
    <w:p w14:paraId="01387EFF" w14:textId="77777777" w:rsidR="004473BF" w:rsidRPr="005B5418" w:rsidRDefault="004473BF" w:rsidP="003B61E9">
      <w:pPr>
        <w:spacing w:line="240" w:lineRule="auto"/>
        <w:rPr>
          <w:rFonts w:cs="Arial"/>
        </w:rPr>
      </w:pPr>
    </w:p>
    <w:p w14:paraId="6F6CAEE9" w14:textId="77777777" w:rsidR="004473BF" w:rsidRPr="005B5418" w:rsidRDefault="004473BF" w:rsidP="003B61E9">
      <w:pPr>
        <w:spacing w:line="240" w:lineRule="auto"/>
        <w:rPr>
          <w:rFonts w:cs="Arial"/>
        </w:rPr>
      </w:pPr>
      <w:r w:rsidRPr="005B5418">
        <w:rPr>
          <w:rFonts w:cs="Arial"/>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8"/>
        <w:gridCol w:w="966"/>
        <w:gridCol w:w="3216"/>
      </w:tblGrid>
      <w:tr w:rsidR="004473BF" w:rsidRPr="005B5418" w14:paraId="0959FEA3" w14:textId="77777777" w:rsidTr="002D4ACC">
        <w:trPr>
          <w:trHeight w:val="35"/>
          <w:tblHeader/>
        </w:trPr>
        <w:tc>
          <w:tcPr>
            <w:tcW w:w="5400" w:type="dxa"/>
          </w:tcPr>
          <w:p w14:paraId="377F1C47" w14:textId="77777777" w:rsidR="004473BF" w:rsidRPr="005B5418" w:rsidRDefault="004473BF" w:rsidP="008848DA">
            <w:pPr>
              <w:pStyle w:val="Heading4"/>
              <w:spacing w:before="60" w:after="60" w:line="240" w:lineRule="auto"/>
              <w:jc w:val="left"/>
              <w:rPr>
                <w:b/>
                <w:u w:val="none"/>
              </w:rPr>
            </w:pPr>
            <w:bookmarkStart w:id="255" w:name="_II.3.9.1_Management’s_Discussion"/>
            <w:bookmarkStart w:id="256" w:name="_Ref8657501"/>
            <w:bookmarkEnd w:id="255"/>
            <w:r w:rsidRPr="005B5418">
              <w:rPr>
                <w:b/>
                <w:u w:val="none"/>
              </w:rPr>
              <w:lastRenderedPageBreak/>
              <w:t>II.3.</w:t>
            </w:r>
            <w:r w:rsidR="00C73D60" w:rsidRPr="005B5418">
              <w:rPr>
                <w:b/>
                <w:u w:val="none"/>
              </w:rPr>
              <w:t>9</w:t>
            </w:r>
            <w:r w:rsidRPr="005B5418">
              <w:rPr>
                <w:b/>
                <w:u w:val="none"/>
              </w:rPr>
              <w:t>.1 Management’s Discussion and Analysis</w:t>
            </w:r>
            <w:bookmarkEnd w:id="256"/>
            <w:r w:rsidRPr="005B5418">
              <w:rPr>
                <w:b/>
                <w:u w:val="none"/>
              </w:rPr>
              <w:t xml:space="preserve"> </w:t>
            </w:r>
          </w:p>
        </w:tc>
        <w:tc>
          <w:tcPr>
            <w:tcW w:w="965" w:type="dxa"/>
          </w:tcPr>
          <w:p w14:paraId="226CA9EF" w14:textId="77777777" w:rsidR="004473BF" w:rsidRPr="005B5418" w:rsidRDefault="004473BF" w:rsidP="008848DA">
            <w:pPr>
              <w:pStyle w:val="TableCellCenter"/>
              <w:spacing w:before="60" w:after="60"/>
              <w:jc w:val="left"/>
            </w:pPr>
            <w:r w:rsidRPr="005B5418">
              <w:t>Yes, No, or N/A</w:t>
            </w:r>
          </w:p>
        </w:tc>
        <w:tc>
          <w:tcPr>
            <w:tcW w:w="3211" w:type="dxa"/>
          </w:tcPr>
          <w:p w14:paraId="3DBFFD02" w14:textId="79A0DD7A" w:rsidR="004473BF" w:rsidRPr="005B5418" w:rsidRDefault="004473BF" w:rsidP="008848DA">
            <w:pPr>
              <w:pStyle w:val="TableCellCenter"/>
              <w:spacing w:before="60" w:after="60"/>
              <w:jc w:val="left"/>
            </w:pPr>
            <w:r w:rsidRPr="005B5418">
              <w:t xml:space="preserve">Explanation </w:t>
            </w:r>
            <w:r w:rsidR="00EF31C7" w:rsidRPr="005B5418">
              <w:t>and</w:t>
            </w:r>
            <w:r w:rsidRPr="005B5418">
              <w:t xml:space="preserve"> Reference</w:t>
            </w:r>
          </w:p>
        </w:tc>
      </w:tr>
      <w:tr w:rsidR="004473BF" w:rsidRPr="005B5418" w14:paraId="3C47BA80" w14:textId="77777777" w:rsidTr="003F7564">
        <w:trPr>
          <w:trHeight w:val="1304"/>
        </w:trPr>
        <w:tc>
          <w:tcPr>
            <w:tcW w:w="5400" w:type="dxa"/>
          </w:tcPr>
          <w:p w14:paraId="183D039C" w14:textId="76532CD0" w:rsidR="004473BF" w:rsidRPr="005B5418" w:rsidRDefault="004473BF" w:rsidP="006F10D8">
            <w:pPr>
              <w:pStyle w:val="FAM-Table-outline"/>
              <w:widowControl/>
              <w:numPr>
                <w:ilvl w:val="0"/>
                <w:numId w:val="32"/>
              </w:numPr>
              <w:tabs>
                <w:tab w:val="num" w:pos="792"/>
              </w:tabs>
              <w:adjustRightInd/>
              <w:spacing w:line="240" w:lineRule="auto"/>
              <w:textAlignment w:val="auto"/>
            </w:pPr>
            <w:r w:rsidRPr="005B5418">
              <w:t xml:space="preserve">Does the entity present </w:t>
            </w:r>
            <w:r w:rsidR="00DE434B" w:rsidRPr="005B5418">
              <w:t>an MD&amp;A</w:t>
            </w:r>
            <w:r w:rsidR="009F3AC9" w:rsidRPr="005B5418">
              <w:t>?</w:t>
            </w:r>
          </w:p>
        </w:tc>
        <w:tc>
          <w:tcPr>
            <w:tcW w:w="965" w:type="dxa"/>
          </w:tcPr>
          <w:p w14:paraId="77C039AE" w14:textId="77777777" w:rsidR="004473BF" w:rsidRPr="005B5418" w:rsidRDefault="004473BF" w:rsidP="008848DA">
            <w:pPr>
              <w:pStyle w:val="Table-Cell-CenterBoldBefore6ptAfter6pt"/>
              <w:spacing w:before="60" w:after="60"/>
              <w:rPr>
                <w:lang w:val="pt-BR"/>
              </w:rPr>
            </w:pPr>
          </w:p>
        </w:tc>
        <w:tc>
          <w:tcPr>
            <w:tcW w:w="3211" w:type="dxa"/>
          </w:tcPr>
          <w:p w14:paraId="2471C964" w14:textId="77777777" w:rsidR="004473BF" w:rsidRPr="005B5418" w:rsidRDefault="004473BF" w:rsidP="008848DA">
            <w:pPr>
              <w:spacing w:before="60" w:after="60" w:line="240" w:lineRule="auto"/>
              <w:rPr>
                <w:lang w:val="pt-BR"/>
              </w:rPr>
            </w:pPr>
          </w:p>
        </w:tc>
      </w:tr>
    </w:tbl>
    <w:p w14:paraId="26CA8AAE" w14:textId="77777777" w:rsidR="004473BF" w:rsidRPr="005B5418" w:rsidRDefault="004473BF" w:rsidP="003B61E9">
      <w:pPr>
        <w:spacing w:line="240" w:lineRule="auto"/>
        <w:rPr>
          <w:rFonts w:cs="Arial"/>
        </w:rPr>
      </w:pPr>
    </w:p>
    <w:p w14:paraId="4337084E" w14:textId="77777777" w:rsidR="004473BF" w:rsidRPr="005B5418" w:rsidRDefault="004473BF" w:rsidP="003B61E9">
      <w:pPr>
        <w:spacing w:line="240" w:lineRule="auto"/>
        <w:rPr>
          <w:rFonts w:cs="Arial"/>
        </w:rPr>
      </w:pPr>
      <w:r w:rsidRPr="005B5418">
        <w:rPr>
          <w:rFonts w:cs="Arial"/>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8"/>
        <w:gridCol w:w="966"/>
        <w:gridCol w:w="3216"/>
      </w:tblGrid>
      <w:tr w:rsidR="004473BF" w:rsidRPr="005B5418" w14:paraId="72EA1C40" w14:textId="77777777" w:rsidTr="002D4ACC">
        <w:trPr>
          <w:trHeight w:val="35"/>
          <w:tblHeader/>
        </w:trPr>
        <w:tc>
          <w:tcPr>
            <w:tcW w:w="5400" w:type="dxa"/>
          </w:tcPr>
          <w:p w14:paraId="31468309" w14:textId="77777777" w:rsidR="004473BF" w:rsidRPr="005B5418" w:rsidRDefault="004473BF" w:rsidP="008848DA">
            <w:pPr>
              <w:pStyle w:val="Heading4"/>
              <w:spacing w:before="60" w:after="60" w:line="240" w:lineRule="auto"/>
              <w:jc w:val="left"/>
              <w:rPr>
                <w:b/>
                <w:u w:val="none"/>
              </w:rPr>
            </w:pPr>
            <w:bookmarkStart w:id="257" w:name="_II.3.9.2_Federal_Oil"/>
            <w:bookmarkStart w:id="258" w:name="_Ref8657488"/>
            <w:bookmarkEnd w:id="257"/>
            <w:r w:rsidRPr="005B5418">
              <w:rPr>
                <w:b/>
                <w:u w:val="none"/>
              </w:rPr>
              <w:lastRenderedPageBreak/>
              <w:t>II.3.</w:t>
            </w:r>
            <w:r w:rsidR="00C73D60" w:rsidRPr="005B5418">
              <w:rPr>
                <w:b/>
                <w:u w:val="none"/>
              </w:rPr>
              <w:t>9</w:t>
            </w:r>
            <w:r w:rsidRPr="005B5418">
              <w:rPr>
                <w:b/>
                <w:u w:val="none"/>
              </w:rPr>
              <w:t>.2 Federal Oil and Gas Resources</w:t>
            </w:r>
            <w:bookmarkEnd w:id="258"/>
          </w:p>
        </w:tc>
        <w:tc>
          <w:tcPr>
            <w:tcW w:w="965" w:type="dxa"/>
          </w:tcPr>
          <w:p w14:paraId="791DBCEB" w14:textId="77777777" w:rsidR="004473BF" w:rsidRPr="005B5418" w:rsidRDefault="004473BF" w:rsidP="008848DA">
            <w:pPr>
              <w:pStyle w:val="TableCellCenter"/>
              <w:spacing w:before="60" w:after="60"/>
              <w:jc w:val="left"/>
            </w:pPr>
            <w:r w:rsidRPr="005B5418">
              <w:t>Yes, No, or N/A</w:t>
            </w:r>
          </w:p>
        </w:tc>
        <w:tc>
          <w:tcPr>
            <w:tcW w:w="3211" w:type="dxa"/>
          </w:tcPr>
          <w:p w14:paraId="04E57C9C" w14:textId="0BCD9F3B" w:rsidR="004473BF" w:rsidRPr="005B5418" w:rsidRDefault="004473BF" w:rsidP="008848DA">
            <w:pPr>
              <w:pStyle w:val="TableCellCenter"/>
              <w:spacing w:before="60" w:after="60"/>
              <w:jc w:val="left"/>
            </w:pPr>
            <w:r w:rsidRPr="005B5418">
              <w:t xml:space="preserve">Explanation </w:t>
            </w:r>
            <w:r w:rsidR="007E6B50" w:rsidRPr="005B5418">
              <w:t xml:space="preserve">and </w:t>
            </w:r>
            <w:r w:rsidRPr="005B5418">
              <w:t>Reference</w:t>
            </w:r>
          </w:p>
        </w:tc>
      </w:tr>
      <w:tr w:rsidR="004473BF" w:rsidRPr="005B5418" w14:paraId="5008EC50" w14:textId="77777777" w:rsidTr="00EB33CD">
        <w:trPr>
          <w:trHeight w:val="35"/>
        </w:trPr>
        <w:tc>
          <w:tcPr>
            <w:tcW w:w="9576" w:type="dxa"/>
            <w:gridSpan w:val="3"/>
          </w:tcPr>
          <w:p w14:paraId="1A4AAA34" w14:textId="7BC9B272" w:rsidR="004473BF" w:rsidRPr="005B5418" w:rsidRDefault="004473BF" w:rsidP="008848DA">
            <w:pPr>
              <w:pStyle w:val="Table-Note"/>
              <w:spacing w:before="60" w:after="60" w:line="240" w:lineRule="auto"/>
              <w:ind w:left="-35"/>
              <w:jc w:val="left"/>
              <w:rPr>
                <w:i w:val="0"/>
                <w:sz w:val="22"/>
                <w:szCs w:val="22"/>
              </w:rPr>
            </w:pPr>
            <w:r w:rsidRPr="005B5418">
              <w:rPr>
                <w:sz w:val="22"/>
                <w:szCs w:val="22"/>
              </w:rPr>
              <w:t>SFFAS</w:t>
            </w:r>
            <w:r w:rsidRPr="005B5418">
              <w:rPr>
                <w:i w:val="0"/>
                <w:sz w:val="22"/>
                <w:szCs w:val="22"/>
              </w:rPr>
              <w:t xml:space="preserve"> 38</w:t>
            </w:r>
            <w:r w:rsidR="009F3AC9" w:rsidRPr="005B5418">
              <w:rPr>
                <w:i w:val="0"/>
                <w:sz w:val="22"/>
                <w:szCs w:val="22"/>
              </w:rPr>
              <w:t>,</w:t>
            </w:r>
            <w:r w:rsidRPr="005B5418">
              <w:rPr>
                <w:i w:val="0"/>
                <w:sz w:val="22"/>
                <w:szCs w:val="22"/>
              </w:rPr>
              <w:t xml:space="preserve"> </w:t>
            </w:r>
            <w:r w:rsidRPr="005B5418">
              <w:rPr>
                <w:sz w:val="22"/>
                <w:szCs w:val="22"/>
              </w:rPr>
              <w:t>Accounting for Federal Oil and Gas Resources</w:t>
            </w:r>
            <w:r w:rsidR="009F3AC9" w:rsidRPr="005B5418">
              <w:rPr>
                <w:i w:val="0"/>
                <w:sz w:val="22"/>
                <w:szCs w:val="22"/>
              </w:rPr>
              <w:t>,</w:t>
            </w:r>
            <w:r w:rsidRPr="005B5418">
              <w:rPr>
                <w:i w:val="0"/>
                <w:sz w:val="22"/>
                <w:szCs w:val="22"/>
              </w:rPr>
              <w:t xml:space="preserve"> requires certain schedules to be reported as RSI until FASAB determines whether this information should be reported as basic information. Federal oil and gas resources are oil and gas resources over which the federal government may exercise sovereign rights with respect to exploration and exploitation and from which the federal government has the authority to derive revenues for its use. Federal oil and gas resources do not include resources over which the federal government acts as a fiduciary for the benefit of a non-federal party. (SFFAS 38, par</w:t>
            </w:r>
            <w:r w:rsidR="00B46B33" w:rsidRPr="005B5418">
              <w:rPr>
                <w:i w:val="0"/>
                <w:sz w:val="22"/>
                <w:szCs w:val="22"/>
              </w:rPr>
              <w:t>a</w:t>
            </w:r>
            <w:r w:rsidRPr="005B5418">
              <w:rPr>
                <w:i w:val="0"/>
                <w:sz w:val="22"/>
                <w:szCs w:val="22"/>
              </w:rPr>
              <w:t>. 11)</w:t>
            </w:r>
          </w:p>
          <w:p w14:paraId="3D70568C" w14:textId="237B7A6B" w:rsidR="004473BF" w:rsidRPr="005B5418" w:rsidRDefault="002A28AB" w:rsidP="008848DA">
            <w:pPr>
              <w:pStyle w:val="Table-Note"/>
              <w:spacing w:before="60" w:after="60" w:line="240" w:lineRule="auto"/>
              <w:ind w:left="-35"/>
              <w:jc w:val="left"/>
              <w:rPr>
                <w:i w:val="0"/>
                <w:sz w:val="22"/>
                <w:szCs w:val="22"/>
              </w:rPr>
            </w:pPr>
            <w:r w:rsidRPr="005B5418">
              <w:rPr>
                <w:i w:val="0"/>
                <w:sz w:val="22"/>
                <w:szCs w:val="22"/>
              </w:rPr>
              <w:t>“</w:t>
            </w:r>
            <w:r w:rsidR="004473BF" w:rsidRPr="005B5418">
              <w:rPr>
                <w:i w:val="0"/>
                <w:sz w:val="22"/>
                <w:szCs w:val="22"/>
              </w:rPr>
              <w:t>Regional estimated petroleum royalties</w:t>
            </w:r>
            <w:r w:rsidRPr="005B5418">
              <w:rPr>
                <w:i w:val="0"/>
                <w:sz w:val="22"/>
                <w:szCs w:val="22"/>
              </w:rPr>
              <w:t>”</w:t>
            </w:r>
            <w:r w:rsidR="004473BF" w:rsidRPr="005B5418">
              <w:rPr>
                <w:i w:val="0"/>
                <w:sz w:val="22"/>
                <w:szCs w:val="22"/>
              </w:rPr>
              <w:t xml:space="preserve"> means the estimated end-of-period value of the federal government’s royalty share of proved oil and gas reserves form the federal oil and gas resources in each region. (SFFAS 38, par</w:t>
            </w:r>
            <w:r w:rsidR="00B46B33" w:rsidRPr="005B5418">
              <w:rPr>
                <w:i w:val="0"/>
                <w:sz w:val="22"/>
                <w:szCs w:val="22"/>
              </w:rPr>
              <w:t>a</w:t>
            </w:r>
            <w:r w:rsidR="004473BF" w:rsidRPr="005B5418">
              <w:rPr>
                <w:i w:val="0"/>
                <w:sz w:val="22"/>
                <w:szCs w:val="22"/>
              </w:rPr>
              <w:t>.12)</w:t>
            </w:r>
          </w:p>
          <w:p w14:paraId="19B5018B" w14:textId="18C22B86" w:rsidR="004473BF" w:rsidRPr="005B5418" w:rsidRDefault="004473BF" w:rsidP="008848DA">
            <w:pPr>
              <w:pStyle w:val="Table-Note"/>
              <w:spacing w:before="60" w:after="60" w:line="240" w:lineRule="auto"/>
              <w:ind w:left="-35"/>
              <w:jc w:val="left"/>
              <w:rPr>
                <w:i w:val="0"/>
                <w:sz w:val="22"/>
                <w:szCs w:val="22"/>
              </w:rPr>
            </w:pPr>
            <w:r w:rsidRPr="005B5418">
              <w:rPr>
                <w:i w:val="0"/>
                <w:sz w:val="22"/>
                <w:szCs w:val="22"/>
              </w:rPr>
              <w:t>Extensive federal oil and gas resources exist on public lands throughout the country and on the Outer Continental Shelf. These resources will provide economic benefits to the federal government through revenue from leasing activities and the collection of royalties on production. (SFFAS 38, par</w:t>
            </w:r>
            <w:r w:rsidR="00B46B33" w:rsidRPr="005B5418">
              <w:rPr>
                <w:i w:val="0"/>
                <w:sz w:val="22"/>
                <w:szCs w:val="22"/>
              </w:rPr>
              <w:t>a</w:t>
            </w:r>
            <w:r w:rsidRPr="005B5418">
              <w:rPr>
                <w:i w:val="0"/>
                <w:sz w:val="22"/>
                <w:szCs w:val="22"/>
              </w:rPr>
              <w:t xml:space="preserve">. 13) </w:t>
            </w:r>
          </w:p>
        </w:tc>
      </w:tr>
      <w:tr w:rsidR="00DC08FB" w:rsidRPr="005B5418" w14:paraId="08E9EAA6" w14:textId="77777777" w:rsidTr="00DC08FB">
        <w:trPr>
          <w:trHeight w:val="1133"/>
        </w:trPr>
        <w:tc>
          <w:tcPr>
            <w:tcW w:w="5400" w:type="dxa"/>
          </w:tcPr>
          <w:p w14:paraId="015EA976" w14:textId="19EA6E2F" w:rsidR="00DC08FB" w:rsidRPr="005B5418" w:rsidRDefault="00DC08FB" w:rsidP="00E078F8">
            <w:pPr>
              <w:pStyle w:val="FAM-Table-outline"/>
              <w:widowControl/>
              <w:numPr>
                <w:ilvl w:val="0"/>
                <w:numId w:val="33"/>
              </w:numPr>
              <w:adjustRightInd/>
              <w:spacing w:line="240" w:lineRule="auto"/>
              <w:textAlignment w:val="auto"/>
            </w:pPr>
            <w:r w:rsidRPr="005B5418">
              <w:t xml:space="preserve">Is this topic applicable to the </w:t>
            </w:r>
            <w:r w:rsidR="00E078F8" w:rsidRPr="005B5418">
              <w:t>reporting entity</w:t>
            </w:r>
            <w:r w:rsidRPr="005B5418">
              <w:t>? (Answer Y if applicable, N/A if not applicable, or N/S if not significant. If N/A or N/S, skip to the next topic</w:t>
            </w:r>
            <w:r w:rsidR="00B46B33" w:rsidRPr="005B5418">
              <w:t>.</w:t>
            </w:r>
            <w:r w:rsidRPr="005B5418">
              <w:t>)</w:t>
            </w:r>
          </w:p>
        </w:tc>
        <w:tc>
          <w:tcPr>
            <w:tcW w:w="965" w:type="dxa"/>
          </w:tcPr>
          <w:p w14:paraId="2797B2AA" w14:textId="77777777" w:rsidR="00DC08FB" w:rsidRPr="005B5418" w:rsidRDefault="00DC08FB" w:rsidP="008848DA">
            <w:pPr>
              <w:pStyle w:val="Table-Cell-CenterBoldBefore6ptAfter6pt"/>
              <w:spacing w:before="60" w:after="60"/>
              <w:rPr>
                <w:lang w:val="pt-BR"/>
              </w:rPr>
            </w:pPr>
          </w:p>
        </w:tc>
        <w:tc>
          <w:tcPr>
            <w:tcW w:w="3211" w:type="dxa"/>
          </w:tcPr>
          <w:p w14:paraId="01ADF057" w14:textId="77777777" w:rsidR="00DC08FB" w:rsidRPr="005B5418" w:rsidRDefault="00DC08FB" w:rsidP="008848DA">
            <w:pPr>
              <w:spacing w:before="60" w:after="60" w:line="240" w:lineRule="auto"/>
              <w:rPr>
                <w:lang w:val="pt-BR"/>
              </w:rPr>
            </w:pPr>
          </w:p>
        </w:tc>
      </w:tr>
      <w:tr w:rsidR="001C41DC" w:rsidRPr="005B5418" w14:paraId="458A9B29" w14:textId="77777777" w:rsidTr="003F7564">
        <w:trPr>
          <w:trHeight w:val="1133"/>
        </w:trPr>
        <w:tc>
          <w:tcPr>
            <w:tcW w:w="5400" w:type="dxa"/>
          </w:tcPr>
          <w:p w14:paraId="008832BF" w14:textId="21978F8F"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cs="Arial"/>
                <w:szCs w:val="22"/>
              </w:rPr>
              <w:t>Does the entity develop and use a detailed estimation methodology to value federal oil and gas resources?</w:t>
            </w:r>
            <w:r w:rsidRPr="005B5418">
              <w:rPr>
                <w:rStyle w:val="FootnoteReference"/>
                <w:rFonts w:eastAsia="Arial Unicode MS" w:cs="Arial"/>
                <w:szCs w:val="22"/>
              </w:rPr>
              <w:footnoteReference w:id="264"/>
            </w:r>
            <w:r w:rsidRPr="005B5418">
              <w:rPr>
                <w:rFonts w:eastAsia="Arial Unicode MS" w:cs="Arial"/>
                <w:szCs w:val="22"/>
                <w:vertAlign w:val="superscript"/>
              </w:rPr>
              <w:t xml:space="preserve"> </w:t>
            </w:r>
            <w:r w:rsidRPr="005B5418">
              <w:rPr>
                <w:rFonts w:eastAsia="Arial Unicode MS" w:cs="Arial"/>
                <w:szCs w:val="22"/>
              </w:rPr>
              <w:t>(SFFAS 38, par</w:t>
            </w:r>
            <w:r w:rsidR="00B46B33" w:rsidRPr="005B5418">
              <w:rPr>
                <w:rFonts w:eastAsia="Arial Unicode MS" w:cs="Arial"/>
                <w:szCs w:val="22"/>
              </w:rPr>
              <w:t>a</w:t>
            </w:r>
            <w:r w:rsidRPr="005B5418">
              <w:rPr>
                <w:rFonts w:eastAsia="Arial Unicode MS" w:cs="Arial"/>
                <w:szCs w:val="22"/>
              </w:rPr>
              <w:t xml:space="preserve">. 16) </w:t>
            </w:r>
          </w:p>
        </w:tc>
        <w:tc>
          <w:tcPr>
            <w:tcW w:w="965" w:type="dxa"/>
          </w:tcPr>
          <w:p w14:paraId="040F8389" w14:textId="77777777" w:rsidR="001C41DC" w:rsidRPr="005B5418" w:rsidRDefault="001C41DC" w:rsidP="008848DA">
            <w:pPr>
              <w:pStyle w:val="Table-Cell-CenterBoldBefore6ptAfter6pt"/>
              <w:spacing w:before="60" w:after="60"/>
              <w:rPr>
                <w:lang w:val="pt-BR"/>
              </w:rPr>
            </w:pPr>
          </w:p>
        </w:tc>
        <w:tc>
          <w:tcPr>
            <w:tcW w:w="3211" w:type="dxa"/>
          </w:tcPr>
          <w:p w14:paraId="6235D072" w14:textId="77777777" w:rsidR="001C41DC" w:rsidRPr="005B5418" w:rsidRDefault="001C41DC" w:rsidP="008848DA">
            <w:pPr>
              <w:spacing w:before="60" w:after="60" w:line="240" w:lineRule="auto"/>
              <w:rPr>
                <w:lang w:val="pt-BR"/>
              </w:rPr>
            </w:pPr>
          </w:p>
        </w:tc>
      </w:tr>
      <w:tr w:rsidR="001C41DC" w:rsidRPr="005B5418" w14:paraId="3DE6460F" w14:textId="77777777" w:rsidTr="003F7564">
        <w:trPr>
          <w:trHeight w:val="1520"/>
        </w:trPr>
        <w:tc>
          <w:tcPr>
            <w:tcW w:w="5400" w:type="dxa"/>
          </w:tcPr>
          <w:p w14:paraId="716F4424" w14:textId="1D81A8FA"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rPr>
              <w:t>Do the federal oil and gas resources valuation estimates approximate the present value of future federal royalty receipts on proved reserves known to exist as of the reporting date?</w:t>
            </w:r>
            <w:r w:rsidRPr="005B5418">
              <w:rPr>
                <w:rStyle w:val="FootnoteReference"/>
                <w:rFonts w:eastAsia="Arial Unicode MS"/>
              </w:rPr>
              <w:footnoteReference w:id="265"/>
            </w:r>
            <w:r w:rsidRPr="005B5418">
              <w:rPr>
                <w:rFonts w:eastAsia="Arial Unicode MS"/>
              </w:rPr>
              <w:t xml:space="preserve"> (SFFAS 38, par</w:t>
            </w:r>
            <w:r w:rsidR="00B46B33" w:rsidRPr="005B5418">
              <w:rPr>
                <w:rFonts w:eastAsia="Arial Unicode MS"/>
              </w:rPr>
              <w:t>a</w:t>
            </w:r>
            <w:r w:rsidRPr="005B5418">
              <w:rPr>
                <w:rFonts w:eastAsia="Arial Unicode MS"/>
              </w:rPr>
              <w:t xml:space="preserve">. 17) </w:t>
            </w:r>
          </w:p>
        </w:tc>
        <w:tc>
          <w:tcPr>
            <w:tcW w:w="965" w:type="dxa"/>
          </w:tcPr>
          <w:p w14:paraId="54960786" w14:textId="77777777" w:rsidR="001C41DC" w:rsidRPr="005B5418" w:rsidRDefault="001C41DC" w:rsidP="008848DA">
            <w:pPr>
              <w:pStyle w:val="Table-Cell-CenterBoldBefore6ptAfter6pt"/>
              <w:spacing w:before="60" w:after="60"/>
              <w:rPr>
                <w:lang w:val="pt-BR"/>
              </w:rPr>
            </w:pPr>
          </w:p>
        </w:tc>
        <w:tc>
          <w:tcPr>
            <w:tcW w:w="3211" w:type="dxa"/>
          </w:tcPr>
          <w:p w14:paraId="1AAB6FA1" w14:textId="77777777" w:rsidR="001C41DC" w:rsidRPr="005B5418" w:rsidRDefault="001C41DC" w:rsidP="008848DA">
            <w:pPr>
              <w:spacing w:before="60" w:after="60" w:line="240" w:lineRule="auto"/>
              <w:rPr>
                <w:lang w:val="pt-BR"/>
              </w:rPr>
            </w:pPr>
          </w:p>
        </w:tc>
      </w:tr>
      <w:tr w:rsidR="001C41DC" w:rsidRPr="005B5418" w14:paraId="0404A17D" w14:textId="77777777" w:rsidTr="003F7564">
        <w:trPr>
          <w:trHeight w:val="1511"/>
        </w:trPr>
        <w:tc>
          <w:tcPr>
            <w:tcW w:w="5400" w:type="dxa"/>
          </w:tcPr>
          <w:p w14:paraId="461A8DBB" w14:textId="04A4EDB1"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rPr>
              <w:t>Are the federal oil and gas valuation estimates developed based on the best information available at fiscal year-end or as close to the fiscal year-end as possible? (SFFAS 38, par</w:t>
            </w:r>
            <w:r w:rsidR="00B46B33" w:rsidRPr="005B5418">
              <w:rPr>
                <w:rFonts w:eastAsia="Arial Unicode MS"/>
              </w:rPr>
              <w:t>a</w:t>
            </w:r>
            <w:r w:rsidRPr="005B5418">
              <w:rPr>
                <w:rFonts w:eastAsia="Arial Unicode MS"/>
              </w:rPr>
              <w:t>. 17)</w:t>
            </w:r>
          </w:p>
        </w:tc>
        <w:tc>
          <w:tcPr>
            <w:tcW w:w="965" w:type="dxa"/>
          </w:tcPr>
          <w:p w14:paraId="03BC2870" w14:textId="77777777" w:rsidR="001C41DC" w:rsidRPr="005B5418" w:rsidRDefault="001C41DC" w:rsidP="008848DA">
            <w:pPr>
              <w:pStyle w:val="Table-Cell-CenterBoldBefore6ptAfter6pt"/>
              <w:spacing w:before="60" w:after="60"/>
              <w:rPr>
                <w:lang w:val="pt-BR"/>
              </w:rPr>
            </w:pPr>
          </w:p>
        </w:tc>
        <w:tc>
          <w:tcPr>
            <w:tcW w:w="3211" w:type="dxa"/>
          </w:tcPr>
          <w:p w14:paraId="6467FA92" w14:textId="77777777" w:rsidR="001C41DC" w:rsidRPr="005B5418" w:rsidRDefault="001C41DC" w:rsidP="008848DA">
            <w:pPr>
              <w:spacing w:before="60" w:after="60" w:line="240" w:lineRule="auto"/>
              <w:rPr>
                <w:lang w:val="pt-BR"/>
              </w:rPr>
            </w:pPr>
          </w:p>
        </w:tc>
      </w:tr>
      <w:tr w:rsidR="001C41DC" w:rsidRPr="005B5418" w14:paraId="002133DE" w14:textId="77777777" w:rsidTr="00EB33CD">
        <w:trPr>
          <w:trHeight w:val="1844"/>
        </w:trPr>
        <w:tc>
          <w:tcPr>
            <w:tcW w:w="5400" w:type="dxa"/>
          </w:tcPr>
          <w:p w14:paraId="40B3E1D9" w14:textId="0D86DD38"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rPr>
              <w:lastRenderedPageBreak/>
              <w:t>Are the discount rates used for present value measurements of federal oil and gas resources based on interest rates on marketable Treasury securities with maturities consistent with the cash flows being discounted as of the reporting date? (SFFAS 38, par</w:t>
            </w:r>
            <w:r w:rsidR="00534240" w:rsidRPr="005B5418">
              <w:rPr>
                <w:rFonts w:eastAsia="Arial Unicode MS"/>
              </w:rPr>
              <w:t>a</w:t>
            </w:r>
            <w:r w:rsidRPr="005B5418">
              <w:rPr>
                <w:rFonts w:eastAsia="Arial Unicode MS"/>
              </w:rPr>
              <w:t xml:space="preserve">. 18) </w:t>
            </w:r>
          </w:p>
        </w:tc>
        <w:tc>
          <w:tcPr>
            <w:tcW w:w="965" w:type="dxa"/>
          </w:tcPr>
          <w:p w14:paraId="4FEC0677" w14:textId="77777777" w:rsidR="001C41DC" w:rsidRPr="005B5418" w:rsidRDefault="001C41DC" w:rsidP="008848DA">
            <w:pPr>
              <w:pStyle w:val="Table-Cell-CenterBoldBefore6ptAfter6pt"/>
              <w:spacing w:before="60" w:after="60"/>
              <w:rPr>
                <w:lang w:val="pt-BR"/>
              </w:rPr>
            </w:pPr>
          </w:p>
        </w:tc>
        <w:tc>
          <w:tcPr>
            <w:tcW w:w="3211" w:type="dxa"/>
          </w:tcPr>
          <w:p w14:paraId="2CC0EBC2" w14:textId="77777777" w:rsidR="001C41DC" w:rsidRPr="005B5418" w:rsidRDefault="001C41DC" w:rsidP="008848DA">
            <w:pPr>
              <w:spacing w:before="60" w:after="60" w:line="240" w:lineRule="auto"/>
              <w:rPr>
                <w:lang w:val="pt-BR"/>
              </w:rPr>
            </w:pPr>
          </w:p>
        </w:tc>
      </w:tr>
      <w:tr w:rsidR="001C41DC" w:rsidRPr="005B5418" w14:paraId="60F5F029" w14:textId="77777777" w:rsidTr="00EB33CD">
        <w:trPr>
          <w:trHeight w:val="1844"/>
        </w:trPr>
        <w:tc>
          <w:tcPr>
            <w:tcW w:w="5400" w:type="dxa"/>
          </w:tcPr>
          <w:p w14:paraId="14CF7C94" w14:textId="77777777" w:rsidR="001C41DC" w:rsidRPr="005B5418" w:rsidRDefault="001C41DC" w:rsidP="008624C2">
            <w:pPr>
              <w:pStyle w:val="FAM-Table-outline"/>
              <w:spacing w:line="240" w:lineRule="auto"/>
              <w:rPr>
                <w:rFonts w:eastAsia="Arial Unicode MS"/>
              </w:rPr>
            </w:pPr>
            <w:r w:rsidRPr="005B5418">
              <w:rPr>
                <w:rFonts w:eastAsia="Arial Unicode MS"/>
              </w:rPr>
              <w:t xml:space="preserve">Do the entity’s estimates reflect </w:t>
            </w:r>
          </w:p>
          <w:p w14:paraId="76EB04B1" w14:textId="12D1E893" w:rsidR="001C41DC" w:rsidRPr="005B5418" w:rsidRDefault="001C41DC" w:rsidP="005425ED">
            <w:pPr>
              <w:pStyle w:val="FAM-Table-outline2"/>
              <w:spacing w:line="240" w:lineRule="auto"/>
              <w:ind w:left="1140" w:hanging="443"/>
            </w:pPr>
            <w:r w:rsidRPr="005B5418">
              <w:t>its judgment about the outcome of events</w:t>
            </w:r>
            <w:r w:rsidR="00534240" w:rsidRPr="005B5418">
              <w:t>,</w:t>
            </w:r>
            <w:r w:rsidRPr="005B5418">
              <w:t xml:space="preserve"> based on past experience and expectations about the future</w:t>
            </w:r>
            <w:r w:rsidR="00534240" w:rsidRPr="005B5418">
              <w:t>,</w:t>
            </w:r>
            <w:r w:rsidRPr="005B5418">
              <w:t xml:space="preserve"> and</w:t>
            </w:r>
          </w:p>
          <w:p w14:paraId="311FFB16" w14:textId="688860BC" w:rsidR="001C41DC" w:rsidRPr="005B5418" w:rsidRDefault="001C41DC" w:rsidP="005425ED">
            <w:pPr>
              <w:pStyle w:val="FAM-Table-outline2"/>
              <w:spacing w:line="240" w:lineRule="auto"/>
              <w:ind w:left="1140" w:hanging="443"/>
              <w:rPr>
                <w:rFonts w:eastAsia="Arial Unicode MS"/>
              </w:rPr>
            </w:pPr>
            <w:r w:rsidRPr="005B5418">
              <w:t>what is reasonable to assume under the circumstances? (SFFAS 38, par</w:t>
            </w:r>
            <w:r w:rsidR="00534240" w:rsidRPr="005B5418">
              <w:t>a</w:t>
            </w:r>
            <w:r w:rsidRPr="005B5418">
              <w:t>. 19)</w:t>
            </w:r>
          </w:p>
        </w:tc>
        <w:tc>
          <w:tcPr>
            <w:tcW w:w="965" w:type="dxa"/>
          </w:tcPr>
          <w:p w14:paraId="32F03F8D" w14:textId="77777777" w:rsidR="001C41DC" w:rsidRPr="005B5418" w:rsidRDefault="001C41DC" w:rsidP="008848DA">
            <w:pPr>
              <w:pStyle w:val="Table-Cell-CenterBoldBefore6ptAfter6pt"/>
              <w:spacing w:before="60" w:after="60"/>
              <w:rPr>
                <w:lang w:val="pt-BR"/>
              </w:rPr>
            </w:pPr>
          </w:p>
        </w:tc>
        <w:tc>
          <w:tcPr>
            <w:tcW w:w="3211" w:type="dxa"/>
          </w:tcPr>
          <w:p w14:paraId="45C2E5C7" w14:textId="77777777" w:rsidR="001C41DC" w:rsidRPr="005B5418" w:rsidRDefault="001C41DC" w:rsidP="008848DA">
            <w:pPr>
              <w:spacing w:before="60" w:after="60" w:line="240" w:lineRule="auto"/>
              <w:rPr>
                <w:lang w:val="pt-BR"/>
              </w:rPr>
            </w:pPr>
          </w:p>
        </w:tc>
      </w:tr>
      <w:tr w:rsidR="001C41DC" w:rsidRPr="005B5418" w14:paraId="2DDC352F" w14:textId="77777777" w:rsidTr="00EB33CD">
        <w:trPr>
          <w:trHeight w:val="1844"/>
        </w:trPr>
        <w:tc>
          <w:tcPr>
            <w:tcW w:w="5400" w:type="dxa"/>
          </w:tcPr>
          <w:p w14:paraId="560B522C" w14:textId="0F5BEBFD"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rPr>
              <w:t>While the entity’s own assumptions about future cash flows may be used, did the entity review assumptions used generally in the federal government</w:t>
            </w:r>
            <w:r w:rsidR="00534240" w:rsidRPr="005B5418">
              <w:rPr>
                <w:rFonts w:eastAsia="Arial Unicode MS"/>
              </w:rPr>
              <w:t>,</w:t>
            </w:r>
            <w:r w:rsidRPr="005B5418">
              <w:rPr>
                <w:rFonts w:eastAsia="Arial Unicode MS"/>
              </w:rPr>
              <w:t xml:space="preserve"> as evidenced by sources independent of the reporting entity</w:t>
            </w:r>
            <w:r w:rsidR="00534240" w:rsidRPr="005B5418">
              <w:rPr>
                <w:rFonts w:eastAsia="Arial Unicode MS"/>
              </w:rPr>
              <w:t xml:space="preserve"> (</w:t>
            </w:r>
            <w:r w:rsidRPr="005B5418">
              <w:rPr>
                <w:rFonts w:eastAsia="Arial Unicode MS"/>
              </w:rPr>
              <w:t>e.g.</w:t>
            </w:r>
            <w:r w:rsidR="009F3AC9" w:rsidRPr="005B5418">
              <w:rPr>
                <w:rFonts w:eastAsia="Arial Unicode MS"/>
              </w:rPr>
              <w:t>,</w:t>
            </w:r>
            <w:r w:rsidRPr="005B5418">
              <w:rPr>
                <w:rFonts w:eastAsia="Arial Unicode MS"/>
              </w:rPr>
              <w:t xml:space="preserve"> those used by the Bureau of Economic Analysis for the National Income and Product Accounts</w:t>
            </w:r>
            <w:r w:rsidR="00534240" w:rsidRPr="005B5418">
              <w:rPr>
                <w:rFonts w:eastAsia="Arial Unicode MS"/>
              </w:rPr>
              <w:t>)</w:t>
            </w:r>
            <w:r w:rsidRPr="005B5418">
              <w:rPr>
                <w:rFonts w:eastAsia="Arial Unicode MS"/>
              </w:rPr>
              <w:t>, when developing the estimates? (SFFAS 38, par</w:t>
            </w:r>
            <w:r w:rsidR="00534240" w:rsidRPr="005B5418">
              <w:rPr>
                <w:rFonts w:eastAsia="Arial Unicode MS"/>
              </w:rPr>
              <w:t>a</w:t>
            </w:r>
            <w:r w:rsidRPr="005B5418">
              <w:rPr>
                <w:rFonts w:eastAsia="Arial Unicode MS"/>
              </w:rPr>
              <w:t xml:space="preserve">. 19) </w:t>
            </w:r>
          </w:p>
        </w:tc>
        <w:tc>
          <w:tcPr>
            <w:tcW w:w="965" w:type="dxa"/>
          </w:tcPr>
          <w:p w14:paraId="0B5C56CD" w14:textId="77777777" w:rsidR="001C41DC" w:rsidRPr="005B5418" w:rsidRDefault="001C41DC" w:rsidP="008848DA">
            <w:pPr>
              <w:pStyle w:val="Table-Cell-CenterBoldBefore6ptAfter6pt"/>
              <w:spacing w:before="60" w:after="60"/>
              <w:rPr>
                <w:lang w:val="pt-BR"/>
              </w:rPr>
            </w:pPr>
          </w:p>
        </w:tc>
        <w:tc>
          <w:tcPr>
            <w:tcW w:w="3211" w:type="dxa"/>
          </w:tcPr>
          <w:p w14:paraId="707AB0C4" w14:textId="77777777" w:rsidR="001C41DC" w:rsidRPr="005B5418" w:rsidRDefault="001C41DC" w:rsidP="008848DA">
            <w:pPr>
              <w:spacing w:before="60" w:after="60" w:line="240" w:lineRule="auto"/>
              <w:rPr>
                <w:lang w:val="pt-BR"/>
              </w:rPr>
            </w:pPr>
          </w:p>
        </w:tc>
      </w:tr>
      <w:tr w:rsidR="001C41DC" w:rsidRPr="005B5418" w14:paraId="0989D7AA" w14:textId="77777777" w:rsidTr="0038293D">
        <w:trPr>
          <w:trHeight w:val="1403"/>
        </w:trPr>
        <w:tc>
          <w:tcPr>
            <w:tcW w:w="5400" w:type="dxa"/>
          </w:tcPr>
          <w:p w14:paraId="73F107CA" w14:textId="6FEB1794" w:rsidR="001C41DC" w:rsidRPr="005B5418" w:rsidRDefault="00A549F8" w:rsidP="00343610">
            <w:pPr>
              <w:pStyle w:val="FAM-Table-outline"/>
              <w:widowControl/>
              <w:numPr>
                <w:ilvl w:val="0"/>
                <w:numId w:val="33"/>
              </w:numPr>
              <w:adjustRightInd/>
              <w:spacing w:line="240" w:lineRule="auto"/>
              <w:textAlignment w:val="auto"/>
            </w:pPr>
            <w:r w:rsidRPr="005B5418">
              <w:rPr>
                <w:rFonts w:eastAsia="Arial Unicode MS"/>
              </w:rPr>
              <w:t xml:space="preserve">Is </w:t>
            </w:r>
            <w:r w:rsidR="001C41DC" w:rsidRPr="005B5418">
              <w:rPr>
                <w:rFonts w:eastAsia="Arial Unicode MS"/>
              </w:rPr>
              <w:t>the value of the federal government’s estimated petroleum royalties computed based on the calculation of federal oil and gas proved reserves on a regional basis? (SFFAS 38, par</w:t>
            </w:r>
            <w:r w:rsidR="00534240" w:rsidRPr="005B5418">
              <w:rPr>
                <w:rFonts w:eastAsia="Arial Unicode MS"/>
              </w:rPr>
              <w:t>a</w:t>
            </w:r>
            <w:r w:rsidR="001C41DC" w:rsidRPr="005B5418">
              <w:rPr>
                <w:rFonts w:eastAsia="Arial Unicode MS"/>
              </w:rPr>
              <w:t>. 20)</w:t>
            </w:r>
          </w:p>
        </w:tc>
        <w:tc>
          <w:tcPr>
            <w:tcW w:w="965" w:type="dxa"/>
          </w:tcPr>
          <w:p w14:paraId="00C4C7AC" w14:textId="77777777" w:rsidR="001C41DC" w:rsidRPr="005B5418" w:rsidRDefault="001C41DC" w:rsidP="008848DA">
            <w:pPr>
              <w:pStyle w:val="Table-Cell-CenterBoldBefore6ptAfter6pt"/>
              <w:spacing w:before="60" w:after="60"/>
              <w:rPr>
                <w:lang w:val="pt-BR"/>
              </w:rPr>
            </w:pPr>
          </w:p>
        </w:tc>
        <w:tc>
          <w:tcPr>
            <w:tcW w:w="3211" w:type="dxa"/>
          </w:tcPr>
          <w:p w14:paraId="182CCB8E" w14:textId="77777777" w:rsidR="001C41DC" w:rsidRPr="005B5418" w:rsidRDefault="001C41DC" w:rsidP="008848DA">
            <w:pPr>
              <w:spacing w:before="60" w:after="60" w:line="240" w:lineRule="auto"/>
              <w:rPr>
                <w:lang w:val="pt-BR"/>
              </w:rPr>
            </w:pPr>
          </w:p>
        </w:tc>
      </w:tr>
      <w:tr w:rsidR="001C41DC" w:rsidRPr="005B5418" w14:paraId="12100BAE" w14:textId="77777777" w:rsidTr="0038293D">
        <w:trPr>
          <w:trHeight w:val="1511"/>
        </w:trPr>
        <w:tc>
          <w:tcPr>
            <w:tcW w:w="5400" w:type="dxa"/>
          </w:tcPr>
          <w:p w14:paraId="082341E8" w14:textId="042609CB"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rPr>
              <w:t>Are the regions used to determine and report regional amounts or factors collaboratively developed by all the component entities involved in federal oil and gas resource activities? (SFFAS 38, par</w:t>
            </w:r>
            <w:r w:rsidR="004A2914" w:rsidRPr="005B5418">
              <w:rPr>
                <w:rFonts w:eastAsia="Arial Unicode MS"/>
              </w:rPr>
              <w:t>a</w:t>
            </w:r>
            <w:r w:rsidRPr="005B5418">
              <w:rPr>
                <w:rFonts w:eastAsia="Arial Unicode MS"/>
              </w:rPr>
              <w:t xml:space="preserve">. 20) </w:t>
            </w:r>
          </w:p>
        </w:tc>
        <w:tc>
          <w:tcPr>
            <w:tcW w:w="965" w:type="dxa"/>
          </w:tcPr>
          <w:p w14:paraId="4BA41265" w14:textId="77777777" w:rsidR="001C41DC" w:rsidRPr="005B5418" w:rsidRDefault="001C41DC" w:rsidP="008848DA">
            <w:pPr>
              <w:pStyle w:val="Table-Cell-CenterBoldBefore6ptAfter6pt"/>
              <w:spacing w:before="60" w:after="60"/>
              <w:rPr>
                <w:lang w:val="pt-BR"/>
              </w:rPr>
            </w:pPr>
          </w:p>
        </w:tc>
        <w:tc>
          <w:tcPr>
            <w:tcW w:w="3211" w:type="dxa"/>
          </w:tcPr>
          <w:p w14:paraId="70629C38" w14:textId="77777777" w:rsidR="001C41DC" w:rsidRPr="005B5418" w:rsidRDefault="001C41DC" w:rsidP="008848DA">
            <w:pPr>
              <w:spacing w:before="60" w:after="60" w:line="240" w:lineRule="auto"/>
              <w:rPr>
                <w:lang w:val="pt-BR"/>
              </w:rPr>
            </w:pPr>
          </w:p>
        </w:tc>
      </w:tr>
      <w:tr w:rsidR="001C41DC" w:rsidRPr="005B5418" w14:paraId="255C167E" w14:textId="77777777" w:rsidTr="00EB33CD">
        <w:trPr>
          <w:trHeight w:val="1844"/>
        </w:trPr>
        <w:tc>
          <w:tcPr>
            <w:tcW w:w="5400" w:type="dxa"/>
          </w:tcPr>
          <w:p w14:paraId="0C9CC517" w14:textId="3EA84BBF"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rPr>
              <w:t>Are the regions used to calculate regional estimated petroleum royalties consistent and aligned with regions used internally by the component entity in administering federal oil and gas resource activities? (SFFAS 38, par</w:t>
            </w:r>
            <w:r w:rsidR="004A2914" w:rsidRPr="005B5418">
              <w:rPr>
                <w:rFonts w:eastAsia="Arial Unicode MS"/>
              </w:rPr>
              <w:t>a</w:t>
            </w:r>
            <w:r w:rsidRPr="005B5418">
              <w:rPr>
                <w:rFonts w:eastAsia="Arial Unicode MS"/>
              </w:rPr>
              <w:t xml:space="preserve">. 20) </w:t>
            </w:r>
          </w:p>
        </w:tc>
        <w:tc>
          <w:tcPr>
            <w:tcW w:w="965" w:type="dxa"/>
          </w:tcPr>
          <w:p w14:paraId="7541C3A4" w14:textId="77777777" w:rsidR="001C41DC" w:rsidRPr="005B5418" w:rsidRDefault="001C41DC" w:rsidP="008848DA">
            <w:pPr>
              <w:pStyle w:val="Table-Cell-CenterBoldBefore6ptAfter6pt"/>
              <w:spacing w:before="60" w:after="60"/>
              <w:rPr>
                <w:lang w:val="pt-BR"/>
              </w:rPr>
            </w:pPr>
          </w:p>
        </w:tc>
        <w:tc>
          <w:tcPr>
            <w:tcW w:w="3211" w:type="dxa"/>
          </w:tcPr>
          <w:p w14:paraId="76FB64EF" w14:textId="77777777" w:rsidR="001C41DC" w:rsidRPr="005B5418" w:rsidRDefault="001C41DC" w:rsidP="008848DA">
            <w:pPr>
              <w:spacing w:before="60" w:after="60" w:line="240" w:lineRule="auto"/>
              <w:rPr>
                <w:lang w:val="pt-BR"/>
              </w:rPr>
            </w:pPr>
          </w:p>
        </w:tc>
      </w:tr>
      <w:tr w:rsidR="001C41DC" w:rsidRPr="005B5418" w14:paraId="0337FAF3" w14:textId="77777777" w:rsidTr="00EB33CD">
        <w:trPr>
          <w:trHeight w:val="1844"/>
        </w:trPr>
        <w:tc>
          <w:tcPr>
            <w:tcW w:w="5400" w:type="dxa"/>
          </w:tcPr>
          <w:p w14:paraId="58D7A861" w14:textId="77777777" w:rsidR="001C41DC" w:rsidRPr="005B5418" w:rsidRDefault="001C41DC" w:rsidP="008624C2">
            <w:pPr>
              <w:pStyle w:val="FAM-Table-outline"/>
              <w:spacing w:line="240" w:lineRule="auto"/>
              <w:rPr>
                <w:rFonts w:eastAsia="Arial Unicode MS"/>
              </w:rPr>
            </w:pPr>
            <w:r w:rsidRPr="005B5418">
              <w:rPr>
                <w:rFonts w:eastAsia="Arial Unicode MS"/>
              </w:rPr>
              <w:lastRenderedPageBreak/>
              <w:t xml:space="preserve">Are the estimates of future federal royalty receipts on proved reserves known to exist as of the reporting date </w:t>
            </w:r>
          </w:p>
          <w:p w14:paraId="64636B73" w14:textId="77777777" w:rsidR="001C41DC" w:rsidRPr="005B5418" w:rsidRDefault="001C41DC" w:rsidP="005425ED">
            <w:pPr>
              <w:pStyle w:val="FAM-Table-outline2"/>
              <w:spacing w:line="240" w:lineRule="auto"/>
              <w:ind w:left="1140" w:hanging="443"/>
            </w:pPr>
            <w:r w:rsidRPr="005B5418">
              <w:t>divided by commodity and type (e.g.</w:t>
            </w:r>
            <w:r w:rsidR="009F3AC9" w:rsidRPr="005B5418">
              <w:t>,</w:t>
            </w:r>
            <w:r w:rsidRPr="005B5418">
              <w:t xml:space="preserve"> wet gas, dry gas, oil and lease condensate, onshore, offshore, etc.) and </w:t>
            </w:r>
          </w:p>
          <w:p w14:paraId="551E0F4A" w14:textId="2086496B" w:rsidR="001C41DC" w:rsidRPr="005B5418" w:rsidRDefault="001C41DC" w:rsidP="005425ED">
            <w:pPr>
              <w:pStyle w:val="FAM-Table-outline2"/>
              <w:spacing w:line="240" w:lineRule="auto"/>
              <w:ind w:left="1140" w:hanging="443"/>
              <w:rPr>
                <w:rFonts w:eastAsia="Arial Unicode MS"/>
              </w:rPr>
            </w:pPr>
            <w:r w:rsidRPr="005B5418">
              <w:t>calculated separately if material differences would otherwise result? (SFFAS 38, par</w:t>
            </w:r>
            <w:r w:rsidR="00DC7F73" w:rsidRPr="005B5418">
              <w:t>a</w:t>
            </w:r>
            <w:r w:rsidRPr="005B5418">
              <w:t>. 21)</w:t>
            </w:r>
            <w:r w:rsidRPr="005B5418">
              <w:rPr>
                <w:rFonts w:eastAsia="Arial Unicode MS"/>
              </w:rPr>
              <w:t xml:space="preserve">  </w:t>
            </w:r>
          </w:p>
        </w:tc>
        <w:tc>
          <w:tcPr>
            <w:tcW w:w="965" w:type="dxa"/>
          </w:tcPr>
          <w:p w14:paraId="7D3D7507" w14:textId="77777777" w:rsidR="001C41DC" w:rsidRPr="005B5418" w:rsidRDefault="001C41DC" w:rsidP="008848DA">
            <w:pPr>
              <w:pStyle w:val="Table-Cell-CenterBoldBefore6ptAfter6pt"/>
              <w:spacing w:before="60" w:after="60"/>
              <w:rPr>
                <w:lang w:val="pt-BR"/>
              </w:rPr>
            </w:pPr>
          </w:p>
        </w:tc>
        <w:tc>
          <w:tcPr>
            <w:tcW w:w="3211" w:type="dxa"/>
          </w:tcPr>
          <w:p w14:paraId="39BF8401" w14:textId="77777777" w:rsidR="001C41DC" w:rsidRPr="005B5418" w:rsidRDefault="001C41DC" w:rsidP="008848DA">
            <w:pPr>
              <w:spacing w:before="60" w:after="60" w:line="240" w:lineRule="auto"/>
              <w:rPr>
                <w:lang w:val="pt-BR"/>
              </w:rPr>
            </w:pPr>
          </w:p>
        </w:tc>
      </w:tr>
      <w:tr w:rsidR="001C41DC" w:rsidRPr="005B5418" w14:paraId="1CC1C8A9" w14:textId="77777777" w:rsidTr="0038293D">
        <w:trPr>
          <w:trHeight w:val="836"/>
        </w:trPr>
        <w:tc>
          <w:tcPr>
            <w:tcW w:w="5400" w:type="dxa"/>
          </w:tcPr>
          <w:p w14:paraId="15A2F4ED" w14:textId="6D1E02D2"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rPr>
              <w:t>Is the estimation methodology consistently followed? (SFFAS 38, par</w:t>
            </w:r>
            <w:r w:rsidR="00DC7F73" w:rsidRPr="005B5418">
              <w:rPr>
                <w:rFonts w:eastAsia="Arial Unicode MS"/>
              </w:rPr>
              <w:t>a</w:t>
            </w:r>
            <w:r w:rsidRPr="005B5418">
              <w:rPr>
                <w:rFonts w:eastAsia="Arial Unicode MS"/>
              </w:rPr>
              <w:t xml:space="preserve">. 23) </w:t>
            </w:r>
          </w:p>
        </w:tc>
        <w:tc>
          <w:tcPr>
            <w:tcW w:w="965" w:type="dxa"/>
          </w:tcPr>
          <w:p w14:paraId="279AE7DE" w14:textId="77777777" w:rsidR="001C41DC" w:rsidRPr="005B5418" w:rsidRDefault="001C41DC" w:rsidP="008848DA">
            <w:pPr>
              <w:pStyle w:val="Table-Cell-CenterBoldBefore6ptAfter6pt"/>
              <w:spacing w:before="60" w:after="60"/>
              <w:rPr>
                <w:lang w:val="pt-BR"/>
              </w:rPr>
            </w:pPr>
          </w:p>
        </w:tc>
        <w:tc>
          <w:tcPr>
            <w:tcW w:w="3211" w:type="dxa"/>
          </w:tcPr>
          <w:p w14:paraId="7CBDE9DD" w14:textId="77777777" w:rsidR="001C41DC" w:rsidRPr="005B5418" w:rsidRDefault="001C41DC" w:rsidP="008848DA">
            <w:pPr>
              <w:spacing w:before="60" w:after="60" w:line="240" w:lineRule="auto"/>
              <w:rPr>
                <w:lang w:val="pt-BR"/>
              </w:rPr>
            </w:pPr>
          </w:p>
        </w:tc>
      </w:tr>
      <w:tr w:rsidR="001C41DC" w:rsidRPr="005B5418" w14:paraId="3FA63F49" w14:textId="77777777" w:rsidTr="0038293D">
        <w:trPr>
          <w:trHeight w:val="1520"/>
        </w:trPr>
        <w:tc>
          <w:tcPr>
            <w:tcW w:w="5400" w:type="dxa"/>
          </w:tcPr>
          <w:p w14:paraId="513BBB28" w14:textId="10BEAE4A"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rPr>
              <w:t>Is the value of the revenue to be distributed to others estimated based on the portion of the royalty share of the federal proved oil and gas reserves designated to be distributed to others? (SFFAS 38, par</w:t>
            </w:r>
            <w:r w:rsidR="00DC7F73" w:rsidRPr="005B5418">
              <w:rPr>
                <w:rFonts w:eastAsia="Arial Unicode MS"/>
              </w:rPr>
              <w:t>a</w:t>
            </w:r>
            <w:r w:rsidRPr="005B5418">
              <w:rPr>
                <w:rFonts w:eastAsia="Arial Unicode MS"/>
              </w:rPr>
              <w:t>. 26)</w:t>
            </w:r>
          </w:p>
        </w:tc>
        <w:tc>
          <w:tcPr>
            <w:tcW w:w="965" w:type="dxa"/>
          </w:tcPr>
          <w:p w14:paraId="7B87DD79" w14:textId="77777777" w:rsidR="001C41DC" w:rsidRPr="005B5418" w:rsidRDefault="001C41DC" w:rsidP="008848DA">
            <w:pPr>
              <w:pStyle w:val="Table-Cell-CenterBoldBefore6ptAfter6pt"/>
              <w:spacing w:before="60" w:after="60"/>
              <w:rPr>
                <w:lang w:val="pt-BR"/>
              </w:rPr>
            </w:pPr>
          </w:p>
        </w:tc>
        <w:tc>
          <w:tcPr>
            <w:tcW w:w="3211" w:type="dxa"/>
          </w:tcPr>
          <w:p w14:paraId="26485309" w14:textId="77777777" w:rsidR="001C41DC" w:rsidRPr="005B5418" w:rsidRDefault="001C41DC" w:rsidP="008848DA">
            <w:pPr>
              <w:spacing w:before="60" w:after="60" w:line="240" w:lineRule="auto"/>
              <w:rPr>
                <w:lang w:val="pt-BR"/>
              </w:rPr>
            </w:pPr>
          </w:p>
        </w:tc>
      </w:tr>
      <w:tr w:rsidR="001C41DC" w:rsidRPr="005B5418" w14:paraId="31F7F575" w14:textId="77777777" w:rsidTr="0038293D">
        <w:trPr>
          <w:trHeight w:val="1259"/>
        </w:trPr>
        <w:tc>
          <w:tcPr>
            <w:tcW w:w="5400" w:type="dxa"/>
          </w:tcPr>
          <w:p w14:paraId="67D6A424" w14:textId="14B54C9F" w:rsidR="001C41DC" w:rsidRPr="005B5418" w:rsidRDefault="001C41DC" w:rsidP="00343610">
            <w:pPr>
              <w:pStyle w:val="FAM-Table-outline"/>
              <w:widowControl/>
              <w:numPr>
                <w:ilvl w:val="0"/>
                <w:numId w:val="33"/>
              </w:numPr>
              <w:adjustRightInd/>
              <w:spacing w:line="240" w:lineRule="auto"/>
              <w:textAlignment w:val="auto"/>
            </w:pPr>
            <w:r w:rsidRPr="005B5418">
              <w:rPr>
                <w:rFonts w:eastAsia="Arial Unicode MS"/>
              </w:rPr>
              <w:t>Are the estimated petroleum royaltie</w:t>
            </w:r>
            <w:r w:rsidR="00DC7F73" w:rsidRPr="005B5418">
              <w:rPr>
                <w:rFonts w:eastAsia="Arial Unicode MS"/>
              </w:rPr>
              <w:t>s’</w:t>
            </w:r>
            <w:r w:rsidRPr="005B5418">
              <w:rPr>
                <w:rFonts w:eastAsia="Arial Unicode MS"/>
              </w:rPr>
              <w:t xml:space="preserve"> asset value and petroleum royalties to be distributed to others valued at the end of each fiscal year? (SFFAS 38, par</w:t>
            </w:r>
            <w:r w:rsidR="00DC7F73" w:rsidRPr="005B5418">
              <w:rPr>
                <w:rFonts w:eastAsia="Arial Unicode MS"/>
              </w:rPr>
              <w:t>a</w:t>
            </w:r>
            <w:r w:rsidRPr="005B5418">
              <w:rPr>
                <w:rFonts w:eastAsia="Arial Unicode MS"/>
              </w:rPr>
              <w:t>. 27)</w:t>
            </w:r>
          </w:p>
        </w:tc>
        <w:tc>
          <w:tcPr>
            <w:tcW w:w="965" w:type="dxa"/>
          </w:tcPr>
          <w:p w14:paraId="3063E401" w14:textId="77777777" w:rsidR="001C41DC" w:rsidRPr="005B5418" w:rsidRDefault="001C41DC" w:rsidP="008848DA">
            <w:pPr>
              <w:pStyle w:val="Table-Cell-CenterBoldBefore6ptAfter6pt"/>
              <w:spacing w:before="60" w:after="60"/>
              <w:rPr>
                <w:lang w:val="pt-BR"/>
              </w:rPr>
            </w:pPr>
          </w:p>
        </w:tc>
        <w:tc>
          <w:tcPr>
            <w:tcW w:w="3211" w:type="dxa"/>
          </w:tcPr>
          <w:p w14:paraId="032EB590" w14:textId="77777777" w:rsidR="001C41DC" w:rsidRPr="005B5418" w:rsidRDefault="001C41DC" w:rsidP="008848DA">
            <w:pPr>
              <w:spacing w:before="60" w:after="60" w:line="240" w:lineRule="auto"/>
              <w:rPr>
                <w:lang w:val="pt-BR"/>
              </w:rPr>
            </w:pPr>
          </w:p>
        </w:tc>
      </w:tr>
      <w:tr w:rsidR="004473BF" w:rsidRPr="005B5418" w14:paraId="35F4B0D8" w14:textId="77777777" w:rsidTr="0038293D">
        <w:trPr>
          <w:trHeight w:val="1736"/>
        </w:trPr>
        <w:tc>
          <w:tcPr>
            <w:tcW w:w="5400" w:type="dxa"/>
          </w:tcPr>
          <w:p w14:paraId="1090606D" w14:textId="6CC76EAC" w:rsidR="004473BF" w:rsidRPr="005B5418" w:rsidRDefault="004473BF" w:rsidP="00343610">
            <w:pPr>
              <w:pStyle w:val="FAM-Table-outline"/>
              <w:widowControl/>
              <w:numPr>
                <w:ilvl w:val="0"/>
                <w:numId w:val="33"/>
              </w:numPr>
              <w:adjustRightInd/>
              <w:spacing w:line="240" w:lineRule="auto"/>
              <w:textAlignment w:val="auto"/>
            </w:pPr>
            <w:r w:rsidRPr="005B5418">
              <w:t xml:space="preserve">Is the value of the </w:t>
            </w:r>
            <w:r w:rsidR="00007E23" w:rsidRPr="005B5418">
              <w:t>f</w:t>
            </w:r>
            <w:r w:rsidRPr="005B5418">
              <w:t xml:space="preserve">ederal </w:t>
            </w:r>
            <w:r w:rsidR="00007E23" w:rsidRPr="005B5418">
              <w:t>g</w:t>
            </w:r>
            <w:r w:rsidRPr="005B5418">
              <w:t xml:space="preserve">overnment’s estimated petroleum royalties from the production of </w:t>
            </w:r>
            <w:r w:rsidR="00007E23" w:rsidRPr="005B5418">
              <w:t>f</w:t>
            </w:r>
            <w:r w:rsidRPr="005B5418">
              <w:t xml:space="preserve">ederal oil and gas proved reserves disclosed in a schedule of estimated </w:t>
            </w:r>
            <w:r w:rsidR="00007E23" w:rsidRPr="005B5418">
              <w:t>f</w:t>
            </w:r>
            <w:r w:rsidRPr="005B5418">
              <w:t>ederal oil and gas petroleum royalties? (</w:t>
            </w:r>
            <w:r w:rsidR="000E668F" w:rsidRPr="005B5418">
              <w:t>SFFAS 38, par</w:t>
            </w:r>
            <w:r w:rsidR="00DC7F73" w:rsidRPr="005B5418">
              <w:t>a.</w:t>
            </w:r>
            <w:r w:rsidR="000E668F" w:rsidRPr="005B5418">
              <w:t xml:space="preserve"> 15)</w:t>
            </w:r>
          </w:p>
        </w:tc>
        <w:tc>
          <w:tcPr>
            <w:tcW w:w="965" w:type="dxa"/>
          </w:tcPr>
          <w:p w14:paraId="0DCFF4B1" w14:textId="77777777" w:rsidR="004473BF" w:rsidRPr="005B5418" w:rsidRDefault="004473BF" w:rsidP="008848DA">
            <w:pPr>
              <w:pStyle w:val="Table-Cell-CenterBoldBefore6ptAfter6pt"/>
              <w:spacing w:before="60" w:after="60"/>
              <w:rPr>
                <w:lang w:val="pt-BR"/>
              </w:rPr>
            </w:pPr>
          </w:p>
        </w:tc>
        <w:tc>
          <w:tcPr>
            <w:tcW w:w="3211" w:type="dxa"/>
          </w:tcPr>
          <w:p w14:paraId="7DEADB86" w14:textId="77777777" w:rsidR="004473BF" w:rsidRPr="005B5418" w:rsidRDefault="004473BF" w:rsidP="008848DA">
            <w:pPr>
              <w:spacing w:before="60" w:after="60" w:line="240" w:lineRule="auto"/>
              <w:rPr>
                <w:lang w:val="pt-BR"/>
              </w:rPr>
            </w:pPr>
          </w:p>
        </w:tc>
      </w:tr>
      <w:tr w:rsidR="004473BF" w:rsidRPr="005B5418" w14:paraId="32EF930B" w14:textId="77777777" w:rsidTr="00EB33CD">
        <w:trPr>
          <w:trHeight w:val="1520"/>
        </w:trPr>
        <w:tc>
          <w:tcPr>
            <w:tcW w:w="5400" w:type="dxa"/>
          </w:tcPr>
          <w:p w14:paraId="07313067" w14:textId="69D2243F" w:rsidR="004473BF" w:rsidRPr="005B5418" w:rsidRDefault="004473BF" w:rsidP="00343610">
            <w:pPr>
              <w:pStyle w:val="FAM-Table-outline"/>
              <w:widowControl/>
              <w:numPr>
                <w:ilvl w:val="0"/>
                <w:numId w:val="33"/>
              </w:numPr>
              <w:adjustRightInd/>
              <w:spacing w:line="240" w:lineRule="auto"/>
              <w:textAlignment w:val="auto"/>
            </w:pPr>
            <w:r w:rsidRPr="005B5418">
              <w:t xml:space="preserve">Is the value of estimated petroleum royalty revenue designated for others </w:t>
            </w:r>
            <w:r w:rsidR="000E668F" w:rsidRPr="005B5418">
              <w:t xml:space="preserve">disclosed </w:t>
            </w:r>
            <w:r w:rsidRPr="005B5418">
              <w:t xml:space="preserve">on </w:t>
            </w:r>
            <w:r w:rsidR="000E668F" w:rsidRPr="005B5418">
              <w:t xml:space="preserve">the </w:t>
            </w:r>
            <w:r w:rsidRPr="005B5418">
              <w:t xml:space="preserve">schedule of estimated </w:t>
            </w:r>
            <w:r w:rsidR="00007E23" w:rsidRPr="005B5418">
              <w:t>f</w:t>
            </w:r>
            <w:r w:rsidRPr="005B5418">
              <w:t>ederal oil and gas petroleum to be distributed to others disclosed? (</w:t>
            </w:r>
            <w:r w:rsidR="000E668F" w:rsidRPr="005B5418">
              <w:t>SFFAS 38, par</w:t>
            </w:r>
            <w:r w:rsidR="00DC7F73" w:rsidRPr="005B5418">
              <w:t>a</w:t>
            </w:r>
            <w:r w:rsidR="000E668F" w:rsidRPr="005B5418">
              <w:t>. 25)</w:t>
            </w:r>
          </w:p>
        </w:tc>
        <w:tc>
          <w:tcPr>
            <w:tcW w:w="965" w:type="dxa"/>
          </w:tcPr>
          <w:p w14:paraId="051AA268" w14:textId="77777777" w:rsidR="004473BF" w:rsidRPr="005B5418" w:rsidRDefault="004473BF" w:rsidP="008848DA">
            <w:pPr>
              <w:pStyle w:val="Table-Cell-CenterBoldBefore6ptAfter6pt"/>
              <w:spacing w:before="60" w:after="60"/>
              <w:rPr>
                <w:lang w:val="pt-BR"/>
              </w:rPr>
            </w:pPr>
          </w:p>
        </w:tc>
        <w:tc>
          <w:tcPr>
            <w:tcW w:w="3211" w:type="dxa"/>
          </w:tcPr>
          <w:p w14:paraId="69D53217" w14:textId="77777777" w:rsidR="004473BF" w:rsidRPr="005B5418" w:rsidRDefault="004473BF" w:rsidP="008848DA">
            <w:pPr>
              <w:spacing w:before="60" w:after="60" w:line="240" w:lineRule="auto"/>
              <w:rPr>
                <w:lang w:val="pt-BR"/>
              </w:rPr>
            </w:pPr>
          </w:p>
        </w:tc>
      </w:tr>
      <w:tr w:rsidR="004473BF" w:rsidRPr="005B5418" w14:paraId="1585D096" w14:textId="77777777" w:rsidTr="00AE6134">
        <w:trPr>
          <w:trHeight w:val="377"/>
        </w:trPr>
        <w:tc>
          <w:tcPr>
            <w:tcW w:w="5400" w:type="dxa"/>
          </w:tcPr>
          <w:p w14:paraId="2BE8DC0C" w14:textId="13A64A86" w:rsidR="004473BF" w:rsidRPr="005B5418" w:rsidRDefault="00E56D5E" w:rsidP="00343610">
            <w:pPr>
              <w:pStyle w:val="FAM-Table-outline"/>
              <w:numPr>
                <w:ilvl w:val="0"/>
                <w:numId w:val="33"/>
              </w:numPr>
              <w:spacing w:line="240" w:lineRule="auto"/>
            </w:pPr>
            <w:r w:rsidRPr="005B5418">
              <w:t xml:space="preserve">Does the entity include the Schedule of Estimated Petroleum Royalties and the Schedule of Estimated Federal Oil and Gas Petroleum Royalties to </w:t>
            </w:r>
            <w:r w:rsidR="007C2926" w:rsidRPr="005B5418">
              <w:t>B</w:t>
            </w:r>
            <w:r w:rsidRPr="005B5418">
              <w:t>e Distributed to Others in</w:t>
            </w:r>
            <w:r w:rsidR="004473BF" w:rsidRPr="005B5418">
              <w:t xml:space="preserve"> RSI as part of a discussion </w:t>
            </w:r>
            <w:r w:rsidRPr="005B5418">
              <w:t>of all significant federal oil and gas resources under management by the entity</w:t>
            </w:r>
            <w:r w:rsidR="004473BF" w:rsidRPr="005B5418">
              <w:t>? (SFFAS 38, par</w:t>
            </w:r>
            <w:r w:rsidR="00DC7F73" w:rsidRPr="005B5418">
              <w:t>as</w:t>
            </w:r>
            <w:r w:rsidR="004473BF" w:rsidRPr="005B5418">
              <w:t xml:space="preserve">. </w:t>
            </w:r>
            <w:r w:rsidR="00AE6134" w:rsidRPr="005B5418">
              <w:t xml:space="preserve">15 </w:t>
            </w:r>
            <w:r w:rsidR="00007E23" w:rsidRPr="005B5418">
              <w:t>and</w:t>
            </w:r>
            <w:r w:rsidRPr="005B5418">
              <w:t xml:space="preserve"> </w:t>
            </w:r>
            <w:r w:rsidR="004473BF" w:rsidRPr="005B5418">
              <w:t>25)</w:t>
            </w:r>
          </w:p>
        </w:tc>
        <w:tc>
          <w:tcPr>
            <w:tcW w:w="965" w:type="dxa"/>
          </w:tcPr>
          <w:p w14:paraId="1F4E840A" w14:textId="77777777" w:rsidR="004473BF" w:rsidRPr="005B5418" w:rsidRDefault="004473BF" w:rsidP="008848DA">
            <w:pPr>
              <w:pStyle w:val="Table-Cell-CenterBoldBefore6ptAfter6pt"/>
              <w:spacing w:before="60" w:after="60"/>
              <w:rPr>
                <w:lang w:val="pt-BR"/>
              </w:rPr>
            </w:pPr>
          </w:p>
        </w:tc>
        <w:tc>
          <w:tcPr>
            <w:tcW w:w="3211" w:type="dxa"/>
          </w:tcPr>
          <w:p w14:paraId="222C38A5" w14:textId="77777777" w:rsidR="004473BF" w:rsidRPr="005B5418" w:rsidRDefault="004473BF" w:rsidP="008848DA">
            <w:pPr>
              <w:spacing w:before="60" w:after="60" w:line="240" w:lineRule="auto"/>
              <w:rPr>
                <w:lang w:val="pt-BR"/>
              </w:rPr>
            </w:pPr>
          </w:p>
        </w:tc>
      </w:tr>
      <w:tr w:rsidR="004473BF" w:rsidRPr="005B5418" w14:paraId="4B75E209" w14:textId="77777777" w:rsidTr="0038293D">
        <w:trPr>
          <w:trHeight w:val="1790"/>
        </w:trPr>
        <w:tc>
          <w:tcPr>
            <w:tcW w:w="5400" w:type="dxa"/>
          </w:tcPr>
          <w:p w14:paraId="499FB846" w14:textId="546C8BBA" w:rsidR="004473BF" w:rsidRPr="005B5418" w:rsidRDefault="004473BF" w:rsidP="00343610">
            <w:pPr>
              <w:pStyle w:val="FAM-Table-outline"/>
              <w:widowControl/>
              <w:numPr>
                <w:ilvl w:val="0"/>
                <w:numId w:val="33"/>
              </w:numPr>
              <w:adjustRightInd/>
              <w:spacing w:line="240" w:lineRule="auto"/>
              <w:textAlignment w:val="auto"/>
            </w:pPr>
            <w:r w:rsidRPr="005B5418">
              <w:lastRenderedPageBreak/>
              <w:t>Do the narratives of the schedules to be presented in the RSI include a concise statement explaining how the management of federal oil and gas resources is important to the overall mission of the entity? (SFFAS 38, par</w:t>
            </w:r>
            <w:r w:rsidR="000739AD" w:rsidRPr="005B5418">
              <w:t>a</w:t>
            </w:r>
            <w:r w:rsidRPr="005B5418">
              <w:t>. 28(a))</w:t>
            </w:r>
          </w:p>
        </w:tc>
        <w:tc>
          <w:tcPr>
            <w:tcW w:w="965" w:type="dxa"/>
          </w:tcPr>
          <w:p w14:paraId="0F6D2E99" w14:textId="77777777" w:rsidR="004473BF" w:rsidRPr="005B5418" w:rsidRDefault="004473BF" w:rsidP="008848DA">
            <w:pPr>
              <w:pStyle w:val="Table-Cell-CenterBoldBefore6ptAfter6pt"/>
              <w:spacing w:before="60" w:after="60"/>
              <w:rPr>
                <w:lang w:val="pt-BR"/>
              </w:rPr>
            </w:pPr>
          </w:p>
        </w:tc>
        <w:tc>
          <w:tcPr>
            <w:tcW w:w="3211" w:type="dxa"/>
          </w:tcPr>
          <w:p w14:paraId="6AA15CE6" w14:textId="77777777" w:rsidR="004473BF" w:rsidRPr="005B5418" w:rsidRDefault="004473BF" w:rsidP="008848DA">
            <w:pPr>
              <w:spacing w:before="60" w:after="60" w:line="240" w:lineRule="auto"/>
              <w:rPr>
                <w:lang w:val="pt-BR"/>
              </w:rPr>
            </w:pPr>
          </w:p>
        </w:tc>
      </w:tr>
      <w:tr w:rsidR="004473BF" w:rsidRPr="005B5418" w14:paraId="1B02F4AC" w14:textId="77777777" w:rsidTr="00DB4CB8">
        <w:trPr>
          <w:trHeight w:val="1241"/>
        </w:trPr>
        <w:tc>
          <w:tcPr>
            <w:tcW w:w="5400" w:type="dxa"/>
          </w:tcPr>
          <w:p w14:paraId="046D3E20" w14:textId="5A50A1FF" w:rsidR="004473BF" w:rsidRPr="005B5418" w:rsidRDefault="004473BF" w:rsidP="00343610">
            <w:pPr>
              <w:pStyle w:val="FAM-Table-outline"/>
              <w:widowControl/>
              <w:numPr>
                <w:ilvl w:val="0"/>
                <w:numId w:val="33"/>
              </w:numPr>
              <w:adjustRightInd/>
              <w:spacing w:line="240" w:lineRule="auto"/>
              <w:textAlignment w:val="auto"/>
            </w:pPr>
            <w:r w:rsidRPr="005B5418">
              <w:t>Are the estimated petroleum royaltie</w:t>
            </w:r>
            <w:r w:rsidR="000739AD" w:rsidRPr="005B5418">
              <w:t>s’</w:t>
            </w:r>
            <w:r w:rsidRPr="005B5418">
              <w:t xml:space="preserve"> asset value and petroleum royalties to be distributed valued at the end of the fiscal year? (SFFAS 38, par</w:t>
            </w:r>
            <w:r w:rsidR="000739AD" w:rsidRPr="005B5418">
              <w:t>a</w:t>
            </w:r>
            <w:r w:rsidRPr="005B5418">
              <w:t>. 27)</w:t>
            </w:r>
          </w:p>
        </w:tc>
        <w:tc>
          <w:tcPr>
            <w:tcW w:w="965" w:type="dxa"/>
          </w:tcPr>
          <w:p w14:paraId="6DF516B5" w14:textId="77777777" w:rsidR="004473BF" w:rsidRPr="005B5418" w:rsidRDefault="004473BF" w:rsidP="008848DA">
            <w:pPr>
              <w:pStyle w:val="Table-Cell-CenterBoldBefore6ptAfter6pt"/>
              <w:spacing w:before="60" w:after="60"/>
              <w:rPr>
                <w:lang w:val="pt-BR"/>
              </w:rPr>
            </w:pPr>
          </w:p>
        </w:tc>
        <w:tc>
          <w:tcPr>
            <w:tcW w:w="3211" w:type="dxa"/>
          </w:tcPr>
          <w:p w14:paraId="6E7509B9" w14:textId="77777777" w:rsidR="004473BF" w:rsidRPr="005B5418" w:rsidRDefault="004473BF" w:rsidP="008848DA">
            <w:pPr>
              <w:spacing w:before="60" w:after="60" w:line="240" w:lineRule="auto"/>
              <w:rPr>
                <w:lang w:val="pt-BR"/>
              </w:rPr>
            </w:pPr>
          </w:p>
        </w:tc>
      </w:tr>
      <w:tr w:rsidR="004473BF" w:rsidRPr="005B5418" w14:paraId="217BE895" w14:textId="77777777" w:rsidTr="00007E23">
        <w:trPr>
          <w:trHeight w:val="4868"/>
        </w:trPr>
        <w:tc>
          <w:tcPr>
            <w:tcW w:w="5400" w:type="dxa"/>
          </w:tcPr>
          <w:p w14:paraId="5B7124B4" w14:textId="7798CFFD" w:rsidR="004473BF" w:rsidRPr="005B5418" w:rsidRDefault="004473BF" w:rsidP="00343610">
            <w:pPr>
              <w:pStyle w:val="FAM-Table-outline"/>
              <w:widowControl/>
              <w:numPr>
                <w:ilvl w:val="0"/>
                <w:numId w:val="33"/>
              </w:numPr>
              <w:adjustRightInd/>
              <w:spacing w:line="240" w:lineRule="auto"/>
              <w:textAlignment w:val="auto"/>
            </w:pPr>
            <w:r w:rsidRPr="005B5418">
              <w:t>Do the narratives of the schedules to be presented in the RSI include</w:t>
            </w:r>
            <w:r w:rsidR="00007E23" w:rsidRPr="005B5418">
              <w:t xml:space="preserve"> a brief description of the entity’s stewardship policies describing the guiding principles established to </w:t>
            </w:r>
          </w:p>
          <w:p w14:paraId="1E99EC67" w14:textId="77777777" w:rsidR="004473BF" w:rsidRPr="005B5418" w:rsidRDefault="004473BF" w:rsidP="005425ED">
            <w:pPr>
              <w:pStyle w:val="FAM-Table-outline2"/>
              <w:spacing w:line="240" w:lineRule="auto"/>
              <w:ind w:left="1140" w:hanging="443"/>
            </w:pPr>
            <w:r w:rsidRPr="005B5418">
              <w:t>assess the oil and gas resource areas;</w:t>
            </w:r>
          </w:p>
          <w:p w14:paraId="120EEB2F" w14:textId="77777777" w:rsidR="00007E23" w:rsidRPr="005B5418" w:rsidRDefault="004473BF" w:rsidP="005425ED">
            <w:pPr>
              <w:pStyle w:val="FAM-Table-outline2"/>
              <w:spacing w:line="240" w:lineRule="auto"/>
              <w:ind w:left="1140" w:hanging="443"/>
            </w:pPr>
            <w:r w:rsidRPr="005B5418">
              <w:t xml:space="preserve">offer those resources to interested developers; </w:t>
            </w:r>
          </w:p>
          <w:p w14:paraId="616133A7" w14:textId="77777777" w:rsidR="004473BF" w:rsidRPr="005B5418" w:rsidRDefault="004473BF" w:rsidP="005425ED">
            <w:pPr>
              <w:pStyle w:val="FAM-Table-outline2"/>
              <w:spacing w:line="240" w:lineRule="auto"/>
              <w:ind w:left="1140" w:hanging="443"/>
            </w:pPr>
            <w:r w:rsidRPr="005B5418">
              <w:t xml:space="preserve">sell and assign leases to winning bidders; </w:t>
            </w:r>
          </w:p>
          <w:p w14:paraId="690775BE" w14:textId="77777777" w:rsidR="00007E23" w:rsidRPr="005B5418" w:rsidRDefault="004473BF" w:rsidP="005425ED">
            <w:pPr>
              <w:pStyle w:val="FAM-Table-outline2"/>
              <w:spacing w:line="240" w:lineRule="auto"/>
              <w:ind w:left="1140" w:hanging="443"/>
            </w:pPr>
            <w:r w:rsidRPr="005B5418">
              <w:t xml:space="preserve">administer the leases; </w:t>
            </w:r>
          </w:p>
          <w:p w14:paraId="5E3CDF53" w14:textId="77777777" w:rsidR="004473BF" w:rsidRPr="005B5418" w:rsidRDefault="004473BF" w:rsidP="005425ED">
            <w:pPr>
              <w:pStyle w:val="FAM-Table-outline2"/>
              <w:spacing w:line="240" w:lineRule="auto"/>
              <w:ind w:left="1140" w:hanging="443"/>
            </w:pPr>
            <w:r w:rsidRPr="005B5418">
              <w:t>collect bonuses, rents, royalties, and royalty-in-kind; and</w:t>
            </w:r>
          </w:p>
          <w:p w14:paraId="6050632B" w14:textId="003534F2" w:rsidR="004473BF" w:rsidRPr="005B5418" w:rsidRDefault="004473BF" w:rsidP="005425ED">
            <w:pPr>
              <w:pStyle w:val="FAM-Table-outline2"/>
              <w:spacing w:line="240" w:lineRule="auto"/>
              <w:ind w:left="1140" w:hanging="443"/>
            </w:pPr>
            <w:r w:rsidRPr="005B5418">
              <w:t>distribute the collections consistent with statutory requirements, prohibitions, and limitations governing the entity?</w:t>
            </w:r>
            <w:r w:rsidRPr="005B5418">
              <w:br/>
              <w:t>(SFFAS 38, par</w:t>
            </w:r>
            <w:r w:rsidR="000739AD" w:rsidRPr="005B5418">
              <w:t>a</w:t>
            </w:r>
            <w:r w:rsidRPr="005B5418">
              <w:t>. 28(b))</w:t>
            </w:r>
          </w:p>
        </w:tc>
        <w:tc>
          <w:tcPr>
            <w:tcW w:w="965" w:type="dxa"/>
          </w:tcPr>
          <w:p w14:paraId="06F957AB" w14:textId="77777777" w:rsidR="004473BF" w:rsidRPr="005B5418" w:rsidRDefault="004473BF" w:rsidP="008848DA">
            <w:pPr>
              <w:pStyle w:val="Table-Cell-CenterBoldBefore6ptAfter6pt"/>
              <w:spacing w:before="60" w:after="60"/>
              <w:rPr>
                <w:lang w:val="pt-BR"/>
              </w:rPr>
            </w:pPr>
          </w:p>
        </w:tc>
        <w:tc>
          <w:tcPr>
            <w:tcW w:w="3211" w:type="dxa"/>
          </w:tcPr>
          <w:p w14:paraId="26A4F5F1" w14:textId="77777777" w:rsidR="004473BF" w:rsidRPr="005B5418" w:rsidRDefault="004473BF" w:rsidP="008848DA">
            <w:pPr>
              <w:spacing w:before="60" w:after="60" w:line="240" w:lineRule="auto"/>
              <w:rPr>
                <w:lang w:val="pt-BR"/>
              </w:rPr>
            </w:pPr>
          </w:p>
        </w:tc>
      </w:tr>
      <w:tr w:rsidR="004473BF" w:rsidRPr="005B5418" w14:paraId="7F68D17A" w14:textId="77777777" w:rsidTr="0038293D">
        <w:trPr>
          <w:trHeight w:val="2321"/>
        </w:trPr>
        <w:tc>
          <w:tcPr>
            <w:tcW w:w="5400" w:type="dxa"/>
          </w:tcPr>
          <w:p w14:paraId="2996614A" w14:textId="798CF906" w:rsidR="004473BF" w:rsidRPr="005B5418" w:rsidRDefault="004473BF" w:rsidP="00343610">
            <w:pPr>
              <w:pStyle w:val="FAM-Table-outline"/>
              <w:widowControl/>
              <w:numPr>
                <w:ilvl w:val="0"/>
                <w:numId w:val="33"/>
              </w:numPr>
              <w:adjustRightInd/>
              <w:spacing w:line="240" w:lineRule="auto"/>
              <w:textAlignment w:val="auto"/>
            </w:pPr>
            <w:r w:rsidRPr="005B5418">
              <w:t>Do the narratives of the schedules to be presented in the RSI include a description of future royalty rights identified for sale, if applicable, that contains the value of the rights identified for future sale, the location of field(s) involved in the future sale, and the best estimate of when the rights would be sold? (SFFAS 38, par</w:t>
            </w:r>
            <w:r w:rsidR="000739AD" w:rsidRPr="005B5418">
              <w:t>a</w:t>
            </w:r>
            <w:r w:rsidRPr="005B5418">
              <w:t>. 28(c))</w:t>
            </w:r>
          </w:p>
        </w:tc>
        <w:tc>
          <w:tcPr>
            <w:tcW w:w="965" w:type="dxa"/>
          </w:tcPr>
          <w:p w14:paraId="091F2077" w14:textId="77777777" w:rsidR="004473BF" w:rsidRPr="005B5418" w:rsidRDefault="004473BF" w:rsidP="008848DA">
            <w:pPr>
              <w:pStyle w:val="Table-Cell-CenterBoldBefore6ptAfter6pt"/>
              <w:spacing w:before="60" w:after="60"/>
              <w:rPr>
                <w:lang w:val="pt-BR"/>
              </w:rPr>
            </w:pPr>
          </w:p>
        </w:tc>
        <w:tc>
          <w:tcPr>
            <w:tcW w:w="3211" w:type="dxa"/>
          </w:tcPr>
          <w:p w14:paraId="0A2D1AC6" w14:textId="77777777" w:rsidR="004473BF" w:rsidRPr="005B5418" w:rsidRDefault="004473BF" w:rsidP="008848DA">
            <w:pPr>
              <w:spacing w:before="60" w:after="60" w:line="240" w:lineRule="auto"/>
              <w:rPr>
                <w:lang w:val="pt-BR"/>
              </w:rPr>
            </w:pPr>
          </w:p>
        </w:tc>
      </w:tr>
      <w:tr w:rsidR="004473BF" w:rsidRPr="005B5418" w14:paraId="5AE58981" w14:textId="77777777" w:rsidTr="00EB33CD">
        <w:trPr>
          <w:trHeight w:val="7037"/>
        </w:trPr>
        <w:tc>
          <w:tcPr>
            <w:tcW w:w="5400" w:type="dxa"/>
          </w:tcPr>
          <w:p w14:paraId="73393452" w14:textId="2AA8AF6D" w:rsidR="004473BF" w:rsidRPr="005B5418" w:rsidRDefault="004473BF" w:rsidP="00343610">
            <w:pPr>
              <w:pStyle w:val="FAM-Table-outline"/>
              <w:widowControl/>
              <w:numPr>
                <w:ilvl w:val="0"/>
                <w:numId w:val="33"/>
              </w:numPr>
              <w:adjustRightInd/>
              <w:spacing w:line="240" w:lineRule="auto"/>
              <w:textAlignment w:val="auto"/>
            </w:pPr>
            <w:r w:rsidRPr="005B5418">
              <w:lastRenderedPageBreak/>
              <w:t xml:space="preserve">Do the narratives of the schedules to be presented in the RSI </w:t>
            </w:r>
          </w:p>
          <w:p w14:paraId="7499297E" w14:textId="243270F7" w:rsidR="004473BF" w:rsidRPr="005B5418" w:rsidRDefault="007C2926" w:rsidP="005425ED">
            <w:pPr>
              <w:pStyle w:val="FAM-Table-outline2"/>
              <w:spacing w:line="240" w:lineRule="auto"/>
              <w:ind w:left="1140" w:hanging="443"/>
            </w:pPr>
            <w:r w:rsidRPr="005B5418">
              <w:t>describe and</w:t>
            </w:r>
            <w:r w:rsidR="004473BF" w:rsidRPr="005B5418">
              <w:t xml:space="preserve"> display revenue reported by category for the reporting period for offshore and onshore revenues for</w:t>
            </w:r>
          </w:p>
          <w:p w14:paraId="32D9C2C8" w14:textId="77777777" w:rsidR="004473BF" w:rsidRPr="005B5418" w:rsidRDefault="004473BF"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royalty revenue for oil and gas</w:t>
            </w:r>
            <w:r w:rsidR="00007E23" w:rsidRPr="005B5418">
              <w:rPr>
                <w:rFonts w:cs="Arial"/>
                <w:sz w:val="22"/>
                <w:szCs w:val="22"/>
              </w:rPr>
              <w:t>,</w:t>
            </w:r>
            <w:r w:rsidRPr="005B5418">
              <w:rPr>
                <w:rFonts w:cs="Arial"/>
                <w:sz w:val="22"/>
                <w:szCs w:val="22"/>
              </w:rPr>
              <w:t xml:space="preserve"> </w:t>
            </w:r>
          </w:p>
          <w:p w14:paraId="2A77135D" w14:textId="77777777" w:rsidR="00E06DF5" w:rsidRPr="005B5418" w:rsidRDefault="004473BF"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rent revenue</w:t>
            </w:r>
            <w:r w:rsidR="00E06DF5" w:rsidRPr="005B5418">
              <w:rPr>
                <w:rFonts w:cs="Arial"/>
                <w:sz w:val="22"/>
                <w:szCs w:val="22"/>
              </w:rPr>
              <w:t>,</w:t>
            </w:r>
          </w:p>
          <w:p w14:paraId="67123DCF" w14:textId="00FC3322" w:rsidR="004473BF" w:rsidRPr="005B5418" w:rsidRDefault="004473BF"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bonus bid revenue for leases</w:t>
            </w:r>
            <w:r w:rsidR="00007E23" w:rsidRPr="005B5418">
              <w:rPr>
                <w:rFonts w:cs="Arial"/>
                <w:sz w:val="22"/>
                <w:szCs w:val="22"/>
              </w:rPr>
              <w:t>,</w:t>
            </w:r>
            <w:r w:rsidRPr="005B5418">
              <w:rPr>
                <w:rFonts w:cs="Arial"/>
                <w:sz w:val="22"/>
                <w:szCs w:val="22"/>
              </w:rPr>
              <w:t xml:space="preserve"> and</w:t>
            </w:r>
          </w:p>
          <w:p w14:paraId="41DA0F28" w14:textId="4A522AD5" w:rsidR="004473BF" w:rsidRPr="005B5418" w:rsidRDefault="004473BF"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total revenue from all the above categories</w:t>
            </w:r>
            <w:r w:rsidR="00007E23" w:rsidRPr="005B5418">
              <w:rPr>
                <w:rFonts w:cs="Arial"/>
                <w:sz w:val="22"/>
                <w:szCs w:val="22"/>
              </w:rPr>
              <w:t xml:space="preserve"> and</w:t>
            </w:r>
          </w:p>
          <w:p w14:paraId="65844D04" w14:textId="683E31F9" w:rsidR="004473BF" w:rsidRPr="005B5418" w:rsidRDefault="007C2926" w:rsidP="005425ED">
            <w:pPr>
              <w:pStyle w:val="FAM-Table-outline2"/>
              <w:spacing w:line="240" w:lineRule="auto"/>
              <w:ind w:left="1140" w:hanging="443"/>
            </w:pPr>
            <w:r w:rsidRPr="005B5418">
              <w:t>describe and</w:t>
            </w:r>
            <w:r w:rsidR="004473BF" w:rsidRPr="005B5418">
              <w:t xml:space="preserve"> display </w:t>
            </w:r>
          </w:p>
          <w:p w14:paraId="1F8B8A57" w14:textId="77777777" w:rsidR="004473BF" w:rsidRPr="005B5418" w:rsidRDefault="004473BF"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the quantity of oil and gas proved reserves at the end of the reporting period</w:t>
            </w:r>
            <w:r w:rsidR="00007E23" w:rsidRPr="005B5418">
              <w:rPr>
                <w:rFonts w:cs="Arial"/>
                <w:sz w:val="22"/>
                <w:szCs w:val="22"/>
              </w:rPr>
              <w:t>,</w:t>
            </w:r>
          </w:p>
          <w:p w14:paraId="4746F70F" w14:textId="77777777" w:rsidR="004473BF" w:rsidRPr="005B5418" w:rsidRDefault="004473BF"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the average of the Regional Average First Purchase Prices for oil</w:t>
            </w:r>
            <w:r w:rsidR="00007E23" w:rsidRPr="005B5418">
              <w:rPr>
                <w:rFonts w:cs="Arial"/>
                <w:sz w:val="22"/>
                <w:szCs w:val="22"/>
              </w:rPr>
              <w:t>,</w:t>
            </w:r>
          </w:p>
          <w:p w14:paraId="0880D0EC" w14:textId="77777777" w:rsidR="004473BF" w:rsidRPr="005B5418" w:rsidRDefault="004473BF" w:rsidP="005425ED">
            <w:pPr>
              <w:pStyle w:val="FAM-Table-outline3"/>
              <w:widowControl/>
              <w:numPr>
                <w:ilvl w:val="2"/>
                <w:numId w:val="65"/>
              </w:numPr>
              <w:adjustRightInd/>
              <w:spacing w:before="60" w:after="60" w:line="240" w:lineRule="auto"/>
              <w:ind w:left="1410" w:hanging="432"/>
              <w:textAlignment w:val="auto"/>
              <w:rPr>
                <w:rFonts w:cs="Arial"/>
                <w:sz w:val="22"/>
                <w:szCs w:val="22"/>
              </w:rPr>
            </w:pPr>
            <w:r w:rsidRPr="005B5418">
              <w:rPr>
                <w:rFonts w:cs="Arial"/>
                <w:sz w:val="22"/>
                <w:szCs w:val="22"/>
              </w:rPr>
              <w:t>the average of the Regional Average Wellhead Prices for gas</w:t>
            </w:r>
            <w:r w:rsidR="00007E23" w:rsidRPr="005B5418">
              <w:rPr>
                <w:rFonts w:cs="Arial"/>
                <w:sz w:val="22"/>
                <w:szCs w:val="22"/>
              </w:rPr>
              <w:t>,</w:t>
            </w:r>
            <w:r w:rsidRPr="005B5418">
              <w:rPr>
                <w:rFonts w:cs="Arial"/>
                <w:sz w:val="22"/>
                <w:szCs w:val="22"/>
              </w:rPr>
              <w:t xml:space="preserve"> and </w:t>
            </w:r>
          </w:p>
          <w:p w14:paraId="50DB9260" w14:textId="0392FFCC" w:rsidR="004473BF" w:rsidRPr="005B5418" w:rsidRDefault="004473BF" w:rsidP="005425ED">
            <w:pPr>
              <w:pStyle w:val="FAM-Table-outline3"/>
              <w:widowControl/>
              <w:numPr>
                <w:ilvl w:val="2"/>
                <w:numId w:val="65"/>
              </w:numPr>
              <w:adjustRightInd/>
              <w:spacing w:before="60" w:after="60" w:line="240" w:lineRule="auto"/>
              <w:ind w:left="1410" w:hanging="432"/>
              <w:textAlignment w:val="auto"/>
            </w:pPr>
            <w:r w:rsidRPr="005B5418">
              <w:rPr>
                <w:rFonts w:cs="Arial"/>
                <w:sz w:val="22"/>
                <w:szCs w:val="22"/>
              </w:rPr>
              <w:t>the average royalty rate for oil and gas? (SFFAS 38, par</w:t>
            </w:r>
            <w:r w:rsidR="0019458B" w:rsidRPr="005B5418">
              <w:rPr>
                <w:rFonts w:cs="Arial"/>
                <w:sz w:val="22"/>
                <w:szCs w:val="22"/>
              </w:rPr>
              <w:t>a</w:t>
            </w:r>
            <w:r w:rsidRPr="005B5418">
              <w:rPr>
                <w:rFonts w:cs="Arial"/>
                <w:sz w:val="22"/>
                <w:szCs w:val="22"/>
              </w:rPr>
              <w:t>. 28 ((d)</w:t>
            </w:r>
            <w:r w:rsidR="0019458B" w:rsidRPr="005B5418">
              <w:rPr>
                <w:rFonts w:cs="Arial"/>
                <w:sz w:val="22"/>
                <w:szCs w:val="22"/>
              </w:rPr>
              <w:t>–</w:t>
            </w:r>
            <w:r w:rsidRPr="005B5418">
              <w:rPr>
                <w:rFonts w:cs="Arial"/>
                <w:sz w:val="22"/>
                <w:szCs w:val="22"/>
              </w:rPr>
              <w:t>(e))</w:t>
            </w:r>
          </w:p>
        </w:tc>
        <w:tc>
          <w:tcPr>
            <w:tcW w:w="965" w:type="dxa"/>
          </w:tcPr>
          <w:p w14:paraId="128B3FE6" w14:textId="77777777" w:rsidR="004473BF" w:rsidRPr="005B5418" w:rsidRDefault="004473BF" w:rsidP="008848DA">
            <w:pPr>
              <w:pStyle w:val="Table-Cell-CenterBoldBefore6ptAfter6pt"/>
              <w:spacing w:before="60" w:after="60"/>
              <w:rPr>
                <w:lang w:val="pt-BR"/>
              </w:rPr>
            </w:pPr>
          </w:p>
        </w:tc>
        <w:tc>
          <w:tcPr>
            <w:tcW w:w="3211" w:type="dxa"/>
          </w:tcPr>
          <w:p w14:paraId="031F17ED" w14:textId="77777777" w:rsidR="004473BF" w:rsidRPr="005B5418" w:rsidRDefault="004473BF" w:rsidP="008848DA">
            <w:pPr>
              <w:spacing w:before="60" w:after="60" w:line="240" w:lineRule="auto"/>
              <w:rPr>
                <w:lang w:val="pt-BR"/>
              </w:rPr>
            </w:pPr>
          </w:p>
        </w:tc>
      </w:tr>
      <w:tr w:rsidR="004473BF" w:rsidRPr="005B5418" w14:paraId="242CCCC2" w14:textId="77777777" w:rsidTr="00AA1073">
        <w:trPr>
          <w:trHeight w:val="6137"/>
        </w:trPr>
        <w:tc>
          <w:tcPr>
            <w:tcW w:w="5400" w:type="dxa"/>
          </w:tcPr>
          <w:p w14:paraId="32D912BA" w14:textId="735DE134" w:rsidR="004473BF" w:rsidRPr="005B5418" w:rsidRDefault="004473BF" w:rsidP="00343610">
            <w:pPr>
              <w:pStyle w:val="FAM-Table-outline"/>
              <w:widowControl/>
              <w:numPr>
                <w:ilvl w:val="0"/>
                <w:numId w:val="33"/>
              </w:numPr>
              <w:adjustRightInd/>
              <w:spacing w:line="240" w:lineRule="auto"/>
              <w:textAlignment w:val="auto"/>
            </w:pPr>
            <w:r w:rsidRPr="005B5418">
              <w:lastRenderedPageBreak/>
              <w:t xml:space="preserve">Do the narratives of the schedules to be presented in the RSI </w:t>
            </w:r>
            <w:r w:rsidR="00102396" w:rsidRPr="005B5418">
              <w:t>describe</w:t>
            </w:r>
            <w:r w:rsidRPr="005B5418">
              <w:t xml:space="preserve"> the estimated methodology used to calculate the value of the federal government’s estimated petroleum royalties</w:t>
            </w:r>
            <w:r w:rsidR="00102396" w:rsidRPr="005B5418">
              <w:t>, including</w:t>
            </w:r>
          </w:p>
          <w:p w14:paraId="4CB03386" w14:textId="1BE56E6A" w:rsidR="004473BF" w:rsidRPr="005B5418" w:rsidRDefault="004473BF" w:rsidP="005425ED">
            <w:pPr>
              <w:pStyle w:val="FAM-Table-outline2"/>
              <w:spacing w:line="240" w:lineRule="auto"/>
              <w:ind w:left="1140" w:hanging="443"/>
            </w:pPr>
            <w:r w:rsidRPr="005B5418">
              <w:t>a plain English explanation of the measurement method (e.g., present value);</w:t>
            </w:r>
          </w:p>
          <w:p w14:paraId="1EB5803C" w14:textId="1A09CE55" w:rsidR="004473BF" w:rsidRPr="005B5418" w:rsidRDefault="004473BF" w:rsidP="005425ED">
            <w:pPr>
              <w:pStyle w:val="FAM-Table-outline2"/>
              <w:spacing w:line="240" w:lineRule="auto"/>
              <w:ind w:left="1140" w:hanging="443"/>
            </w:pPr>
            <w:r w:rsidRPr="005B5418">
              <w:t>the significant assumptions incorporated into the estimate (e.g</w:t>
            </w:r>
            <w:r w:rsidR="008676D9" w:rsidRPr="005B5418">
              <w:t xml:space="preserve">., </w:t>
            </w:r>
            <w:r w:rsidRPr="005B5418">
              <w:t xml:space="preserve">discount rates used to calculate present value, production decline curve, portion of proved reserves under federal lands, future oil and gas prices, inflation rates, etc.); </w:t>
            </w:r>
          </w:p>
          <w:p w14:paraId="34054E7F" w14:textId="5DB8D294" w:rsidR="004473BF" w:rsidRPr="005B5418" w:rsidRDefault="004473BF" w:rsidP="005425ED">
            <w:pPr>
              <w:pStyle w:val="FAM-Table-outline2"/>
              <w:spacing w:line="240" w:lineRule="auto"/>
              <w:ind w:left="1140" w:hanging="443"/>
            </w:pPr>
            <w:r w:rsidRPr="005B5418">
              <w:t>any significant changes in the estimation methodology</w:t>
            </w:r>
            <w:r w:rsidR="007C2926" w:rsidRPr="005B5418">
              <w:t>,</w:t>
            </w:r>
            <w:r w:rsidRPr="005B5418">
              <w:t xml:space="preserve"> including the underlying assumptions from the prior year; and</w:t>
            </w:r>
          </w:p>
          <w:p w14:paraId="4AA129AA" w14:textId="66A2C43E" w:rsidR="004473BF" w:rsidRPr="005B5418" w:rsidRDefault="004473BF" w:rsidP="005425ED">
            <w:pPr>
              <w:pStyle w:val="FAM-Table-outline2"/>
              <w:spacing w:line="240" w:lineRule="auto"/>
              <w:ind w:left="1140" w:hanging="443"/>
            </w:pPr>
            <w:r w:rsidRPr="005B5418">
              <w:t>the nature and reason for any changes, as well as the effect of the changes? (SFFAS 38, par</w:t>
            </w:r>
            <w:r w:rsidR="007C2926" w:rsidRPr="005B5418">
              <w:t>a</w:t>
            </w:r>
            <w:r w:rsidRPr="005B5418">
              <w:t>. 28 (f))</w:t>
            </w:r>
          </w:p>
        </w:tc>
        <w:tc>
          <w:tcPr>
            <w:tcW w:w="965" w:type="dxa"/>
          </w:tcPr>
          <w:p w14:paraId="23C83C32" w14:textId="77777777" w:rsidR="004473BF" w:rsidRPr="005B5418" w:rsidRDefault="004473BF" w:rsidP="008848DA">
            <w:pPr>
              <w:pStyle w:val="Table-Cell-CenterBoldBefore6ptAfter6pt"/>
              <w:spacing w:before="60" w:after="60"/>
              <w:rPr>
                <w:lang w:val="pt-BR"/>
              </w:rPr>
            </w:pPr>
          </w:p>
        </w:tc>
        <w:tc>
          <w:tcPr>
            <w:tcW w:w="3211" w:type="dxa"/>
          </w:tcPr>
          <w:p w14:paraId="53BA110C" w14:textId="77777777" w:rsidR="004473BF" w:rsidRPr="005B5418" w:rsidRDefault="004473BF" w:rsidP="008848DA">
            <w:pPr>
              <w:spacing w:before="60" w:after="60" w:line="240" w:lineRule="auto"/>
              <w:rPr>
                <w:lang w:val="pt-BR"/>
              </w:rPr>
            </w:pPr>
          </w:p>
        </w:tc>
      </w:tr>
      <w:tr w:rsidR="004473BF" w:rsidRPr="005B5418" w14:paraId="3FBDE69A" w14:textId="77777777" w:rsidTr="00EB33CD">
        <w:trPr>
          <w:trHeight w:val="1520"/>
        </w:trPr>
        <w:tc>
          <w:tcPr>
            <w:tcW w:w="5400" w:type="dxa"/>
          </w:tcPr>
          <w:p w14:paraId="65B7E852" w14:textId="1FAE281D" w:rsidR="004473BF" w:rsidRPr="005B5418" w:rsidRDefault="004473BF" w:rsidP="00343610">
            <w:pPr>
              <w:pStyle w:val="FAM-Table-outline"/>
              <w:widowControl/>
              <w:numPr>
                <w:ilvl w:val="0"/>
                <w:numId w:val="33"/>
              </w:numPr>
              <w:adjustRightInd/>
              <w:spacing w:line="240" w:lineRule="auto"/>
              <w:textAlignment w:val="auto"/>
            </w:pPr>
            <w:r w:rsidRPr="005B5418">
              <w:t>Do the narratives of the schedules presented in the RSI include a reference to the source reports used to calculate the value of the federal government’s estimated petroleum royalties? (SFFAS 38, par</w:t>
            </w:r>
            <w:r w:rsidR="007C2926" w:rsidRPr="005B5418">
              <w:t>a</w:t>
            </w:r>
            <w:r w:rsidRPr="005B5418">
              <w:t>. 28 (g))</w:t>
            </w:r>
          </w:p>
        </w:tc>
        <w:tc>
          <w:tcPr>
            <w:tcW w:w="965" w:type="dxa"/>
          </w:tcPr>
          <w:p w14:paraId="5B587452" w14:textId="77777777" w:rsidR="004473BF" w:rsidRPr="005B5418" w:rsidRDefault="004473BF" w:rsidP="008848DA">
            <w:pPr>
              <w:pStyle w:val="Table-Cell-CenterBoldBefore6ptAfter6pt"/>
              <w:spacing w:before="60" w:after="60"/>
              <w:rPr>
                <w:lang w:val="pt-BR"/>
              </w:rPr>
            </w:pPr>
          </w:p>
        </w:tc>
        <w:tc>
          <w:tcPr>
            <w:tcW w:w="3211" w:type="dxa"/>
          </w:tcPr>
          <w:p w14:paraId="6B734228" w14:textId="77777777" w:rsidR="004473BF" w:rsidRPr="005B5418" w:rsidRDefault="004473BF" w:rsidP="008848DA">
            <w:pPr>
              <w:spacing w:before="60" w:after="60" w:line="240" w:lineRule="auto"/>
              <w:rPr>
                <w:lang w:val="pt-BR"/>
              </w:rPr>
            </w:pPr>
          </w:p>
        </w:tc>
      </w:tr>
      <w:tr w:rsidR="004473BF" w:rsidRPr="005B5418" w14:paraId="3D43AE66" w14:textId="77777777" w:rsidTr="00EB33CD">
        <w:trPr>
          <w:trHeight w:val="2969"/>
        </w:trPr>
        <w:tc>
          <w:tcPr>
            <w:tcW w:w="5400" w:type="dxa"/>
          </w:tcPr>
          <w:p w14:paraId="73447556" w14:textId="185BD736" w:rsidR="004473BF" w:rsidRPr="005B5418" w:rsidRDefault="004473BF" w:rsidP="00343610">
            <w:pPr>
              <w:pStyle w:val="FAM-Table-outline"/>
              <w:widowControl/>
              <w:numPr>
                <w:ilvl w:val="0"/>
                <w:numId w:val="33"/>
              </w:numPr>
              <w:adjustRightInd/>
              <w:spacing w:line="240" w:lineRule="auto"/>
              <w:textAlignment w:val="auto"/>
            </w:pPr>
            <w:r w:rsidRPr="005B5418">
              <w:t xml:space="preserve">Do the narratives of the schedules to be presented in the RSI </w:t>
            </w:r>
            <w:r w:rsidR="007C2926" w:rsidRPr="005B5418">
              <w:t>describe</w:t>
            </w:r>
            <w:r w:rsidRPr="005B5418">
              <w:t xml:space="preserve"> and display </w:t>
            </w:r>
          </w:p>
          <w:p w14:paraId="24566AD1" w14:textId="5324F9D9" w:rsidR="004473BF" w:rsidRPr="005B5418" w:rsidRDefault="004473BF" w:rsidP="005425ED">
            <w:pPr>
              <w:pStyle w:val="FAM-Table-outline2"/>
              <w:spacing w:line="240" w:lineRule="auto"/>
              <w:ind w:left="1140" w:hanging="443"/>
            </w:pPr>
            <w:r w:rsidRPr="005B5418">
              <w:t>the sales volume</w:t>
            </w:r>
            <w:r w:rsidR="007C2926" w:rsidRPr="005B5418">
              <w:t>,</w:t>
            </w:r>
          </w:p>
          <w:p w14:paraId="224C9018" w14:textId="57074E45" w:rsidR="004473BF" w:rsidRPr="005B5418" w:rsidRDefault="004473BF" w:rsidP="005425ED">
            <w:pPr>
              <w:pStyle w:val="FAM-Table-outline2"/>
              <w:spacing w:line="240" w:lineRule="auto"/>
              <w:ind w:left="1140" w:hanging="443"/>
            </w:pPr>
            <w:r w:rsidRPr="005B5418">
              <w:t>the sales value</w:t>
            </w:r>
            <w:r w:rsidR="007C2926" w:rsidRPr="005B5418">
              <w:t>,</w:t>
            </w:r>
          </w:p>
          <w:p w14:paraId="6E40BD16" w14:textId="251BC3B4" w:rsidR="004473BF" w:rsidRPr="005B5418" w:rsidRDefault="004473BF" w:rsidP="005425ED">
            <w:pPr>
              <w:pStyle w:val="FAM-Table-outline2"/>
              <w:spacing w:line="240" w:lineRule="auto"/>
              <w:ind w:left="1140" w:hanging="443"/>
            </w:pPr>
            <w:r w:rsidRPr="005B5418">
              <w:t>the royalty revenue</w:t>
            </w:r>
            <w:r w:rsidR="007C2926" w:rsidRPr="005B5418">
              <w:t>,</w:t>
            </w:r>
            <w:r w:rsidRPr="005B5418">
              <w:t xml:space="preserve"> and </w:t>
            </w:r>
          </w:p>
          <w:p w14:paraId="44A2E310" w14:textId="757F81BD" w:rsidR="004473BF" w:rsidRPr="005B5418" w:rsidRDefault="004473BF" w:rsidP="005425ED">
            <w:pPr>
              <w:pStyle w:val="FAM-Table-outline2"/>
              <w:spacing w:line="240" w:lineRule="auto"/>
              <w:ind w:left="1140" w:hanging="443"/>
            </w:pPr>
            <w:r w:rsidRPr="005B5418">
              <w:t>estimated value for royalty relief produced from the federal oil and gas resources? (SFFAS 38, par</w:t>
            </w:r>
            <w:r w:rsidR="007C2926" w:rsidRPr="005B5418">
              <w:t>a</w:t>
            </w:r>
            <w:r w:rsidRPr="005B5418">
              <w:t>. 28 (h))</w:t>
            </w:r>
          </w:p>
        </w:tc>
        <w:tc>
          <w:tcPr>
            <w:tcW w:w="965" w:type="dxa"/>
          </w:tcPr>
          <w:p w14:paraId="37EDB035" w14:textId="77777777" w:rsidR="004473BF" w:rsidRPr="005B5418" w:rsidRDefault="004473BF" w:rsidP="008848DA">
            <w:pPr>
              <w:pStyle w:val="Table-Cell-CenterBoldBefore6ptAfter6pt"/>
              <w:spacing w:before="60" w:after="60"/>
              <w:rPr>
                <w:lang w:val="pt-BR"/>
              </w:rPr>
            </w:pPr>
          </w:p>
        </w:tc>
        <w:tc>
          <w:tcPr>
            <w:tcW w:w="3211" w:type="dxa"/>
          </w:tcPr>
          <w:p w14:paraId="348DC176" w14:textId="77777777" w:rsidR="004473BF" w:rsidRPr="005B5418" w:rsidRDefault="004473BF" w:rsidP="008848DA">
            <w:pPr>
              <w:spacing w:before="60" w:after="60" w:line="240" w:lineRule="auto"/>
              <w:rPr>
                <w:lang w:val="pt-BR"/>
              </w:rPr>
            </w:pPr>
          </w:p>
        </w:tc>
      </w:tr>
      <w:tr w:rsidR="004473BF" w:rsidRPr="005B5418" w14:paraId="663C0145" w14:textId="77777777" w:rsidTr="0038293D">
        <w:trPr>
          <w:trHeight w:val="2051"/>
        </w:trPr>
        <w:tc>
          <w:tcPr>
            <w:tcW w:w="5400" w:type="dxa"/>
          </w:tcPr>
          <w:p w14:paraId="6886536C" w14:textId="058361DA" w:rsidR="004473BF" w:rsidRPr="005B5418" w:rsidRDefault="004473BF" w:rsidP="00343610">
            <w:pPr>
              <w:pStyle w:val="FAM-Table-outline"/>
              <w:widowControl/>
              <w:numPr>
                <w:ilvl w:val="0"/>
                <w:numId w:val="33"/>
              </w:numPr>
              <w:adjustRightInd/>
              <w:spacing w:line="240" w:lineRule="auto"/>
              <w:textAlignment w:val="auto"/>
            </w:pPr>
            <w:r w:rsidRPr="005B5418">
              <w:lastRenderedPageBreak/>
              <w:t xml:space="preserve">Do the narratives of the schedules presented in the RSI </w:t>
            </w:r>
            <w:r w:rsidR="007C2926" w:rsidRPr="005B5418">
              <w:t>describe</w:t>
            </w:r>
            <w:r w:rsidRPr="005B5418">
              <w:t xml:space="preserve"> other significant federal oil and gas resources under management by the entity that are not addressed by </w:t>
            </w:r>
            <w:r w:rsidR="00007E23" w:rsidRPr="005B5418">
              <w:t>SFFAS 38</w:t>
            </w:r>
            <w:r w:rsidRPr="005B5418">
              <w:t xml:space="preserve"> because they are not currently under lease? (SFFAS 38, par</w:t>
            </w:r>
            <w:r w:rsidR="007C2926" w:rsidRPr="005B5418">
              <w:t>a</w:t>
            </w:r>
            <w:r w:rsidRPr="005B5418">
              <w:t>. 28 (i))</w:t>
            </w:r>
          </w:p>
        </w:tc>
        <w:tc>
          <w:tcPr>
            <w:tcW w:w="965" w:type="dxa"/>
          </w:tcPr>
          <w:p w14:paraId="043B444F" w14:textId="77777777" w:rsidR="004473BF" w:rsidRPr="005B5418" w:rsidRDefault="004473BF" w:rsidP="008848DA">
            <w:pPr>
              <w:pStyle w:val="Table-Cell-CenterBoldBefore6ptAfter6pt"/>
              <w:spacing w:before="60" w:after="60"/>
              <w:rPr>
                <w:lang w:val="pt-BR"/>
              </w:rPr>
            </w:pPr>
          </w:p>
        </w:tc>
        <w:tc>
          <w:tcPr>
            <w:tcW w:w="3211" w:type="dxa"/>
          </w:tcPr>
          <w:p w14:paraId="70B837A7" w14:textId="77777777" w:rsidR="004473BF" w:rsidRPr="005B5418" w:rsidRDefault="004473BF" w:rsidP="008848DA">
            <w:pPr>
              <w:spacing w:before="60" w:after="60" w:line="240" w:lineRule="auto"/>
              <w:rPr>
                <w:lang w:val="pt-BR"/>
              </w:rPr>
            </w:pPr>
          </w:p>
        </w:tc>
      </w:tr>
    </w:tbl>
    <w:p w14:paraId="27099ACC" w14:textId="77777777" w:rsidR="004473BF" w:rsidRPr="005B5418" w:rsidRDefault="004473BF" w:rsidP="003B61E9">
      <w:pPr>
        <w:spacing w:line="240" w:lineRule="auto"/>
        <w:rPr>
          <w:rFonts w:cs="Arial"/>
        </w:rPr>
      </w:pPr>
    </w:p>
    <w:p w14:paraId="368438B6" w14:textId="77777777" w:rsidR="004473BF" w:rsidRPr="005B5418" w:rsidRDefault="004473BF" w:rsidP="003B61E9">
      <w:pPr>
        <w:spacing w:line="240" w:lineRule="auto"/>
        <w:rPr>
          <w:rFonts w:cs="Arial"/>
        </w:rPr>
      </w:pPr>
      <w:r w:rsidRPr="005B5418">
        <w:rPr>
          <w:rFonts w:cs="Arial"/>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8"/>
        <w:gridCol w:w="966"/>
        <w:gridCol w:w="3216"/>
      </w:tblGrid>
      <w:tr w:rsidR="008B71C0" w:rsidRPr="005B5418" w14:paraId="05CFA8B3" w14:textId="77777777" w:rsidTr="002D4ACC">
        <w:trPr>
          <w:trHeight w:val="863"/>
          <w:tblHeader/>
        </w:trPr>
        <w:tc>
          <w:tcPr>
            <w:tcW w:w="5400" w:type="dxa"/>
          </w:tcPr>
          <w:p w14:paraId="0980653A" w14:textId="77777777" w:rsidR="008B71C0" w:rsidRPr="005B5418" w:rsidRDefault="008B71C0" w:rsidP="008848DA">
            <w:pPr>
              <w:pStyle w:val="Heading4"/>
              <w:spacing w:before="60" w:after="60" w:line="240" w:lineRule="auto"/>
              <w:jc w:val="left"/>
              <w:rPr>
                <w:b/>
                <w:u w:val="none"/>
              </w:rPr>
            </w:pPr>
            <w:bookmarkStart w:id="259" w:name="_II.3.9.3_Other_Federal"/>
            <w:bookmarkStart w:id="260" w:name="_Ref8657511"/>
            <w:bookmarkEnd w:id="259"/>
            <w:r w:rsidRPr="005B5418">
              <w:rPr>
                <w:b/>
                <w:u w:val="none"/>
              </w:rPr>
              <w:lastRenderedPageBreak/>
              <w:t>II.3.</w:t>
            </w:r>
            <w:r w:rsidR="00C73D60" w:rsidRPr="005B5418">
              <w:rPr>
                <w:b/>
                <w:u w:val="none"/>
              </w:rPr>
              <w:t>9</w:t>
            </w:r>
            <w:r w:rsidRPr="005B5418">
              <w:rPr>
                <w:b/>
                <w:u w:val="none"/>
              </w:rPr>
              <w:t>.3 Other Federal Natural Resources</w:t>
            </w:r>
            <w:bookmarkEnd w:id="260"/>
          </w:p>
        </w:tc>
        <w:tc>
          <w:tcPr>
            <w:tcW w:w="965" w:type="dxa"/>
          </w:tcPr>
          <w:p w14:paraId="1DB82402" w14:textId="77777777" w:rsidR="008B71C0" w:rsidRPr="005B5418" w:rsidRDefault="008B71C0" w:rsidP="002D4ACC">
            <w:pPr>
              <w:pStyle w:val="TableCellCenter"/>
              <w:jc w:val="left"/>
            </w:pPr>
            <w:r w:rsidRPr="005B5418">
              <w:t>Yes, No, or N/A</w:t>
            </w:r>
          </w:p>
        </w:tc>
        <w:tc>
          <w:tcPr>
            <w:tcW w:w="3211" w:type="dxa"/>
          </w:tcPr>
          <w:p w14:paraId="3C4A3492" w14:textId="0EE84053" w:rsidR="008B71C0" w:rsidRPr="005B5418" w:rsidRDefault="008B71C0" w:rsidP="00B47464">
            <w:pPr>
              <w:pStyle w:val="TableCellCenter"/>
              <w:jc w:val="left"/>
            </w:pPr>
            <w:r w:rsidRPr="005B5418">
              <w:t xml:space="preserve">Explanation </w:t>
            </w:r>
            <w:r w:rsidR="00B47464" w:rsidRPr="005B5418">
              <w:t xml:space="preserve">and </w:t>
            </w:r>
            <w:r w:rsidRPr="005B5418">
              <w:t>Reference</w:t>
            </w:r>
          </w:p>
        </w:tc>
      </w:tr>
      <w:tr w:rsidR="008B71C0" w:rsidRPr="005B5418" w14:paraId="56DB288E" w14:textId="77777777" w:rsidTr="005A3385">
        <w:tc>
          <w:tcPr>
            <w:tcW w:w="9576" w:type="dxa"/>
            <w:gridSpan w:val="3"/>
          </w:tcPr>
          <w:p w14:paraId="10BFEEDE" w14:textId="28F477E3" w:rsidR="002C1A39" w:rsidRPr="005B5418" w:rsidRDefault="00B12355" w:rsidP="008848DA">
            <w:pPr>
              <w:pStyle w:val="Table-Note"/>
              <w:spacing w:before="60" w:after="60" w:line="240" w:lineRule="auto"/>
              <w:ind w:left="-35"/>
              <w:jc w:val="left"/>
              <w:rPr>
                <w:i w:val="0"/>
                <w:sz w:val="22"/>
                <w:szCs w:val="22"/>
              </w:rPr>
            </w:pPr>
            <w:r w:rsidRPr="005B5418">
              <w:rPr>
                <w:i w:val="0"/>
                <w:sz w:val="22"/>
                <w:szCs w:val="22"/>
              </w:rPr>
              <w:t xml:space="preserve">FASAB </w:t>
            </w:r>
            <w:r w:rsidR="008B71C0" w:rsidRPr="005B5418">
              <w:rPr>
                <w:i w:val="0"/>
                <w:sz w:val="22"/>
                <w:szCs w:val="22"/>
              </w:rPr>
              <w:t>Technical Bulletin 2011-1</w:t>
            </w:r>
            <w:r w:rsidRPr="005B5418">
              <w:rPr>
                <w:i w:val="0"/>
                <w:sz w:val="22"/>
                <w:szCs w:val="22"/>
              </w:rPr>
              <w:t>,</w:t>
            </w:r>
            <w:r w:rsidR="008B71C0" w:rsidRPr="005B5418">
              <w:rPr>
                <w:i w:val="0"/>
                <w:sz w:val="22"/>
                <w:szCs w:val="22"/>
              </w:rPr>
              <w:t xml:space="preserve"> </w:t>
            </w:r>
            <w:r w:rsidR="008B71C0" w:rsidRPr="005B5418">
              <w:rPr>
                <w:sz w:val="22"/>
                <w:szCs w:val="22"/>
              </w:rPr>
              <w:t xml:space="preserve">Accounting for Federal Natural Resources </w:t>
            </w:r>
            <w:r w:rsidR="00982444" w:rsidRPr="005B5418">
              <w:rPr>
                <w:sz w:val="22"/>
                <w:szCs w:val="22"/>
              </w:rPr>
              <w:t>O</w:t>
            </w:r>
            <w:r w:rsidR="008B71C0" w:rsidRPr="005B5418">
              <w:rPr>
                <w:sz w:val="22"/>
                <w:szCs w:val="22"/>
              </w:rPr>
              <w:t>ther than Oil and Gas</w:t>
            </w:r>
            <w:r w:rsidRPr="005B5418">
              <w:rPr>
                <w:i w:val="0"/>
                <w:sz w:val="22"/>
                <w:szCs w:val="22"/>
              </w:rPr>
              <w:t xml:space="preserve">, </w:t>
            </w:r>
            <w:r w:rsidR="008B71C0" w:rsidRPr="005B5418">
              <w:rPr>
                <w:i w:val="0"/>
                <w:sz w:val="22"/>
                <w:szCs w:val="22"/>
              </w:rPr>
              <w:t xml:space="preserve">clarifies that entities should report as RSI the value of the </w:t>
            </w:r>
            <w:r w:rsidR="00BE7609" w:rsidRPr="005B5418">
              <w:rPr>
                <w:i w:val="0"/>
                <w:sz w:val="22"/>
                <w:szCs w:val="22"/>
              </w:rPr>
              <w:t xml:space="preserve">government’s </w:t>
            </w:r>
            <w:r w:rsidR="008B71C0" w:rsidRPr="005B5418">
              <w:rPr>
                <w:i w:val="0"/>
                <w:sz w:val="22"/>
                <w:szCs w:val="22"/>
              </w:rPr>
              <w:t xml:space="preserve">estimated royalties and other revenue for other federal natural resources that are </w:t>
            </w:r>
          </w:p>
          <w:p w14:paraId="220B22E6" w14:textId="77777777" w:rsidR="002C1A39" w:rsidRPr="005B5418" w:rsidRDefault="008B71C0" w:rsidP="008848DA">
            <w:pPr>
              <w:pStyle w:val="Table-Note"/>
              <w:spacing w:before="60" w:after="60" w:line="240" w:lineRule="auto"/>
              <w:ind w:left="-35"/>
              <w:jc w:val="left"/>
              <w:rPr>
                <w:i w:val="0"/>
                <w:sz w:val="22"/>
                <w:szCs w:val="22"/>
              </w:rPr>
            </w:pPr>
            <w:r w:rsidRPr="005B5418">
              <w:rPr>
                <w:i w:val="0"/>
                <w:sz w:val="22"/>
                <w:szCs w:val="22"/>
              </w:rPr>
              <w:t>(1) under long-term lease, long-term contract</w:t>
            </w:r>
            <w:r w:rsidR="002C1A39" w:rsidRPr="005B5418">
              <w:rPr>
                <w:i w:val="0"/>
                <w:sz w:val="22"/>
                <w:szCs w:val="22"/>
              </w:rPr>
              <w:t>,</w:t>
            </w:r>
            <w:r w:rsidRPr="005B5418">
              <w:rPr>
                <w:i w:val="0"/>
                <w:sz w:val="22"/>
                <w:szCs w:val="22"/>
              </w:rPr>
              <w:t xml:space="preserve"> or other long-term agreement and </w:t>
            </w:r>
          </w:p>
          <w:p w14:paraId="0A877E79" w14:textId="472CF04A" w:rsidR="008B71C0" w:rsidRPr="005B5418" w:rsidRDefault="008B71C0" w:rsidP="008848DA">
            <w:pPr>
              <w:pStyle w:val="Table-Note"/>
              <w:spacing w:before="60" w:after="60" w:line="240" w:lineRule="auto"/>
              <w:ind w:left="-35"/>
              <w:jc w:val="left"/>
              <w:rPr>
                <w:i w:val="0"/>
                <w:sz w:val="22"/>
                <w:szCs w:val="22"/>
              </w:rPr>
            </w:pPr>
            <w:r w:rsidRPr="005B5418">
              <w:rPr>
                <w:i w:val="0"/>
                <w:sz w:val="22"/>
                <w:szCs w:val="22"/>
              </w:rPr>
              <w:t xml:space="preserve">(2) reasonably estimable as of the reporting date in RSI, consistent with the SFFAS 38. </w:t>
            </w:r>
          </w:p>
          <w:p w14:paraId="0B0B9837" w14:textId="02915FBB" w:rsidR="008B71C0" w:rsidRPr="005B5418" w:rsidRDefault="008B71C0" w:rsidP="00493003">
            <w:pPr>
              <w:pStyle w:val="Table-Note"/>
              <w:spacing w:before="60" w:after="60" w:line="240" w:lineRule="auto"/>
              <w:ind w:left="-35"/>
              <w:jc w:val="left"/>
              <w:rPr>
                <w:i w:val="0"/>
                <w:sz w:val="22"/>
                <w:szCs w:val="22"/>
              </w:rPr>
            </w:pPr>
            <w:r w:rsidRPr="005B5418">
              <w:rPr>
                <w:i w:val="0"/>
                <w:sz w:val="22"/>
                <w:szCs w:val="22"/>
              </w:rPr>
              <w:t xml:space="preserve">Resources may be divided by subtype of commodity and calculated separately if material differences would result. Each of the individual calculations should be reported separately and then aggregated to </w:t>
            </w:r>
            <w:r w:rsidR="000D4065" w:rsidRPr="005B5418">
              <w:rPr>
                <w:i w:val="0"/>
                <w:sz w:val="22"/>
                <w:szCs w:val="22"/>
              </w:rPr>
              <w:t xml:space="preserve">show </w:t>
            </w:r>
            <w:r w:rsidRPr="005B5418">
              <w:rPr>
                <w:i w:val="0"/>
                <w:sz w:val="22"/>
                <w:szCs w:val="22"/>
              </w:rPr>
              <w:t>the reporting entity’s total estimated natural resources under lease, contract, or other long-term agreement. If a majority of the reporting entity’s estimated revenue from natural resources under lease, contract, or other long-term agreement is to be distributed to others, the value of the revenue to be distributed should be estimated and reported in a schedule. (TB 2011-1, par</w:t>
            </w:r>
            <w:r w:rsidR="00B12355" w:rsidRPr="005B5418">
              <w:rPr>
                <w:i w:val="0"/>
                <w:sz w:val="22"/>
                <w:szCs w:val="22"/>
              </w:rPr>
              <w:t>a</w:t>
            </w:r>
            <w:r w:rsidR="006E3569" w:rsidRPr="005B5418">
              <w:rPr>
                <w:i w:val="0"/>
                <w:sz w:val="22"/>
                <w:szCs w:val="22"/>
              </w:rPr>
              <w:t>s</w:t>
            </w:r>
            <w:r w:rsidRPr="005B5418">
              <w:rPr>
                <w:i w:val="0"/>
                <w:sz w:val="22"/>
                <w:szCs w:val="22"/>
              </w:rPr>
              <w:t>. 2</w:t>
            </w:r>
            <w:r w:rsidR="006E3569" w:rsidRPr="005B5418">
              <w:rPr>
                <w:i w:val="0"/>
                <w:sz w:val="22"/>
                <w:szCs w:val="22"/>
              </w:rPr>
              <w:t>, 18, and 19</w:t>
            </w:r>
            <w:r w:rsidRPr="005B5418">
              <w:rPr>
                <w:i w:val="0"/>
                <w:sz w:val="22"/>
                <w:szCs w:val="22"/>
              </w:rPr>
              <w:t xml:space="preserve">) </w:t>
            </w:r>
          </w:p>
        </w:tc>
      </w:tr>
      <w:tr w:rsidR="00DC08FB" w:rsidRPr="005B5418" w14:paraId="488521CA" w14:textId="77777777" w:rsidTr="0038293D">
        <w:trPr>
          <w:trHeight w:val="1313"/>
        </w:trPr>
        <w:tc>
          <w:tcPr>
            <w:tcW w:w="5400" w:type="dxa"/>
          </w:tcPr>
          <w:p w14:paraId="30AFC0BB" w14:textId="41733853" w:rsidR="00DC08FB" w:rsidRPr="005B5418" w:rsidRDefault="00DC08FB" w:rsidP="00E078F8">
            <w:pPr>
              <w:pStyle w:val="FAM-Table-outline"/>
              <w:widowControl/>
              <w:numPr>
                <w:ilvl w:val="0"/>
                <w:numId w:val="34"/>
              </w:numPr>
              <w:adjustRightInd/>
              <w:spacing w:line="240" w:lineRule="auto"/>
              <w:textAlignment w:val="auto"/>
            </w:pPr>
            <w:r w:rsidRPr="005B5418">
              <w:t xml:space="preserve">Is this topic applicable to the </w:t>
            </w:r>
            <w:r w:rsidR="00493003" w:rsidRPr="005B5418">
              <w:t>reporting entity</w:t>
            </w:r>
            <w:r w:rsidRPr="005B5418">
              <w:t>? (Answer Y if applicable, N/A if not applicable, or N/S if not significant. If N/A or N/S, skip to the next topic</w:t>
            </w:r>
            <w:r w:rsidR="002C1A39" w:rsidRPr="005B5418">
              <w:t>.</w:t>
            </w:r>
            <w:r w:rsidRPr="005B5418">
              <w:t>)</w:t>
            </w:r>
          </w:p>
        </w:tc>
        <w:tc>
          <w:tcPr>
            <w:tcW w:w="965" w:type="dxa"/>
          </w:tcPr>
          <w:p w14:paraId="6181840C" w14:textId="77777777" w:rsidR="00DC08FB" w:rsidRPr="005B5418" w:rsidRDefault="00DC08FB" w:rsidP="003B61E9">
            <w:pPr>
              <w:pStyle w:val="Table-Cell-CenterBoldBefore6ptAfter6pt"/>
            </w:pPr>
          </w:p>
        </w:tc>
        <w:tc>
          <w:tcPr>
            <w:tcW w:w="3211" w:type="dxa"/>
          </w:tcPr>
          <w:p w14:paraId="40B3B074" w14:textId="77777777" w:rsidR="00DC08FB" w:rsidRPr="005B5418" w:rsidRDefault="00DC08FB" w:rsidP="003B61E9">
            <w:pPr>
              <w:spacing w:line="240" w:lineRule="auto"/>
            </w:pPr>
          </w:p>
        </w:tc>
      </w:tr>
      <w:tr w:rsidR="008B71C0" w:rsidRPr="005B5418" w14:paraId="24D300B9" w14:textId="77777777" w:rsidTr="005A3385">
        <w:trPr>
          <w:trHeight w:val="3266"/>
        </w:trPr>
        <w:tc>
          <w:tcPr>
            <w:tcW w:w="5400" w:type="dxa"/>
          </w:tcPr>
          <w:p w14:paraId="0E7993EE" w14:textId="21D09437" w:rsidR="008B71C0" w:rsidRPr="005B5418" w:rsidRDefault="008B71C0" w:rsidP="00343610">
            <w:pPr>
              <w:pStyle w:val="FAM-Table-outline"/>
              <w:widowControl/>
              <w:numPr>
                <w:ilvl w:val="0"/>
                <w:numId w:val="34"/>
              </w:numPr>
              <w:adjustRightInd/>
              <w:spacing w:line="240" w:lineRule="auto"/>
              <w:textAlignment w:val="auto"/>
            </w:pPr>
            <w:r w:rsidRPr="005B5418">
              <w:t>Is the value of the federal government’s estimated royalties and other revenue disclosed in the RSI as part of the discussion of federal natural resources, other than oil and gas, consistent with SFFAS 38, par</w:t>
            </w:r>
            <w:r w:rsidR="00E204C0" w:rsidRPr="005B5418">
              <w:t>agraph</w:t>
            </w:r>
            <w:r w:rsidRPr="005B5418">
              <w:t xml:space="preserve"> 15, when</w:t>
            </w:r>
          </w:p>
          <w:p w14:paraId="692CC96E" w14:textId="45A80154" w:rsidR="008B71C0" w:rsidRPr="005B5418" w:rsidRDefault="008B71C0" w:rsidP="005425ED">
            <w:pPr>
              <w:pStyle w:val="FAM-Table-outline2"/>
              <w:spacing w:line="240" w:lineRule="auto"/>
              <w:ind w:left="1140" w:hanging="443"/>
            </w:pPr>
            <w:r w:rsidRPr="005B5418">
              <w:t>under lease, contract</w:t>
            </w:r>
            <w:r w:rsidR="00E84548" w:rsidRPr="005B5418">
              <w:t>,</w:t>
            </w:r>
            <w:r w:rsidRPr="005B5418">
              <w:t xml:space="preserve"> or other long-term agreement for non</w:t>
            </w:r>
            <w:r w:rsidR="00B263D6" w:rsidRPr="005B5418">
              <w:t>-</w:t>
            </w:r>
            <w:r w:rsidRPr="005B5418">
              <w:t xml:space="preserve">oil and gas federal natural resources and </w:t>
            </w:r>
          </w:p>
          <w:p w14:paraId="76387519" w14:textId="08FBD760" w:rsidR="008B71C0" w:rsidRPr="005B5418" w:rsidRDefault="008B71C0" w:rsidP="005425ED">
            <w:pPr>
              <w:pStyle w:val="FAM-Table-outline2"/>
              <w:spacing w:line="240" w:lineRule="auto"/>
              <w:ind w:left="1140" w:hanging="443"/>
            </w:pPr>
            <w:r w:rsidRPr="005B5418">
              <w:t>reasonably estimable as of the reporting date? (TB 2011-1, par</w:t>
            </w:r>
            <w:r w:rsidR="00E204C0" w:rsidRPr="005B5418">
              <w:t>a</w:t>
            </w:r>
            <w:r w:rsidRPr="005B5418">
              <w:t>. 17)</w:t>
            </w:r>
          </w:p>
        </w:tc>
        <w:tc>
          <w:tcPr>
            <w:tcW w:w="965" w:type="dxa"/>
          </w:tcPr>
          <w:p w14:paraId="6EF12EC0" w14:textId="77777777" w:rsidR="008B71C0" w:rsidRPr="005B5418" w:rsidRDefault="008B71C0" w:rsidP="003B61E9">
            <w:pPr>
              <w:pStyle w:val="Table-Cell-CenterBoldBefore6ptAfter6pt"/>
            </w:pPr>
          </w:p>
        </w:tc>
        <w:tc>
          <w:tcPr>
            <w:tcW w:w="3211" w:type="dxa"/>
          </w:tcPr>
          <w:p w14:paraId="359B6088" w14:textId="77777777" w:rsidR="008B71C0" w:rsidRPr="005B5418" w:rsidRDefault="008B71C0" w:rsidP="003B61E9">
            <w:pPr>
              <w:spacing w:line="240" w:lineRule="auto"/>
            </w:pPr>
          </w:p>
        </w:tc>
      </w:tr>
      <w:tr w:rsidR="008B71C0" w:rsidRPr="005B5418" w14:paraId="659A1581" w14:textId="77777777" w:rsidTr="002D4ACC">
        <w:trPr>
          <w:trHeight w:val="1745"/>
        </w:trPr>
        <w:tc>
          <w:tcPr>
            <w:tcW w:w="5400" w:type="dxa"/>
          </w:tcPr>
          <w:p w14:paraId="4DCF7F57" w14:textId="10AAF146" w:rsidR="008B71C0" w:rsidRPr="005B5418" w:rsidRDefault="008B71C0" w:rsidP="00343610">
            <w:pPr>
              <w:pStyle w:val="FAM-Table-outline"/>
              <w:widowControl/>
              <w:numPr>
                <w:ilvl w:val="0"/>
                <w:numId w:val="34"/>
              </w:numPr>
              <w:adjustRightInd/>
              <w:spacing w:line="240" w:lineRule="auto"/>
              <w:textAlignment w:val="auto"/>
            </w:pPr>
            <w:r w:rsidRPr="005B5418">
              <w:t>Is the value of the federal government’s estimated royalties and other revenue from the reporting entity’s federal natural resources under lease</w:t>
            </w:r>
            <w:r w:rsidR="002F008F" w:rsidRPr="005B5418">
              <w:t>,</w:t>
            </w:r>
            <w:r w:rsidRPr="005B5418">
              <w:t xml:space="preserve"> contract</w:t>
            </w:r>
            <w:r w:rsidR="002F008F" w:rsidRPr="005B5418">
              <w:t>,</w:t>
            </w:r>
            <w:r w:rsidRPr="005B5418">
              <w:t xml:space="preserve"> or other long-term agreement reported by major types of natural resources?</w:t>
            </w:r>
            <w:r w:rsidRPr="005B5418">
              <w:rPr>
                <w:vertAlign w:val="superscript"/>
              </w:rPr>
              <w:footnoteReference w:id="266"/>
            </w:r>
            <w:r w:rsidRPr="005B5418">
              <w:t xml:space="preserve"> (TB 2011-1, par</w:t>
            </w:r>
            <w:r w:rsidR="00E204C0" w:rsidRPr="005B5418">
              <w:t>a</w:t>
            </w:r>
            <w:r w:rsidRPr="005B5418">
              <w:t>. 18)</w:t>
            </w:r>
          </w:p>
        </w:tc>
        <w:tc>
          <w:tcPr>
            <w:tcW w:w="965" w:type="dxa"/>
          </w:tcPr>
          <w:p w14:paraId="2C55070C" w14:textId="77777777" w:rsidR="008B71C0" w:rsidRPr="005B5418" w:rsidRDefault="008B71C0" w:rsidP="003B61E9">
            <w:pPr>
              <w:pStyle w:val="Table-Cell-CenterBoldBefore6ptAfter6pt"/>
            </w:pPr>
          </w:p>
        </w:tc>
        <w:tc>
          <w:tcPr>
            <w:tcW w:w="3211" w:type="dxa"/>
          </w:tcPr>
          <w:p w14:paraId="54FC140D" w14:textId="77777777" w:rsidR="008B71C0" w:rsidRPr="005B5418" w:rsidRDefault="008B71C0" w:rsidP="003B61E9">
            <w:pPr>
              <w:spacing w:line="240" w:lineRule="auto"/>
            </w:pPr>
          </w:p>
        </w:tc>
      </w:tr>
      <w:tr w:rsidR="008B71C0" w:rsidRPr="005B5418" w14:paraId="1F3D4AC4" w14:textId="77777777" w:rsidTr="002D4ACC">
        <w:trPr>
          <w:trHeight w:val="1520"/>
        </w:trPr>
        <w:tc>
          <w:tcPr>
            <w:tcW w:w="5400" w:type="dxa"/>
          </w:tcPr>
          <w:p w14:paraId="6337ED72" w14:textId="2594B759" w:rsidR="008B71C0" w:rsidRPr="005B5418" w:rsidRDefault="008B71C0" w:rsidP="00343610">
            <w:pPr>
              <w:pStyle w:val="FAM-Table-outline"/>
              <w:widowControl/>
              <w:numPr>
                <w:ilvl w:val="0"/>
                <w:numId w:val="34"/>
              </w:numPr>
              <w:adjustRightInd/>
              <w:spacing w:line="240" w:lineRule="auto"/>
              <w:textAlignment w:val="auto"/>
            </w:pPr>
            <w:r w:rsidRPr="005B5418">
              <w:lastRenderedPageBreak/>
              <w:t>Are each of the individual calculations reported separately and summed together to arrive to the reporting entity’s total estimated natural resources under lease, contract, or other long-term agreement? (TB 2011-1, par</w:t>
            </w:r>
            <w:r w:rsidR="003B02B1" w:rsidRPr="005B5418">
              <w:t>a</w:t>
            </w:r>
            <w:r w:rsidRPr="005B5418">
              <w:t>. 18)</w:t>
            </w:r>
          </w:p>
        </w:tc>
        <w:tc>
          <w:tcPr>
            <w:tcW w:w="965" w:type="dxa"/>
          </w:tcPr>
          <w:p w14:paraId="739D2AB8" w14:textId="77777777" w:rsidR="008B71C0" w:rsidRPr="005B5418" w:rsidRDefault="008B71C0" w:rsidP="003B61E9">
            <w:pPr>
              <w:pStyle w:val="Table-Cell-CenterBoldBefore6ptAfter6pt"/>
            </w:pPr>
          </w:p>
        </w:tc>
        <w:tc>
          <w:tcPr>
            <w:tcW w:w="3211" w:type="dxa"/>
          </w:tcPr>
          <w:p w14:paraId="6F7CBBCB" w14:textId="77777777" w:rsidR="008B71C0" w:rsidRPr="005B5418" w:rsidRDefault="008B71C0" w:rsidP="003B61E9">
            <w:pPr>
              <w:spacing w:line="240" w:lineRule="auto"/>
            </w:pPr>
          </w:p>
        </w:tc>
      </w:tr>
      <w:tr w:rsidR="008B71C0" w:rsidRPr="005B5418" w14:paraId="5C79EC95" w14:textId="77777777" w:rsidTr="002D4ACC">
        <w:trPr>
          <w:trHeight w:val="1979"/>
        </w:trPr>
        <w:tc>
          <w:tcPr>
            <w:tcW w:w="5400" w:type="dxa"/>
          </w:tcPr>
          <w:p w14:paraId="0D6A09F6" w14:textId="3EB57E1A" w:rsidR="008B71C0" w:rsidRPr="005B5418" w:rsidRDefault="008B71C0" w:rsidP="00343610">
            <w:pPr>
              <w:pStyle w:val="FAM-Table-outline"/>
              <w:widowControl/>
              <w:numPr>
                <w:ilvl w:val="0"/>
                <w:numId w:val="34"/>
              </w:numPr>
              <w:adjustRightInd/>
              <w:spacing w:line="240" w:lineRule="auto"/>
              <w:textAlignment w:val="auto"/>
            </w:pPr>
            <w:r w:rsidRPr="005B5418">
              <w:t>If the majority of the reporting entity’s estimated revenue from natural resources under lease</w:t>
            </w:r>
            <w:r w:rsidR="002F008F" w:rsidRPr="005B5418">
              <w:t>,</w:t>
            </w:r>
            <w:r w:rsidRPr="005B5418">
              <w:t xml:space="preserve"> contract</w:t>
            </w:r>
            <w:r w:rsidR="002F008F" w:rsidRPr="005B5418">
              <w:t>,</w:t>
            </w:r>
            <w:r w:rsidRPr="005B5418">
              <w:t xml:space="preserve"> or other long-term agreement is designated to be distributed to others, </w:t>
            </w:r>
            <w:r w:rsidR="003B02B1" w:rsidRPr="005B5418">
              <w:t xml:space="preserve">is </w:t>
            </w:r>
            <w:r w:rsidRPr="005B5418">
              <w:t>the value of the revenue to be distributed estimated and reported in a schedule of estimated revenue to be distributed to others? (TB 2011-1, par</w:t>
            </w:r>
            <w:r w:rsidR="003B02B1" w:rsidRPr="005B5418">
              <w:t>a</w:t>
            </w:r>
            <w:r w:rsidRPr="005B5418">
              <w:t>. 19)</w:t>
            </w:r>
          </w:p>
        </w:tc>
        <w:tc>
          <w:tcPr>
            <w:tcW w:w="965" w:type="dxa"/>
          </w:tcPr>
          <w:p w14:paraId="380CE428" w14:textId="77777777" w:rsidR="008B71C0" w:rsidRPr="005B5418" w:rsidRDefault="008B71C0" w:rsidP="003B61E9">
            <w:pPr>
              <w:pStyle w:val="Table-Cell-CenterBoldBefore6ptAfter6pt"/>
            </w:pPr>
          </w:p>
        </w:tc>
        <w:tc>
          <w:tcPr>
            <w:tcW w:w="3211" w:type="dxa"/>
          </w:tcPr>
          <w:p w14:paraId="61999870" w14:textId="77777777" w:rsidR="008B71C0" w:rsidRPr="005B5418" w:rsidRDefault="008B71C0" w:rsidP="003B61E9">
            <w:pPr>
              <w:spacing w:line="240" w:lineRule="auto"/>
            </w:pPr>
          </w:p>
        </w:tc>
      </w:tr>
      <w:tr w:rsidR="008B71C0" w:rsidRPr="005B5418" w14:paraId="2086C7D8" w14:textId="77777777" w:rsidTr="002D4ACC">
        <w:trPr>
          <w:trHeight w:val="1592"/>
        </w:trPr>
        <w:tc>
          <w:tcPr>
            <w:tcW w:w="5400" w:type="dxa"/>
          </w:tcPr>
          <w:p w14:paraId="4C75FF8C" w14:textId="70F1DB4D" w:rsidR="008B71C0" w:rsidRPr="005B5418" w:rsidRDefault="008B71C0" w:rsidP="00343610">
            <w:pPr>
              <w:pStyle w:val="FAM-Table-outline"/>
              <w:widowControl/>
              <w:numPr>
                <w:ilvl w:val="0"/>
                <w:numId w:val="34"/>
              </w:numPr>
              <w:adjustRightInd/>
              <w:spacing w:line="240" w:lineRule="auto"/>
              <w:textAlignment w:val="auto"/>
            </w:pPr>
            <w:r w:rsidRPr="005B5418">
              <w:t>Do the narratives of the schedules to be presented in the RSI include a concise statement explaining how the management of the reporting entity’s federal natural resources is important to the overall mission of the entity? (TB 2011-1, par</w:t>
            </w:r>
            <w:r w:rsidR="003B02B1" w:rsidRPr="005B5418">
              <w:t>a</w:t>
            </w:r>
            <w:r w:rsidRPr="005B5418">
              <w:t>. 27(a))</w:t>
            </w:r>
          </w:p>
        </w:tc>
        <w:tc>
          <w:tcPr>
            <w:tcW w:w="965" w:type="dxa"/>
          </w:tcPr>
          <w:p w14:paraId="65D97B85" w14:textId="77777777" w:rsidR="008B71C0" w:rsidRPr="005B5418" w:rsidRDefault="008B71C0" w:rsidP="003B61E9">
            <w:pPr>
              <w:pStyle w:val="Table-Cell-CenterBoldBefore6ptAfter6pt"/>
            </w:pPr>
          </w:p>
        </w:tc>
        <w:tc>
          <w:tcPr>
            <w:tcW w:w="3211" w:type="dxa"/>
          </w:tcPr>
          <w:p w14:paraId="6364791A" w14:textId="77777777" w:rsidR="008B71C0" w:rsidRPr="005B5418" w:rsidRDefault="008B71C0" w:rsidP="003B61E9">
            <w:pPr>
              <w:spacing w:line="240" w:lineRule="auto"/>
            </w:pPr>
          </w:p>
        </w:tc>
      </w:tr>
      <w:tr w:rsidR="008B71C0" w:rsidRPr="005B5418" w14:paraId="28783059" w14:textId="77777777" w:rsidTr="008848DA">
        <w:trPr>
          <w:trHeight w:val="1340"/>
        </w:trPr>
        <w:tc>
          <w:tcPr>
            <w:tcW w:w="5400" w:type="dxa"/>
          </w:tcPr>
          <w:p w14:paraId="6DAD646F" w14:textId="75C7D72C" w:rsidR="008B71C0" w:rsidRPr="005B5418" w:rsidRDefault="008B71C0" w:rsidP="00343610">
            <w:pPr>
              <w:pStyle w:val="FAM-Table-outline"/>
              <w:widowControl/>
              <w:numPr>
                <w:ilvl w:val="0"/>
                <w:numId w:val="34"/>
              </w:numPr>
              <w:adjustRightInd/>
              <w:spacing w:line="240" w:lineRule="auto"/>
              <w:textAlignment w:val="auto"/>
            </w:pPr>
            <w:r w:rsidRPr="005B5418">
              <w:t xml:space="preserve">Do the narratives of the schedules to be presented in the RSI </w:t>
            </w:r>
            <w:r w:rsidR="003B02B1" w:rsidRPr="005B5418">
              <w:t xml:space="preserve">briefly describe </w:t>
            </w:r>
            <w:r w:rsidRPr="005B5418">
              <w:t>the entity’s stewardship policies</w:t>
            </w:r>
            <w:r w:rsidR="003B02B1" w:rsidRPr="005B5418">
              <w:t xml:space="preserve"> for federal natural resources?</w:t>
            </w:r>
            <w:r w:rsidRPr="005B5418">
              <w:rPr>
                <w:vertAlign w:val="superscript"/>
              </w:rPr>
              <w:footnoteReference w:id="267"/>
            </w:r>
            <w:r w:rsidRPr="005B5418">
              <w:t xml:space="preserve"> (TB 2011-1, par</w:t>
            </w:r>
            <w:r w:rsidR="003B02B1" w:rsidRPr="005B5418">
              <w:t>a</w:t>
            </w:r>
            <w:r w:rsidRPr="005B5418">
              <w:t>. 27(b))</w:t>
            </w:r>
          </w:p>
        </w:tc>
        <w:tc>
          <w:tcPr>
            <w:tcW w:w="965" w:type="dxa"/>
          </w:tcPr>
          <w:p w14:paraId="2FF2F4A8" w14:textId="77777777" w:rsidR="008B71C0" w:rsidRPr="005B5418" w:rsidRDefault="008B71C0" w:rsidP="003B61E9">
            <w:pPr>
              <w:pStyle w:val="Table-Cell-CenterBoldBefore6ptAfter6pt"/>
            </w:pPr>
          </w:p>
        </w:tc>
        <w:tc>
          <w:tcPr>
            <w:tcW w:w="3211" w:type="dxa"/>
          </w:tcPr>
          <w:p w14:paraId="16A08E1A" w14:textId="77777777" w:rsidR="008B71C0" w:rsidRPr="005B5418" w:rsidRDefault="008B71C0" w:rsidP="003B61E9">
            <w:pPr>
              <w:spacing w:line="240" w:lineRule="auto"/>
            </w:pPr>
          </w:p>
        </w:tc>
      </w:tr>
      <w:tr w:rsidR="008B71C0" w:rsidRPr="005B5418" w14:paraId="189B7759" w14:textId="77777777" w:rsidTr="00EB3718">
        <w:trPr>
          <w:trHeight w:val="449"/>
        </w:trPr>
        <w:tc>
          <w:tcPr>
            <w:tcW w:w="5400" w:type="dxa"/>
          </w:tcPr>
          <w:p w14:paraId="25E382F3" w14:textId="0F12048A" w:rsidR="008B71C0" w:rsidRPr="005B5418" w:rsidRDefault="008B71C0" w:rsidP="00343610">
            <w:pPr>
              <w:pStyle w:val="FAM-Table-outline"/>
              <w:widowControl/>
              <w:numPr>
                <w:ilvl w:val="0"/>
                <w:numId w:val="34"/>
              </w:numPr>
              <w:adjustRightInd/>
              <w:spacing w:line="240" w:lineRule="auto"/>
              <w:textAlignment w:val="auto"/>
            </w:pPr>
            <w:r w:rsidRPr="005B5418">
              <w:t xml:space="preserve">Do the narratives of the schedules presented in the RSI </w:t>
            </w:r>
            <w:r w:rsidR="003B02B1" w:rsidRPr="005B5418">
              <w:t>describe</w:t>
            </w:r>
            <w:r w:rsidR="00E06DF5" w:rsidRPr="005B5418">
              <w:t xml:space="preserve"> the estimation</w:t>
            </w:r>
            <w:r w:rsidRPr="005B5418">
              <w:t xml:space="preserve"> methodology used to calculate the value of the federal reporting entity’s natural resources under lease, contract, or other long-term agreements</w:t>
            </w:r>
            <w:r w:rsidR="003B02B1" w:rsidRPr="005B5418">
              <w:t>,</w:t>
            </w:r>
            <w:r w:rsidRPr="005B5418">
              <w:t xml:space="preserve"> includ</w:t>
            </w:r>
            <w:r w:rsidR="003B02B1" w:rsidRPr="005B5418">
              <w:t>ing</w:t>
            </w:r>
          </w:p>
          <w:p w14:paraId="24237C18" w14:textId="6BF9B7A9" w:rsidR="008B71C0" w:rsidRPr="005B5418" w:rsidRDefault="008B71C0" w:rsidP="005425ED">
            <w:pPr>
              <w:pStyle w:val="FAM-Table-outline2"/>
              <w:spacing w:line="240" w:lineRule="auto"/>
              <w:ind w:left="1140" w:hanging="443"/>
            </w:pPr>
            <w:r w:rsidRPr="005B5418">
              <w:t>a plain English explanation of the measurement attribute or method (e.g., present value);</w:t>
            </w:r>
          </w:p>
          <w:p w14:paraId="005C7A11" w14:textId="6BB4A9DF" w:rsidR="008B71C0" w:rsidRPr="005B5418" w:rsidRDefault="008B71C0" w:rsidP="005425ED">
            <w:pPr>
              <w:pStyle w:val="FAM-Table-outline2"/>
              <w:spacing w:line="240" w:lineRule="auto"/>
              <w:ind w:left="1140" w:hanging="443"/>
            </w:pPr>
            <w:r w:rsidRPr="005B5418">
              <w:t>the significant assumptions incorporated into the estimate; and</w:t>
            </w:r>
          </w:p>
          <w:p w14:paraId="76C38D61" w14:textId="2D0231DA" w:rsidR="008B71C0" w:rsidRPr="005B5418" w:rsidRDefault="008624C2" w:rsidP="005425ED">
            <w:pPr>
              <w:pStyle w:val="FAM-Table-outline2"/>
              <w:spacing w:line="240" w:lineRule="auto"/>
              <w:ind w:left="1140" w:hanging="443"/>
            </w:pPr>
            <w:r w:rsidRPr="005B5418">
              <w:t xml:space="preserve">any significant changes in the estimation methodology, including the underlying assumptions from the prior year? (TB </w:t>
            </w:r>
            <w:r w:rsidRPr="005B5418">
              <w:lastRenderedPageBreak/>
              <w:t>2011-1, para. 27(c))</w:t>
            </w:r>
          </w:p>
        </w:tc>
        <w:tc>
          <w:tcPr>
            <w:tcW w:w="965" w:type="dxa"/>
          </w:tcPr>
          <w:p w14:paraId="4713ACB6" w14:textId="77777777" w:rsidR="008B71C0" w:rsidRPr="005B5418" w:rsidRDefault="008B71C0" w:rsidP="003B61E9">
            <w:pPr>
              <w:pStyle w:val="Table-Cell-CenterBoldBefore6ptAfter6pt"/>
            </w:pPr>
          </w:p>
        </w:tc>
        <w:tc>
          <w:tcPr>
            <w:tcW w:w="3211" w:type="dxa"/>
          </w:tcPr>
          <w:p w14:paraId="58D5AEB0" w14:textId="77777777" w:rsidR="008B71C0" w:rsidRPr="005B5418" w:rsidRDefault="008B71C0" w:rsidP="003B61E9">
            <w:pPr>
              <w:spacing w:line="240" w:lineRule="auto"/>
            </w:pPr>
          </w:p>
        </w:tc>
      </w:tr>
      <w:tr w:rsidR="008B71C0" w:rsidRPr="005B5418" w14:paraId="6308996E" w14:textId="77777777" w:rsidTr="002D4ACC">
        <w:trPr>
          <w:trHeight w:val="1628"/>
        </w:trPr>
        <w:tc>
          <w:tcPr>
            <w:tcW w:w="5400" w:type="dxa"/>
          </w:tcPr>
          <w:p w14:paraId="1F3E49E8" w14:textId="24A23FDD" w:rsidR="008B71C0" w:rsidRPr="005B5418" w:rsidRDefault="008B71C0" w:rsidP="00343610">
            <w:pPr>
              <w:pStyle w:val="FAM-Table-outline"/>
              <w:widowControl/>
              <w:numPr>
                <w:ilvl w:val="0"/>
                <w:numId w:val="34"/>
              </w:numPr>
              <w:adjustRightInd/>
              <w:spacing w:line="240" w:lineRule="auto"/>
              <w:textAlignment w:val="auto"/>
            </w:pPr>
            <w:r w:rsidRPr="005B5418">
              <w:t>Do the narratives of the schedules presented in the RSI include a reference to the source reports used to calculate the value of the federal reporting entity’s estimated natural resources under lease, contract, or other long-term agreements? (TB 2011-1, par</w:t>
            </w:r>
            <w:r w:rsidR="00033AE9" w:rsidRPr="005B5418">
              <w:t>a</w:t>
            </w:r>
            <w:r w:rsidRPr="005B5418">
              <w:t>. 27(d))</w:t>
            </w:r>
          </w:p>
        </w:tc>
        <w:tc>
          <w:tcPr>
            <w:tcW w:w="965" w:type="dxa"/>
          </w:tcPr>
          <w:p w14:paraId="33A60214" w14:textId="77777777" w:rsidR="008B71C0" w:rsidRPr="005B5418" w:rsidRDefault="008B71C0" w:rsidP="003B61E9">
            <w:pPr>
              <w:pStyle w:val="Table-Cell-CenterBoldBefore6ptAfter6pt"/>
            </w:pPr>
          </w:p>
        </w:tc>
        <w:tc>
          <w:tcPr>
            <w:tcW w:w="3211" w:type="dxa"/>
          </w:tcPr>
          <w:p w14:paraId="02AA86F8" w14:textId="77777777" w:rsidR="008B71C0" w:rsidRPr="005B5418" w:rsidRDefault="008B71C0" w:rsidP="003B61E9">
            <w:pPr>
              <w:spacing w:line="240" w:lineRule="auto"/>
            </w:pPr>
          </w:p>
        </w:tc>
      </w:tr>
      <w:tr w:rsidR="008B71C0" w:rsidRPr="005B5418" w14:paraId="54F43B43" w14:textId="77777777" w:rsidTr="00EB3718">
        <w:trPr>
          <w:trHeight w:val="3311"/>
        </w:trPr>
        <w:tc>
          <w:tcPr>
            <w:tcW w:w="5400" w:type="dxa"/>
          </w:tcPr>
          <w:p w14:paraId="5BF2F9C9" w14:textId="564E951D" w:rsidR="008B71C0" w:rsidRPr="005B5418" w:rsidRDefault="008B71C0" w:rsidP="00343610">
            <w:pPr>
              <w:pStyle w:val="FAM-Table-outline"/>
              <w:widowControl/>
              <w:numPr>
                <w:ilvl w:val="0"/>
                <w:numId w:val="34"/>
              </w:numPr>
              <w:adjustRightInd/>
              <w:spacing w:line="240" w:lineRule="auto"/>
              <w:textAlignment w:val="auto"/>
            </w:pPr>
            <w:r w:rsidRPr="005B5418">
              <w:t>Do the narratives of the schedules to be presented in the RSI</w:t>
            </w:r>
            <w:r w:rsidR="00033AE9" w:rsidRPr="005B5418">
              <w:t xml:space="preserve"> describe and </w:t>
            </w:r>
            <w:r w:rsidRPr="005B5418">
              <w:t xml:space="preserve">display </w:t>
            </w:r>
          </w:p>
          <w:p w14:paraId="13658949" w14:textId="77777777" w:rsidR="008B71C0" w:rsidRPr="005B5418" w:rsidRDefault="008B71C0" w:rsidP="005425ED">
            <w:pPr>
              <w:pStyle w:val="FAM-Table-outline2"/>
              <w:spacing w:line="240" w:lineRule="auto"/>
              <w:ind w:left="1140" w:hanging="443"/>
            </w:pPr>
            <w:r w:rsidRPr="005B5418">
              <w:t>the sales volume;</w:t>
            </w:r>
          </w:p>
          <w:p w14:paraId="39507343" w14:textId="77777777" w:rsidR="008B71C0" w:rsidRPr="005B5418" w:rsidRDefault="008B71C0" w:rsidP="005425ED">
            <w:pPr>
              <w:pStyle w:val="FAM-Table-outline2"/>
              <w:spacing w:line="240" w:lineRule="auto"/>
              <w:ind w:left="1140" w:hanging="443"/>
            </w:pPr>
            <w:r w:rsidRPr="005B5418">
              <w:t>the sales value;</w:t>
            </w:r>
          </w:p>
          <w:p w14:paraId="5E629E97" w14:textId="77777777" w:rsidR="008B71C0" w:rsidRPr="005B5418" w:rsidRDefault="008B71C0" w:rsidP="005425ED">
            <w:pPr>
              <w:pStyle w:val="FAM-Table-outline2"/>
              <w:spacing w:line="240" w:lineRule="auto"/>
              <w:ind w:left="1140" w:hanging="443"/>
            </w:pPr>
            <w:r w:rsidRPr="005B5418">
              <w:t xml:space="preserve">the royalty or other revenue; and </w:t>
            </w:r>
          </w:p>
          <w:p w14:paraId="086AEB1D" w14:textId="221E15E0" w:rsidR="008B71C0" w:rsidRPr="005B5418" w:rsidRDefault="008B71C0" w:rsidP="005425ED">
            <w:pPr>
              <w:pStyle w:val="FAM-Table-outline2"/>
              <w:spacing w:line="240" w:lineRule="auto"/>
              <w:ind w:left="1140" w:hanging="443"/>
            </w:pPr>
            <w:r w:rsidRPr="005B5418">
              <w:t>estimated value of royalty relief or other foregone revenue, if any, that resulted from the extraction and removal of federal natural resources under management by the reporting entity for the reporting period? (TB 2011-1, par</w:t>
            </w:r>
            <w:r w:rsidR="00033AE9" w:rsidRPr="005B5418">
              <w:t>a</w:t>
            </w:r>
            <w:r w:rsidRPr="005B5418">
              <w:t>. 27 (e))</w:t>
            </w:r>
          </w:p>
        </w:tc>
        <w:tc>
          <w:tcPr>
            <w:tcW w:w="965" w:type="dxa"/>
          </w:tcPr>
          <w:p w14:paraId="08CA6C5D" w14:textId="77777777" w:rsidR="008B71C0" w:rsidRPr="005B5418" w:rsidRDefault="008B71C0" w:rsidP="003B61E9">
            <w:pPr>
              <w:pStyle w:val="Table-Cell-CenterBoldBefore6ptAfter6pt"/>
            </w:pPr>
          </w:p>
        </w:tc>
        <w:tc>
          <w:tcPr>
            <w:tcW w:w="3211" w:type="dxa"/>
          </w:tcPr>
          <w:p w14:paraId="58ABE16F" w14:textId="77777777" w:rsidR="008B71C0" w:rsidRPr="005B5418" w:rsidRDefault="008B71C0" w:rsidP="003B61E9">
            <w:pPr>
              <w:spacing w:line="240" w:lineRule="auto"/>
            </w:pPr>
          </w:p>
        </w:tc>
      </w:tr>
      <w:tr w:rsidR="008B71C0" w:rsidRPr="005B5418" w14:paraId="228E6E52" w14:textId="77777777" w:rsidTr="005A3385">
        <w:trPr>
          <w:trHeight w:val="1871"/>
        </w:trPr>
        <w:tc>
          <w:tcPr>
            <w:tcW w:w="5400" w:type="dxa"/>
          </w:tcPr>
          <w:p w14:paraId="38924E4F" w14:textId="3BD36E94" w:rsidR="008B71C0" w:rsidRPr="005B5418" w:rsidRDefault="008B71C0" w:rsidP="00343610">
            <w:pPr>
              <w:pStyle w:val="FAM-Table-outline"/>
              <w:widowControl/>
              <w:numPr>
                <w:ilvl w:val="0"/>
                <w:numId w:val="34"/>
              </w:numPr>
              <w:adjustRightInd/>
              <w:spacing w:line="240" w:lineRule="auto"/>
              <w:textAlignment w:val="auto"/>
            </w:pPr>
            <w:r w:rsidRPr="005B5418">
              <w:t>Do the narratives of the schedules presented in the RSI include a description of other significant natural resources under management by the federal reporting entity because they are not required to be reported in the schedule? (TB 2011-1, par</w:t>
            </w:r>
            <w:r w:rsidR="00033AE9" w:rsidRPr="005B5418">
              <w:t>a</w:t>
            </w:r>
            <w:r w:rsidRPr="005B5418">
              <w:t>. 27 (f))</w:t>
            </w:r>
          </w:p>
        </w:tc>
        <w:tc>
          <w:tcPr>
            <w:tcW w:w="965" w:type="dxa"/>
          </w:tcPr>
          <w:p w14:paraId="5FD305CA" w14:textId="77777777" w:rsidR="008B71C0" w:rsidRPr="005B5418" w:rsidRDefault="008B71C0" w:rsidP="003B61E9">
            <w:pPr>
              <w:pStyle w:val="Table-Cell-CenterBoldBefore6ptAfter6pt"/>
            </w:pPr>
          </w:p>
        </w:tc>
        <w:tc>
          <w:tcPr>
            <w:tcW w:w="3211" w:type="dxa"/>
          </w:tcPr>
          <w:p w14:paraId="3D91EF19" w14:textId="77777777" w:rsidR="008B71C0" w:rsidRPr="005B5418" w:rsidRDefault="008B71C0" w:rsidP="003B61E9">
            <w:pPr>
              <w:spacing w:line="240" w:lineRule="auto"/>
            </w:pPr>
          </w:p>
        </w:tc>
      </w:tr>
    </w:tbl>
    <w:p w14:paraId="4D2B0A44" w14:textId="77777777" w:rsidR="008B71C0" w:rsidRPr="005B5418" w:rsidRDefault="008B71C0" w:rsidP="003B61E9">
      <w:pPr>
        <w:spacing w:line="240" w:lineRule="auto"/>
        <w:rPr>
          <w:rFonts w:cs="Arial"/>
        </w:rPr>
      </w:pPr>
    </w:p>
    <w:p w14:paraId="0735C1AD" w14:textId="77777777" w:rsidR="008B71C0" w:rsidRPr="005B5418" w:rsidRDefault="008B71C0" w:rsidP="003B61E9">
      <w:pPr>
        <w:spacing w:line="240" w:lineRule="auto"/>
        <w:rPr>
          <w:rFonts w:cs="Arial"/>
        </w:rPr>
      </w:pPr>
      <w:r w:rsidRPr="005B5418">
        <w:rPr>
          <w:rFonts w:cs="Arial"/>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8"/>
        <w:gridCol w:w="966"/>
        <w:gridCol w:w="3216"/>
      </w:tblGrid>
      <w:tr w:rsidR="008B71C0" w:rsidRPr="005B5418" w14:paraId="479F573C" w14:textId="77777777" w:rsidTr="006A129A">
        <w:trPr>
          <w:tblHeader/>
        </w:trPr>
        <w:tc>
          <w:tcPr>
            <w:tcW w:w="5400" w:type="dxa"/>
          </w:tcPr>
          <w:p w14:paraId="3453BDB3" w14:textId="77777777" w:rsidR="008B71C0" w:rsidRPr="005B5418" w:rsidRDefault="008B71C0" w:rsidP="008848DA">
            <w:pPr>
              <w:pStyle w:val="Heading4"/>
              <w:spacing w:before="60" w:after="60" w:line="240" w:lineRule="auto"/>
              <w:jc w:val="left"/>
              <w:rPr>
                <w:b/>
                <w:i/>
                <w:u w:val="none"/>
              </w:rPr>
            </w:pPr>
            <w:bookmarkStart w:id="261" w:name="_II.3.9.4_Deferred_Maintenance"/>
            <w:bookmarkStart w:id="262" w:name="_Ref8657520"/>
            <w:bookmarkEnd w:id="261"/>
            <w:r w:rsidRPr="005B5418">
              <w:rPr>
                <w:b/>
                <w:u w:val="none"/>
              </w:rPr>
              <w:lastRenderedPageBreak/>
              <w:t>II.3.</w:t>
            </w:r>
            <w:r w:rsidR="00C73D60" w:rsidRPr="005B5418">
              <w:rPr>
                <w:b/>
                <w:u w:val="none"/>
              </w:rPr>
              <w:t>9</w:t>
            </w:r>
            <w:r w:rsidRPr="005B5418">
              <w:rPr>
                <w:b/>
                <w:u w:val="none"/>
              </w:rPr>
              <w:t>.4 Deferred Maintenance and Repairs</w:t>
            </w:r>
            <w:bookmarkEnd w:id="262"/>
          </w:p>
        </w:tc>
        <w:tc>
          <w:tcPr>
            <w:tcW w:w="965" w:type="dxa"/>
          </w:tcPr>
          <w:p w14:paraId="0BA14A2E" w14:textId="77777777" w:rsidR="008B71C0" w:rsidRPr="005B5418" w:rsidRDefault="008B71C0" w:rsidP="00874A18">
            <w:pPr>
              <w:pStyle w:val="TableCellCenter"/>
              <w:jc w:val="left"/>
            </w:pPr>
            <w:r w:rsidRPr="005B5418">
              <w:t>Yes, No, or N/A</w:t>
            </w:r>
          </w:p>
        </w:tc>
        <w:tc>
          <w:tcPr>
            <w:tcW w:w="3211" w:type="dxa"/>
          </w:tcPr>
          <w:p w14:paraId="45A78B7F" w14:textId="71B9A0C5" w:rsidR="008B71C0" w:rsidRPr="005B5418" w:rsidRDefault="008B71C0" w:rsidP="009176F7">
            <w:pPr>
              <w:pStyle w:val="TableCellCenter"/>
              <w:jc w:val="left"/>
            </w:pPr>
            <w:r w:rsidRPr="005B5418">
              <w:t xml:space="preserve">Explanation </w:t>
            </w:r>
            <w:r w:rsidR="009176F7" w:rsidRPr="005B5418">
              <w:t>and</w:t>
            </w:r>
            <w:r w:rsidRPr="005B5418">
              <w:t xml:space="preserve"> Reference</w:t>
            </w:r>
          </w:p>
        </w:tc>
      </w:tr>
      <w:tr w:rsidR="008B71C0" w:rsidRPr="005B5418" w14:paraId="1E18AEAC" w14:textId="77777777" w:rsidTr="006A129A">
        <w:tc>
          <w:tcPr>
            <w:tcW w:w="9576" w:type="dxa"/>
            <w:gridSpan w:val="3"/>
          </w:tcPr>
          <w:p w14:paraId="46E2794E" w14:textId="5947C064" w:rsidR="008B71C0" w:rsidRPr="005B5418" w:rsidRDefault="008B71C0" w:rsidP="008848DA">
            <w:pPr>
              <w:pStyle w:val="Table-Note"/>
              <w:spacing w:before="60" w:after="60" w:line="240" w:lineRule="auto"/>
              <w:ind w:left="-35"/>
              <w:jc w:val="left"/>
              <w:rPr>
                <w:i w:val="0"/>
                <w:sz w:val="22"/>
                <w:szCs w:val="22"/>
              </w:rPr>
            </w:pPr>
            <w:r w:rsidRPr="005B5418">
              <w:rPr>
                <w:i w:val="0"/>
                <w:sz w:val="22"/>
                <w:szCs w:val="22"/>
              </w:rPr>
              <w:t xml:space="preserve">Maintenance and repairs </w:t>
            </w:r>
            <w:r w:rsidR="00A549F8" w:rsidRPr="005B5418">
              <w:rPr>
                <w:i w:val="0"/>
                <w:sz w:val="22"/>
                <w:szCs w:val="22"/>
              </w:rPr>
              <w:t xml:space="preserve">are </w:t>
            </w:r>
            <w:r w:rsidRPr="005B5418">
              <w:rPr>
                <w:i w:val="0"/>
                <w:sz w:val="22"/>
                <w:szCs w:val="22"/>
              </w:rPr>
              <w:t>the act of keeping fixed assets in acceptable condition</w:t>
            </w:r>
            <w:r w:rsidR="00E84548" w:rsidRPr="005B5418">
              <w:rPr>
                <w:i w:val="0"/>
                <w:sz w:val="22"/>
                <w:szCs w:val="22"/>
              </w:rPr>
              <w:t>.</w:t>
            </w:r>
            <w:r w:rsidRPr="005B5418">
              <w:rPr>
                <w:rStyle w:val="FootnoteReference"/>
                <w:i w:val="0"/>
                <w:sz w:val="22"/>
                <w:szCs w:val="22"/>
              </w:rPr>
              <w:footnoteReference w:id="268"/>
            </w:r>
            <w:r w:rsidRPr="005B5418">
              <w:rPr>
                <w:i w:val="0"/>
                <w:sz w:val="22"/>
                <w:szCs w:val="22"/>
              </w:rPr>
              <w:t xml:space="preserve"> Maintenance and repairs includes preventive maintenance, replacement of parts, systems</w:t>
            </w:r>
            <w:r w:rsidR="00AE3741" w:rsidRPr="005B5418">
              <w:rPr>
                <w:i w:val="0"/>
                <w:sz w:val="22"/>
                <w:szCs w:val="22"/>
              </w:rPr>
              <w:t xml:space="preserve"> or components,</w:t>
            </w:r>
            <w:r w:rsidRPr="005B5418">
              <w:rPr>
                <w:rStyle w:val="FootnoteReference"/>
                <w:i w:val="0"/>
                <w:sz w:val="22"/>
                <w:szCs w:val="22"/>
              </w:rPr>
              <w:footnoteReference w:id="269"/>
            </w:r>
            <w:r w:rsidRPr="005B5418">
              <w:rPr>
                <w:i w:val="0"/>
                <w:sz w:val="22"/>
                <w:szCs w:val="22"/>
              </w:rPr>
              <w:t xml:space="preserve"> and other activities needed to preserve or maintain the asset so that it continues to provide acceptable service and achieves its expected life.</w:t>
            </w:r>
            <w:r w:rsidR="00E84548" w:rsidRPr="005B5418">
              <w:rPr>
                <w:i w:val="0"/>
                <w:sz w:val="22"/>
                <w:szCs w:val="22"/>
              </w:rPr>
              <w:t xml:space="preserve"> </w:t>
            </w:r>
            <w:r w:rsidRPr="005B5418">
              <w:rPr>
                <w:i w:val="0"/>
                <w:sz w:val="22"/>
                <w:szCs w:val="22"/>
              </w:rPr>
              <w:t>(SFFAS 42, par</w:t>
            </w:r>
            <w:r w:rsidR="00AE3741" w:rsidRPr="005B5418">
              <w:rPr>
                <w:i w:val="0"/>
                <w:sz w:val="22"/>
                <w:szCs w:val="22"/>
              </w:rPr>
              <w:t>a</w:t>
            </w:r>
            <w:r w:rsidRPr="005B5418">
              <w:rPr>
                <w:i w:val="0"/>
                <w:sz w:val="22"/>
                <w:szCs w:val="22"/>
              </w:rPr>
              <w:t>. 8)</w:t>
            </w:r>
          </w:p>
          <w:p w14:paraId="79547D60" w14:textId="6A20693C" w:rsidR="008B71C0" w:rsidRPr="005B5418" w:rsidRDefault="008B71C0" w:rsidP="008848DA">
            <w:pPr>
              <w:pStyle w:val="Table-Note"/>
              <w:spacing w:before="60" w:after="60" w:line="240" w:lineRule="auto"/>
              <w:ind w:left="-35"/>
              <w:jc w:val="left"/>
              <w:rPr>
                <w:i w:val="0"/>
                <w:sz w:val="22"/>
                <w:szCs w:val="22"/>
              </w:rPr>
            </w:pPr>
            <w:r w:rsidRPr="005B5418">
              <w:rPr>
                <w:i w:val="0"/>
                <w:sz w:val="22"/>
                <w:szCs w:val="22"/>
              </w:rPr>
              <w:t>Maintenance and repairs exclude activities directed toward expanding the capacity of an asset or otherwise upgrading it to serve needs different from, or significantly greater than, its current use.</w:t>
            </w:r>
            <w:r w:rsidR="00E84548" w:rsidRPr="005B5418">
              <w:rPr>
                <w:i w:val="0"/>
                <w:sz w:val="22"/>
                <w:szCs w:val="22"/>
              </w:rPr>
              <w:t xml:space="preserve"> </w:t>
            </w:r>
            <w:r w:rsidRPr="005B5418">
              <w:rPr>
                <w:i w:val="0"/>
                <w:sz w:val="22"/>
                <w:szCs w:val="22"/>
              </w:rPr>
              <w:t>(SFFAS 42, par</w:t>
            </w:r>
            <w:r w:rsidR="00AE3741" w:rsidRPr="005B5418">
              <w:rPr>
                <w:i w:val="0"/>
                <w:sz w:val="22"/>
                <w:szCs w:val="22"/>
              </w:rPr>
              <w:t>a</w:t>
            </w:r>
            <w:r w:rsidRPr="005B5418">
              <w:rPr>
                <w:i w:val="0"/>
                <w:sz w:val="22"/>
                <w:szCs w:val="22"/>
              </w:rPr>
              <w:t>. 8)</w:t>
            </w:r>
          </w:p>
          <w:p w14:paraId="395AB620" w14:textId="22EC1381" w:rsidR="008B71C0" w:rsidRPr="005B5418" w:rsidRDefault="008B71C0" w:rsidP="008848DA">
            <w:pPr>
              <w:pStyle w:val="Table-Note"/>
              <w:spacing w:before="60" w:after="60" w:line="240" w:lineRule="auto"/>
              <w:ind w:left="-35"/>
              <w:jc w:val="left"/>
              <w:rPr>
                <w:i w:val="0"/>
                <w:sz w:val="22"/>
                <w:szCs w:val="22"/>
              </w:rPr>
            </w:pPr>
            <w:r w:rsidRPr="005B5418">
              <w:rPr>
                <w:i w:val="0"/>
                <w:sz w:val="22"/>
                <w:szCs w:val="22"/>
              </w:rPr>
              <w:t xml:space="preserve">Deferred maintenance and repairs (DM&amp;R) </w:t>
            </w:r>
            <w:r w:rsidR="00674784" w:rsidRPr="005B5418">
              <w:rPr>
                <w:i w:val="0"/>
                <w:sz w:val="22"/>
                <w:szCs w:val="22"/>
              </w:rPr>
              <w:t>are</w:t>
            </w:r>
            <w:r w:rsidR="00A549F8" w:rsidRPr="005B5418">
              <w:rPr>
                <w:i w:val="0"/>
                <w:sz w:val="22"/>
                <w:szCs w:val="22"/>
              </w:rPr>
              <w:t xml:space="preserve"> </w:t>
            </w:r>
            <w:r w:rsidRPr="005B5418">
              <w:rPr>
                <w:i w:val="0"/>
                <w:sz w:val="22"/>
                <w:szCs w:val="22"/>
              </w:rPr>
              <w:t>maintenance and repairs that were not performed when it should have been, or was scheduled to be, and that therefore is put off or delayed for a future period. (SFFAS 42, par</w:t>
            </w:r>
            <w:r w:rsidR="00AE3741" w:rsidRPr="005B5418">
              <w:rPr>
                <w:i w:val="0"/>
                <w:sz w:val="22"/>
                <w:szCs w:val="22"/>
              </w:rPr>
              <w:t>a</w:t>
            </w:r>
            <w:r w:rsidRPr="005B5418">
              <w:rPr>
                <w:i w:val="0"/>
                <w:sz w:val="22"/>
                <w:szCs w:val="22"/>
              </w:rPr>
              <w:t xml:space="preserve">. </w:t>
            </w:r>
            <w:r w:rsidR="00917E40" w:rsidRPr="005B5418">
              <w:rPr>
                <w:i w:val="0"/>
                <w:sz w:val="22"/>
                <w:szCs w:val="22"/>
              </w:rPr>
              <w:t>7; A</w:t>
            </w:r>
            <w:r w:rsidRPr="005B5418">
              <w:rPr>
                <w:i w:val="0"/>
                <w:sz w:val="22"/>
                <w:szCs w:val="22"/>
              </w:rPr>
              <w:t>-136, section II.3.</w:t>
            </w:r>
            <w:r w:rsidR="006E3569" w:rsidRPr="005B5418">
              <w:rPr>
                <w:i w:val="0"/>
                <w:sz w:val="22"/>
                <w:szCs w:val="22"/>
              </w:rPr>
              <w:t>9</w:t>
            </w:r>
            <w:r w:rsidRPr="005B5418">
              <w:rPr>
                <w:i w:val="0"/>
                <w:sz w:val="22"/>
                <w:szCs w:val="22"/>
              </w:rPr>
              <w:t>.4)</w:t>
            </w:r>
            <w:r w:rsidR="008E4E89" w:rsidRPr="005B5418">
              <w:rPr>
                <w:i w:val="0"/>
                <w:sz w:val="22"/>
                <w:szCs w:val="22"/>
              </w:rPr>
              <w:t xml:space="preserve"> </w:t>
            </w:r>
            <w:r w:rsidR="00AE3741" w:rsidRPr="005B5418">
              <w:rPr>
                <w:i w:val="0"/>
                <w:sz w:val="22"/>
                <w:szCs w:val="22"/>
              </w:rPr>
              <w:t>DM&amp;R</w:t>
            </w:r>
            <w:r w:rsidR="008E4E89" w:rsidRPr="005B5418">
              <w:rPr>
                <w:i w:val="0"/>
                <w:sz w:val="22"/>
                <w:szCs w:val="22"/>
              </w:rPr>
              <w:t xml:space="preserve"> </w:t>
            </w:r>
            <w:r w:rsidR="00AE3741" w:rsidRPr="005B5418">
              <w:rPr>
                <w:i w:val="0"/>
                <w:sz w:val="22"/>
                <w:szCs w:val="22"/>
              </w:rPr>
              <w:t xml:space="preserve">is </w:t>
            </w:r>
            <w:r w:rsidR="008E4E89" w:rsidRPr="005B5418">
              <w:rPr>
                <w:i w:val="0"/>
                <w:sz w:val="22"/>
                <w:szCs w:val="22"/>
              </w:rPr>
              <w:t xml:space="preserve">not accrued in the </w:t>
            </w:r>
            <w:r w:rsidR="00E84548" w:rsidRPr="005B5418">
              <w:rPr>
                <w:i w:val="0"/>
                <w:sz w:val="22"/>
                <w:szCs w:val="22"/>
              </w:rPr>
              <w:t>SNC</w:t>
            </w:r>
            <w:r w:rsidR="008E4E89" w:rsidRPr="005B5418">
              <w:rPr>
                <w:i w:val="0"/>
                <w:sz w:val="22"/>
                <w:szCs w:val="22"/>
              </w:rPr>
              <w:t xml:space="preserve"> and </w:t>
            </w:r>
            <w:r w:rsidR="00316F43" w:rsidRPr="005B5418">
              <w:rPr>
                <w:i w:val="0"/>
                <w:sz w:val="22"/>
                <w:szCs w:val="22"/>
              </w:rPr>
              <w:t xml:space="preserve">is </w:t>
            </w:r>
            <w:r w:rsidR="008E4E89" w:rsidRPr="005B5418">
              <w:rPr>
                <w:i w:val="0"/>
                <w:sz w:val="22"/>
                <w:szCs w:val="22"/>
              </w:rPr>
              <w:t xml:space="preserve">not recognized as a liability on the </w:t>
            </w:r>
            <w:r w:rsidR="001B5C17" w:rsidRPr="005B5418">
              <w:rPr>
                <w:i w:val="0"/>
                <w:sz w:val="22"/>
                <w:szCs w:val="22"/>
              </w:rPr>
              <w:t>balance sheet</w:t>
            </w:r>
            <w:r w:rsidR="008E4E89" w:rsidRPr="005B5418">
              <w:rPr>
                <w:i w:val="0"/>
                <w:sz w:val="22"/>
                <w:szCs w:val="22"/>
              </w:rPr>
              <w:t>.</w:t>
            </w:r>
          </w:p>
          <w:p w14:paraId="6809B2FA" w14:textId="2D27A499" w:rsidR="008B71C0" w:rsidRPr="005B5418" w:rsidRDefault="008B71C0" w:rsidP="008848DA">
            <w:pPr>
              <w:pStyle w:val="Table-Note"/>
              <w:spacing w:before="60" w:after="60" w:line="240" w:lineRule="auto"/>
              <w:ind w:left="-35"/>
              <w:jc w:val="left"/>
              <w:rPr>
                <w:i w:val="0"/>
                <w:sz w:val="22"/>
                <w:szCs w:val="22"/>
              </w:rPr>
            </w:pPr>
            <w:r w:rsidRPr="005B5418">
              <w:rPr>
                <w:i w:val="0"/>
                <w:sz w:val="22"/>
                <w:szCs w:val="22"/>
              </w:rPr>
              <w:t>Amounts reported for DM&amp;R may be measured using condition assessment surveys, life-cycle cost forecasts, or other methods that are similar to the condition assessment survey or life cycle costing methods.</w:t>
            </w:r>
          </w:p>
          <w:p w14:paraId="57241A5A" w14:textId="79024904" w:rsidR="008B71C0" w:rsidRPr="005B5418" w:rsidRDefault="008B71C0" w:rsidP="008848DA">
            <w:pPr>
              <w:pStyle w:val="Table-Note"/>
              <w:spacing w:before="60" w:after="60" w:line="240" w:lineRule="auto"/>
              <w:ind w:left="-35"/>
              <w:jc w:val="left"/>
              <w:rPr>
                <w:i w:val="0"/>
                <w:sz w:val="22"/>
                <w:szCs w:val="22"/>
              </w:rPr>
            </w:pPr>
            <w:r w:rsidRPr="005B5418">
              <w:rPr>
                <w:i w:val="0"/>
                <w:sz w:val="22"/>
                <w:szCs w:val="22"/>
              </w:rPr>
              <w:t xml:space="preserve">Condition assessment surveys are periodic visual inspections of PP&amp;E, based on generally accepted and consistently applied methods, to determine PP&amp;E’s current condition and the estimated cost to correct any deficiencies. </w:t>
            </w:r>
          </w:p>
          <w:p w14:paraId="1F13E05D" w14:textId="1BD159A3" w:rsidR="008B71C0" w:rsidRPr="005B5418" w:rsidRDefault="008B71C0" w:rsidP="008848DA">
            <w:pPr>
              <w:pStyle w:val="Table-Note"/>
              <w:spacing w:before="60" w:after="60" w:line="240" w:lineRule="auto"/>
              <w:ind w:left="-35"/>
              <w:jc w:val="left"/>
              <w:rPr>
                <w:i w:val="0"/>
                <w:sz w:val="22"/>
                <w:szCs w:val="22"/>
              </w:rPr>
            </w:pPr>
            <w:r w:rsidRPr="005B5418">
              <w:rPr>
                <w:i w:val="0"/>
                <w:sz w:val="22"/>
                <w:szCs w:val="22"/>
              </w:rPr>
              <w:t>Life cycle costing is an acquisition or procurement technique that considers operating, maintenance, and other costs in addition to the acquisition cost of assets. (SFFAS 42, par</w:t>
            </w:r>
            <w:r w:rsidR="000D47D4" w:rsidRPr="005B5418">
              <w:rPr>
                <w:i w:val="0"/>
                <w:sz w:val="22"/>
                <w:szCs w:val="22"/>
              </w:rPr>
              <w:t>as</w:t>
            </w:r>
            <w:r w:rsidRPr="005B5418">
              <w:rPr>
                <w:i w:val="0"/>
                <w:sz w:val="22"/>
                <w:szCs w:val="22"/>
              </w:rPr>
              <w:t>. 9</w:t>
            </w:r>
            <w:r w:rsidR="000D47D4" w:rsidRPr="005B5418">
              <w:rPr>
                <w:i w:val="0"/>
                <w:sz w:val="22"/>
                <w:szCs w:val="22"/>
              </w:rPr>
              <w:t>–</w:t>
            </w:r>
            <w:r w:rsidRPr="005B5418">
              <w:rPr>
                <w:i w:val="0"/>
                <w:sz w:val="22"/>
                <w:szCs w:val="22"/>
              </w:rPr>
              <w:t>11)</w:t>
            </w:r>
          </w:p>
          <w:p w14:paraId="1C5F3FB6" w14:textId="7551D237" w:rsidR="008B71C0" w:rsidRPr="005B5418" w:rsidRDefault="003C6CEC">
            <w:pPr>
              <w:pStyle w:val="Table-Note"/>
              <w:spacing w:before="60" w:after="60" w:line="240" w:lineRule="auto"/>
              <w:ind w:left="-35"/>
              <w:jc w:val="left"/>
              <w:rPr>
                <w:i w:val="0"/>
                <w:sz w:val="22"/>
                <w:szCs w:val="22"/>
              </w:rPr>
            </w:pPr>
            <w:r w:rsidRPr="005B5418">
              <w:rPr>
                <w:i w:val="0"/>
                <w:sz w:val="22"/>
                <w:szCs w:val="22"/>
              </w:rPr>
              <w:t xml:space="preserve">Consistent with SFFAS 42, paragraph 12, </w:t>
            </w:r>
            <w:r w:rsidR="008B71C0" w:rsidRPr="005B5418">
              <w:rPr>
                <w:i w:val="0"/>
                <w:sz w:val="22"/>
                <w:szCs w:val="22"/>
              </w:rPr>
              <w:t xml:space="preserve">condition standards, related assessment methods, and reporting </w:t>
            </w:r>
            <w:r w:rsidRPr="005B5418">
              <w:rPr>
                <w:i w:val="0"/>
                <w:sz w:val="22"/>
                <w:szCs w:val="22"/>
              </w:rPr>
              <w:t>formats should</w:t>
            </w:r>
            <w:r w:rsidR="004C7F59" w:rsidRPr="005B5418">
              <w:rPr>
                <w:i w:val="0"/>
                <w:sz w:val="22"/>
                <w:szCs w:val="22"/>
              </w:rPr>
              <w:t xml:space="preserve"> </w:t>
            </w:r>
            <w:r w:rsidR="008B71C0" w:rsidRPr="005B5418">
              <w:rPr>
                <w:i w:val="0"/>
                <w:sz w:val="22"/>
                <w:szCs w:val="22"/>
              </w:rPr>
              <w:t>be consistently applied unless management determines that changes are necessary</w:t>
            </w:r>
            <w:r w:rsidR="00E84548" w:rsidRPr="005B5418">
              <w:rPr>
                <w:i w:val="0"/>
                <w:sz w:val="22"/>
                <w:szCs w:val="22"/>
              </w:rPr>
              <w:t>.</w:t>
            </w:r>
            <w:r w:rsidR="008B71C0" w:rsidRPr="005B5418">
              <w:rPr>
                <w:i w:val="0"/>
                <w:sz w:val="22"/>
                <w:szCs w:val="22"/>
              </w:rPr>
              <w:t xml:space="preserve"> (</w:t>
            </w:r>
            <w:r w:rsidR="006E3569" w:rsidRPr="005B5418">
              <w:rPr>
                <w:i w:val="0"/>
                <w:sz w:val="22"/>
                <w:szCs w:val="22"/>
              </w:rPr>
              <w:t>SFFAS 42, para. 12)</w:t>
            </w:r>
            <w:r w:rsidRPr="005B5418">
              <w:rPr>
                <w:i w:val="0"/>
                <w:sz w:val="22"/>
                <w:szCs w:val="22"/>
              </w:rPr>
              <w:t xml:space="preserve"> Changes to condition standards, assessment methods, or reporting formats management determines are necessary should be accompanied by an explanation of the change, the reason for the change, and any related impacts on the DM&amp;R estimate(s).</w:t>
            </w:r>
          </w:p>
          <w:p w14:paraId="412465DE" w14:textId="77777777" w:rsidR="005C44B9" w:rsidRPr="005B5418" w:rsidRDefault="005C44B9">
            <w:pPr>
              <w:pStyle w:val="Table-Note"/>
              <w:spacing w:before="60" w:after="60" w:line="240" w:lineRule="auto"/>
              <w:ind w:left="-35"/>
              <w:jc w:val="left"/>
              <w:rPr>
                <w:i w:val="0"/>
                <w:sz w:val="22"/>
                <w:szCs w:val="22"/>
              </w:rPr>
            </w:pPr>
          </w:p>
          <w:p w14:paraId="79B9E2D3" w14:textId="0901F77D" w:rsidR="005C44B9" w:rsidRPr="005B5418" w:rsidRDefault="007830AD">
            <w:pPr>
              <w:pStyle w:val="Table-Note"/>
              <w:spacing w:before="60" w:after="60" w:line="240" w:lineRule="auto"/>
              <w:ind w:left="-35"/>
              <w:jc w:val="left"/>
              <w:rPr>
                <w:i w:val="0"/>
                <w:sz w:val="22"/>
                <w:szCs w:val="22"/>
              </w:rPr>
            </w:pPr>
            <w:r w:rsidRPr="005B5418">
              <w:rPr>
                <w:i w:val="0"/>
                <w:sz w:val="22"/>
                <w:szCs w:val="22"/>
              </w:rPr>
              <w:t>S</w:t>
            </w:r>
            <w:r w:rsidR="005C44B9" w:rsidRPr="005B5418">
              <w:rPr>
                <w:i w:val="0"/>
                <w:sz w:val="22"/>
                <w:szCs w:val="22"/>
              </w:rPr>
              <w:t xml:space="preserve">ignificant entities </w:t>
            </w:r>
            <w:r w:rsidRPr="005B5418">
              <w:rPr>
                <w:i w:val="0"/>
                <w:sz w:val="22"/>
                <w:szCs w:val="22"/>
              </w:rPr>
              <w:t>are</w:t>
            </w:r>
            <w:r w:rsidR="005C44B9" w:rsidRPr="005B5418">
              <w:rPr>
                <w:i w:val="0"/>
                <w:sz w:val="22"/>
                <w:szCs w:val="22"/>
              </w:rPr>
              <w:t xml:space="preserve"> required to (1) describe their method for estimating </w:t>
            </w:r>
            <w:r w:rsidR="00910219" w:rsidRPr="005B5418">
              <w:rPr>
                <w:i w:val="0"/>
                <w:sz w:val="22"/>
                <w:szCs w:val="22"/>
              </w:rPr>
              <w:t>DM&amp;R</w:t>
            </w:r>
            <w:r w:rsidR="005C44B9" w:rsidRPr="005B5418">
              <w:rPr>
                <w:i w:val="0"/>
                <w:sz w:val="22"/>
                <w:szCs w:val="22"/>
              </w:rPr>
              <w:t xml:space="preserve"> and how inflation in labor and materials costs is used to annually adjust the estimates and (2) report the minimum maintenance and repair amount needed to ensure that mission</w:t>
            </w:r>
            <w:r w:rsidR="00910219" w:rsidRPr="005B5418">
              <w:rPr>
                <w:i w:val="0"/>
                <w:sz w:val="22"/>
                <w:szCs w:val="22"/>
              </w:rPr>
              <w:t>-</w:t>
            </w:r>
            <w:r w:rsidR="005C44B9" w:rsidRPr="005B5418">
              <w:rPr>
                <w:i w:val="0"/>
                <w:sz w:val="22"/>
                <w:szCs w:val="22"/>
              </w:rPr>
              <w:t>critical facilities remain mission capable.</w:t>
            </w:r>
          </w:p>
          <w:p w14:paraId="3074ED74" w14:textId="77777777" w:rsidR="003C6CEC" w:rsidRPr="005B5418" w:rsidRDefault="003C6CEC">
            <w:pPr>
              <w:pStyle w:val="Table-Note"/>
              <w:spacing w:before="60" w:after="60" w:line="240" w:lineRule="auto"/>
              <w:ind w:left="-35"/>
              <w:jc w:val="left"/>
              <w:rPr>
                <w:i w:val="0"/>
                <w:sz w:val="22"/>
                <w:szCs w:val="22"/>
              </w:rPr>
            </w:pPr>
          </w:p>
          <w:p w14:paraId="58931851" w14:textId="7E8A4C7E" w:rsidR="003C6CEC" w:rsidRPr="005B5418" w:rsidRDefault="003C6CEC">
            <w:pPr>
              <w:pStyle w:val="Table-Note"/>
              <w:spacing w:before="60" w:after="60" w:line="240" w:lineRule="auto"/>
              <w:ind w:left="-35"/>
              <w:jc w:val="left"/>
              <w:rPr>
                <w:i w:val="0"/>
                <w:sz w:val="22"/>
                <w:szCs w:val="22"/>
              </w:rPr>
            </w:pPr>
            <w:r w:rsidRPr="005B5418">
              <w:rPr>
                <w:i w:val="0"/>
                <w:sz w:val="22"/>
                <w:szCs w:val="22"/>
              </w:rPr>
              <w:t>This information should not be inconsistent with similar information reported in other entity documents, including budget materials.</w:t>
            </w:r>
            <w:r w:rsidR="004C7F59" w:rsidRPr="005B5418">
              <w:rPr>
                <w:i w:val="0"/>
                <w:sz w:val="22"/>
                <w:szCs w:val="22"/>
              </w:rPr>
              <w:t xml:space="preserve"> (A-136, section II.3.9.4)</w:t>
            </w:r>
          </w:p>
        </w:tc>
      </w:tr>
      <w:tr w:rsidR="00DC08FB" w:rsidRPr="005B5418" w14:paraId="06A49EBF" w14:textId="77777777" w:rsidTr="006A129A">
        <w:trPr>
          <w:trHeight w:val="1061"/>
        </w:trPr>
        <w:tc>
          <w:tcPr>
            <w:tcW w:w="5400" w:type="dxa"/>
          </w:tcPr>
          <w:p w14:paraId="33F1CEC2" w14:textId="6EA80064" w:rsidR="00DC08FB" w:rsidRPr="005B5418" w:rsidRDefault="00DC08FB" w:rsidP="00E078F8">
            <w:pPr>
              <w:pStyle w:val="FAM-Table-outline"/>
              <w:widowControl/>
              <w:numPr>
                <w:ilvl w:val="0"/>
                <w:numId w:val="35"/>
              </w:numPr>
              <w:adjustRightInd/>
              <w:spacing w:line="240" w:lineRule="auto"/>
              <w:textAlignment w:val="auto"/>
            </w:pPr>
            <w:r w:rsidRPr="005B5418">
              <w:t xml:space="preserve">Is this topic applicable to the </w:t>
            </w:r>
            <w:r w:rsidR="00484946" w:rsidRPr="005B5418">
              <w:t>reporting entity</w:t>
            </w:r>
            <w:r w:rsidRPr="005B5418">
              <w:t>? (Answer Y if applicable, N/A if not applicable, or N/S if not significant. If N/A or N/S, skip to the next topic</w:t>
            </w:r>
            <w:r w:rsidR="000D47D4" w:rsidRPr="005B5418">
              <w:t>.</w:t>
            </w:r>
            <w:r w:rsidRPr="005B5418">
              <w:t>)</w:t>
            </w:r>
          </w:p>
        </w:tc>
        <w:tc>
          <w:tcPr>
            <w:tcW w:w="965" w:type="dxa"/>
          </w:tcPr>
          <w:p w14:paraId="5E95ACE2" w14:textId="77777777" w:rsidR="00DC08FB" w:rsidRPr="005B5418" w:rsidRDefault="00DC08FB" w:rsidP="003B61E9">
            <w:pPr>
              <w:pStyle w:val="Table-Cell-CenterBoldBefore6ptAfter6pt"/>
            </w:pPr>
          </w:p>
        </w:tc>
        <w:tc>
          <w:tcPr>
            <w:tcW w:w="3211" w:type="dxa"/>
          </w:tcPr>
          <w:p w14:paraId="2F165416" w14:textId="77777777" w:rsidR="00DC08FB" w:rsidRPr="005B5418" w:rsidRDefault="00DC08FB" w:rsidP="003B61E9">
            <w:pPr>
              <w:spacing w:line="240" w:lineRule="auto"/>
            </w:pPr>
          </w:p>
        </w:tc>
      </w:tr>
      <w:tr w:rsidR="001C41DC" w:rsidRPr="005B5418" w14:paraId="6EDAE763" w14:textId="77777777" w:rsidTr="006A129A">
        <w:trPr>
          <w:trHeight w:val="557"/>
        </w:trPr>
        <w:tc>
          <w:tcPr>
            <w:tcW w:w="5400" w:type="dxa"/>
          </w:tcPr>
          <w:p w14:paraId="2A8396D4" w14:textId="2FEE9322" w:rsidR="001C41DC" w:rsidRPr="005B5418" w:rsidRDefault="001C41DC" w:rsidP="00343610">
            <w:pPr>
              <w:pStyle w:val="FAM-Table-outline"/>
              <w:widowControl/>
              <w:numPr>
                <w:ilvl w:val="0"/>
                <w:numId w:val="35"/>
              </w:numPr>
              <w:adjustRightInd/>
              <w:spacing w:line="240" w:lineRule="auto"/>
              <w:textAlignment w:val="auto"/>
            </w:pPr>
            <w:r w:rsidRPr="005B5418">
              <w:rPr>
                <w:rFonts w:eastAsia="Arial Unicode MS"/>
              </w:rPr>
              <w:lastRenderedPageBreak/>
              <w:t>Did the entity determine which methods to apply</w:t>
            </w:r>
            <w:r w:rsidR="00E84548" w:rsidRPr="005B5418">
              <w:rPr>
                <w:rFonts w:eastAsia="Arial Unicode MS"/>
              </w:rPr>
              <w:t xml:space="preserve"> and</w:t>
            </w:r>
            <w:r w:rsidRPr="005B5418">
              <w:rPr>
                <w:rFonts w:eastAsia="Arial Unicode MS"/>
              </w:rPr>
              <w:t xml:space="preserve"> what condition standards are acceptable</w:t>
            </w:r>
            <w:r w:rsidR="00E84548" w:rsidRPr="005B5418">
              <w:rPr>
                <w:rFonts w:eastAsia="Arial Unicode MS"/>
              </w:rPr>
              <w:t>?</w:t>
            </w:r>
            <w:r w:rsidRPr="005B5418">
              <w:rPr>
                <w:rStyle w:val="FootnoteReference"/>
                <w:rFonts w:eastAsia="Arial Unicode MS"/>
              </w:rPr>
              <w:footnoteReference w:id="270"/>
            </w:r>
            <w:r w:rsidR="00AE6134" w:rsidRPr="005B5418">
              <w:rPr>
                <w:rFonts w:eastAsia="Arial Unicode MS"/>
              </w:rPr>
              <w:t xml:space="preserve"> (SFFAS 42, par</w:t>
            </w:r>
            <w:r w:rsidR="003022B5" w:rsidRPr="005B5418">
              <w:rPr>
                <w:rFonts w:eastAsia="Arial Unicode MS"/>
              </w:rPr>
              <w:t>a</w:t>
            </w:r>
            <w:r w:rsidR="00AE6134" w:rsidRPr="005B5418">
              <w:rPr>
                <w:rFonts w:eastAsia="Arial Unicode MS"/>
              </w:rPr>
              <w:t>. 12</w:t>
            </w:r>
            <w:r w:rsidRPr="005B5418">
              <w:rPr>
                <w:rFonts w:eastAsia="Arial Unicode MS"/>
              </w:rPr>
              <w:t>)</w:t>
            </w:r>
          </w:p>
        </w:tc>
        <w:tc>
          <w:tcPr>
            <w:tcW w:w="965" w:type="dxa"/>
          </w:tcPr>
          <w:p w14:paraId="153E05DB" w14:textId="77777777" w:rsidR="001C41DC" w:rsidRPr="005B5418" w:rsidRDefault="001C41DC" w:rsidP="003B61E9">
            <w:pPr>
              <w:pStyle w:val="Table-Cell-CenterBoldBefore6ptAfter6pt"/>
            </w:pPr>
          </w:p>
        </w:tc>
        <w:tc>
          <w:tcPr>
            <w:tcW w:w="3211" w:type="dxa"/>
          </w:tcPr>
          <w:p w14:paraId="077356F0" w14:textId="77777777" w:rsidR="001C41DC" w:rsidRPr="005B5418" w:rsidRDefault="001C41DC" w:rsidP="003B61E9">
            <w:pPr>
              <w:spacing w:line="240" w:lineRule="auto"/>
            </w:pPr>
          </w:p>
        </w:tc>
      </w:tr>
      <w:tr w:rsidR="001C41DC" w:rsidRPr="005B5418" w14:paraId="0C80C41C" w14:textId="77777777" w:rsidTr="00093646">
        <w:trPr>
          <w:trHeight w:val="647"/>
        </w:trPr>
        <w:tc>
          <w:tcPr>
            <w:tcW w:w="5400" w:type="dxa"/>
          </w:tcPr>
          <w:p w14:paraId="5EEBB5A0" w14:textId="682C32D3" w:rsidR="001C41DC" w:rsidRPr="005B5418" w:rsidRDefault="001C41DC" w:rsidP="00343610">
            <w:pPr>
              <w:pStyle w:val="FAM-Table-outline"/>
              <w:widowControl/>
              <w:numPr>
                <w:ilvl w:val="0"/>
                <w:numId w:val="35"/>
              </w:numPr>
              <w:adjustRightInd/>
              <w:spacing w:line="240" w:lineRule="auto"/>
              <w:textAlignment w:val="auto"/>
            </w:pPr>
            <w:r w:rsidRPr="005B5418">
              <w:rPr>
                <w:rFonts w:eastAsia="Arial Unicode MS"/>
              </w:rPr>
              <w:t>Once determined, were all the condition standards, related assessment methods</w:t>
            </w:r>
            <w:r w:rsidR="00E84548" w:rsidRPr="005B5418">
              <w:rPr>
                <w:rFonts w:eastAsia="Arial Unicode MS"/>
              </w:rPr>
              <w:t>,</w:t>
            </w:r>
            <w:r w:rsidRPr="005B5418">
              <w:rPr>
                <w:rStyle w:val="FootnoteReference"/>
                <w:rFonts w:eastAsia="Arial Unicode MS"/>
              </w:rPr>
              <w:footnoteReference w:id="271"/>
            </w:r>
            <w:r w:rsidRPr="005B5418">
              <w:rPr>
                <w:rFonts w:eastAsia="Arial Unicode MS"/>
              </w:rPr>
              <w:t xml:space="preserve"> and reporting formats consistently applied unless management determined </w:t>
            </w:r>
            <w:r w:rsidR="003022B5" w:rsidRPr="005B5418">
              <w:rPr>
                <w:rFonts w:eastAsia="Arial Unicode MS"/>
              </w:rPr>
              <w:t xml:space="preserve">that </w:t>
            </w:r>
            <w:r w:rsidRPr="005B5418">
              <w:rPr>
                <w:rFonts w:eastAsia="Arial Unicode MS"/>
              </w:rPr>
              <w:t xml:space="preserve">a change </w:t>
            </w:r>
            <w:r w:rsidR="003022B5" w:rsidRPr="005B5418">
              <w:rPr>
                <w:rFonts w:eastAsia="Arial Unicode MS"/>
              </w:rPr>
              <w:t xml:space="preserve">was </w:t>
            </w:r>
            <w:r w:rsidRPr="005B5418">
              <w:rPr>
                <w:rFonts w:eastAsia="Arial Unicode MS"/>
              </w:rPr>
              <w:t>necessary? (SFFAS 42, par</w:t>
            </w:r>
            <w:r w:rsidR="003022B5" w:rsidRPr="005B5418">
              <w:rPr>
                <w:rFonts w:eastAsia="Arial Unicode MS"/>
              </w:rPr>
              <w:t>a</w:t>
            </w:r>
            <w:r w:rsidRPr="005B5418">
              <w:rPr>
                <w:rFonts w:eastAsia="Arial Unicode MS"/>
              </w:rPr>
              <w:t>. 12)</w:t>
            </w:r>
          </w:p>
        </w:tc>
        <w:tc>
          <w:tcPr>
            <w:tcW w:w="965" w:type="dxa"/>
          </w:tcPr>
          <w:p w14:paraId="13A3B449" w14:textId="77777777" w:rsidR="001C41DC" w:rsidRPr="005B5418" w:rsidRDefault="001C41DC" w:rsidP="003B61E9">
            <w:pPr>
              <w:pStyle w:val="Table-Cell-CenterBoldBefore6ptAfter6pt"/>
            </w:pPr>
          </w:p>
        </w:tc>
        <w:tc>
          <w:tcPr>
            <w:tcW w:w="3211" w:type="dxa"/>
          </w:tcPr>
          <w:p w14:paraId="0A482359" w14:textId="77777777" w:rsidR="001C41DC" w:rsidRPr="005B5418" w:rsidRDefault="001C41DC" w:rsidP="003B61E9">
            <w:pPr>
              <w:spacing w:line="240" w:lineRule="auto"/>
            </w:pPr>
          </w:p>
        </w:tc>
      </w:tr>
      <w:tr w:rsidR="001C41DC" w:rsidRPr="005B5418" w14:paraId="300A04EE" w14:textId="77777777" w:rsidTr="006A129A">
        <w:trPr>
          <w:trHeight w:val="1061"/>
        </w:trPr>
        <w:tc>
          <w:tcPr>
            <w:tcW w:w="5400" w:type="dxa"/>
          </w:tcPr>
          <w:p w14:paraId="42F0112E" w14:textId="16BCC952" w:rsidR="001C41DC" w:rsidRPr="005B5418" w:rsidRDefault="001C41DC" w:rsidP="00343610">
            <w:pPr>
              <w:pStyle w:val="FAM-Table-outline"/>
              <w:widowControl/>
              <w:numPr>
                <w:ilvl w:val="0"/>
                <w:numId w:val="35"/>
              </w:numPr>
              <w:adjustRightInd/>
              <w:spacing w:line="240" w:lineRule="auto"/>
              <w:textAlignment w:val="auto"/>
            </w:pPr>
            <w:r w:rsidRPr="005B5418">
              <w:rPr>
                <w:rFonts w:eastAsia="Arial Unicode MS"/>
              </w:rPr>
              <w:t>Were changes to the methods or formats that management determined necessary accompanied by an explanation documenting the rational</w:t>
            </w:r>
            <w:r w:rsidR="003723A0" w:rsidRPr="005B5418">
              <w:rPr>
                <w:rFonts w:eastAsia="Arial Unicode MS"/>
              </w:rPr>
              <w:t>e</w:t>
            </w:r>
            <w:r w:rsidRPr="005B5418">
              <w:rPr>
                <w:rFonts w:eastAsia="Arial Unicode MS"/>
              </w:rPr>
              <w:t xml:space="preserve"> for the change and any related impact on DM&amp;R estimates? (SFFAS 42, par</w:t>
            </w:r>
            <w:r w:rsidR="008E0116" w:rsidRPr="005B5418">
              <w:rPr>
                <w:rFonts w:eastAsia="Arial Unicode MS"/>
              </w:rPr>
              <w:t>a</w:t>
            </w:r>
            <w:r w:rsidRPr="005B5418">
              <w:rPr>
                <w:rFonts w:eastAsia="Arial Unicode MS"/>
              </w:rPr>
              <w:t>. 12)</w:t>
            </w:r>
          </w:p>
        </w:tc>
        <w:tc>
          <w:tcPr>
            <w:tcW w:w="965" w:type="dxa"/>
          </w:tcPr>
          <w:p w14:paraId="0ECFF598" w14:textId="77777777" w:rsidR="001C41DC" w:rsidRPr="005B5418" w:rsidRDefault="001C41DC" w:rsidP="003B61E9">
            <w:pPr>
              <w:pStyle w:val="Table-Cell-CenterBoldBefore6ptAfter6pt"/>
            </w:pPr>
          </w:p>
        </w:tc>
        <w:tc>
          <w:tcPr>
            <w:tcW w:w="3211" w:type="dxa"/>
          </w:tcPr>
          <w:p w14:paraId="5B0D8090" w14:textId="77777777" w:rsidR="001C41DC" w:rsidRPr="005B5418" w:rsidRDefault="001C41DC" w:rsidP="003B61E9">
            <w:pPr>
              <w:spacing w:line="240" w:lineRule="auto"/>
            </w:pPr>
          </w:p>
        </w:tc>
      </w:tr>
      <w:tr w:rsidR="001C41DC" w:rsidRPr="005B5418" w14:paraId="36A12DB7" w14:textId="77777777" w:rsidTr="006A129A">
        <w:trPr>
          <w:trHeight w:val="1061"/>
        </w:trPr>
        <w:tc>
          <w:tcPr>
            <w:tcW w:w="5400" w:type="dxa"/>
          </w:tcPr>
          <w:p w14:paraId="0B6BF887" w14:textId="132B3F85" w:rsidR="001C41DC" w:rsidRPr="005B5418" w:rsidRDefault="001C41DC" w:rsidP="0075673D">
            <w:pPr>
              <w:pStyle w:val="FAM-Table-outline"/>
              <w:widowControl/>
              <w:numPr>
                <w:ilvl w:val="0"/>
                <w:numId w:val="35"/>
              </w:numPr>
              <w:adjustRightInd/>
              <w:spacing w:line="240" w:lineRule="auto"/>
              <w:textAlignment w:val="auto"/>
            </w:pPr>
            <w:r w:rsidRPr="005B5418">
              <w:rPr>
                <w:rFonts w:eastAsia="Arial Unicode MS"/>
              </w:rPr>
              <w:t xml:space="preserve">Does the entity measure and report DM&amp;R for capitalized </w:t>
            </w:r>
            <w:r w:rsidR="000A0C1F" w:rsidRPr="005B5418">
              <w:rPr>
                <w:rFonts w:eastAsia="Arial Unicode MS"/>
              </w:rPr>
              <w:t>PP&amp;E</w:t>
            </w:r>
            <w:r w:rsidRPr="005B5418">
              <w:rPr>
                <w:rFonts w:eastAsia="Arial Unicode MS"/>
              </w:rPr>
              <w:t xml:space="preserve"> and </w:t>
            </w:r>
            <w:r w:rsidR="0075673D" w:rsidRPr="005B5418">
              <w:rPr>
                <w:rFonts w:eastAsia="Arial Unicode MS"/>
              </w:rPr>
              <w:t xml:space="preserve">stewardship </w:t>
            </w:r>
            <w:r w:rsidRPr="005B5418">
              <w:rPr>
                <w:rFonts w:eastAsia="Arial Unicode MS"/>
              </w:rPr>
              <w:t>PP&amp;E?</w:t>
            </w:r>
            <w:r w:rsidR="00D62727" w:rsidRPr="005B5418">
              <w:rPr>
                <w:rStyle w:val="FootnoteReference"/>
                <w:rFonts w:eastAsia="Arial Unicode MS"/>
              </w:rPr>
              <w:footnoteReference w:id="272"/>
            </w:r>
            <w:r w:rsidRPr="005B5418">
              <w:rPr>
                <w:rFonts w:eastAsia="Arial Unicode MS"/>
              </w:rPr>
              <w:t xml:space="preserve"> (SFFAS 42, par</w:t>
            </w:r>
            <w:r w:rsidR="008E0116" w:rsidRPr="005B5418">
              <w:rPr>
                <w:rFonts w:eastAsia="Arial Unicode MS"/>
              </w:rPr>
              <w:t>a</w:t>
            </w:r>
            <w:r w:rsidRPr="005B5418">
              <w:rPr>
                <w:rFonts w:eastAsia="Arial Unicode MS"/>
              </w:rPr>
              <w:t>. 13)</w:t>
            </w:r>
          </w:p>
        </w:tc>
        <w:tc>
          <w:tcPr>
            <w:tcW w:w="965" w:type="dxa"/>
          </w:tcPr>
          <w:p w14:paraId="482A1342" w14:textId="77777777" w:rsidR="001C41DC" w:rsidRPr="005B5418" w:rsidRDefault="001C41DC" w:rsidP="003B61E9">
            <w:pPr>
              <w:pStyle w:val="Table-Cell-CenterBoldBefore6ptAfter6pt"/>
            </w:pPr>
          </w:p>
        </w:tc>
        <w:tc>
          <w:tcPr>
            <w:tcW w:w="3211" w:type="dxa"/>
          </w:tcPr>
          <w:p w14:paraId="11319802" w14:textId="77777777" w:rsidR="001C41DC" w:rsidRPr="005B5418" w:rsidRDefault="001C41DC" w:rsidP="003B61E9">
            <w:pPr>
              <w:spacing w:line="240" w:lineRule="auto"/>
            </w:pPr>
          </w:p>
        </w:tc>
      </w:tr>
      <w:tr w:rsidR="001C41DC" w:rsidRPr="005B5418" w14:paraId="781A557D" w14:textId="77777777" w:rsidTr="006A129A">
        <w:trPr>
          <w:trHeight w:val="1061"/>
        </w:trPr>
        <w:tc>
          <w:tcPr>
            <w:tcW w:w="5400" w:type="dxa"/>
          </w:tcPr>
          <w:p w14:paraId="606386AB" w14:textId="5B400F6F" w:rsidR="001C41DC" w:rsidRPr="005B5418" w:rsidRDefault="001C41DC" w:rsidP="00343610">
            <w:pPr>
              <w:pStyle w:val="FAM-Table-outline"/>
              <w:widowControl/>
              <w:numPr>
                <w:ilvl w:val="0"/>
                <w:numId w:val="35"/>
              </w:numPr>
              <w:adjustRightInd/>
              <w:spacing w:line="240" w:lineRule="auto"/>
              <w:textAlignment w:val="auto"/>
            </w:pPr>
            <w:r w:rsidRPr="005B5418">
              <w:rPr>
                <w:rFonts w:eastAsia="Arial Unicode MS"/>
              </w:rPr>
              <w:t xml:space="preserve">Does DM&amp;R include funded maintenance and repairs that have been delayed for a future period as well as unfunded </w:t>
            </w:r>
            <w:r w:rsidR="0005301B" w:rsidRPr="005B5418">
              <w:rPr>
                <w:rFonts w:eastAsia="Arial Unicode MS"/>
              </w:rPr>
              <w:t>maintenance and repairs</w:t>
            </w:r>
            <w:r w:rsidRPr="005B5418">
              <w:rPr>
                <w:rFonts w:eastAsia="Arial Unicode MS"/>
              </w:rPr>
              <w:t>? (SFFAS 42, par</w:t>
            </w:r>
            <w:r w:rsidR="008E0116" w:rsidRPr="005B5418">
              <w:rPr>
                <w:rFonts w:eastAsia="Arial Unicode MS"/>
              </w:rPr>
              <w:t>a</w:t>
            </w:r>
            <w:r w:rsidRPr="005B5418">
              <w:rPr>
                <w:rFonts w:eastAsia="Arial Unicode MS"/>
              </w:rPr>
              <w:t>. 13)</w:t>
            </w:r>
          </w:p>
        </w:tc>
        <w:tc>
          <w:tcPr>
            <w:tcW w:w="965" w:type="dxa"/>
          </w:tcPr>
          <w:p w14:paraId="65322902" w14:textId="77777777" w:rsidR="001C41DC" w:rsidRPr="005B5418" w:rsidRDefault="001C41DC" w:rsidP="003B61E9">
            <w:pPr>
              <w:pStyle w:val="Table-Cell-CenterBoldBefore6ptAfter6pt"/>
            </w:pPr>
          </w:p>
        </w:tc>
        <w:tc>
          <w:tcPr>
            <w:tcW w:w="3211" w:type="dxa"/>
          </w:tcPr>
          <w:p w14:paraId="505C183A" w14:textId="77777777" w:rsidR="001C41DC" w:rsidRPr="005B5418" w:rsidRDefault="001C41DC" w:rsidP="003B61E9">
            <w:pPr>
              <w:spacing w:line="240" w:lineRule="auto"/>
            </w:pPr>
          </w:p>
        </w:tc>
      </w:tr>
      <w:tr w:rsidR="001C41DC" w:rsidRPr="005B5418" w14:paraId="30AE2537" w14:textId="77777777" w:rsidTr="006A129A">
        <w:trPr>
          <w:trHeight w:val="1061"/>
        </w:trPr>
        <w:tc>
          <w:tcPr>
            <w:tcW w:w="5400" w:type="dxa"/>
          </w:tcPr>
          <w:p w14:paraId="254E963F" w14:textId="23479B3E" w:rsidR="001C41DC" w:rsidRPr="005B5418" w:rsidRDefault="001C41DC" w:rsidP="00343610">
            <w:pPr>
              <w:pStyle w:val="FAM-Table-outline"/>
              <w:widowControl/>
              <w:numPr>
                <w:ilvl w:val="0"/>
                <w:numId w:val="35"/>
              </w:numPr>
              <w:adjustRightInd/>
              <w:spacing w:line="240" w:lineRule="auto"/>
              <w:textAlignment w:val="auto"/>
            </w:pPr>
            <w:r w:rsidRPr="005B5418">
              <w:rPr>
                <w:rFonts w:eastAsia="Arial Unicode MS"/>
              </w:rPr>
              <w:t>Does the entity include DM&amp;R on inactive and/or excess PP&amp;E to the extent that it is required to maintain inactive or excess PP&amp;E in acceptable condition? (SFFAS 42, par</w:t>
            </w:r>
            <w:r w:rsidR="008E0116" w:rsidRPr="005B5418">
              <w:rPr>
                <w:rFonts w:eastAsia="Arial Unicode MS"/>
              </w:rPr>
              <w:t>a</w:t>
            </w:r>
            <w:r w:rsidRPr="005B5418">
              <w:rPr>
                <w:rFonts w:eastAsia="Arial Unicode MS"/>
              </w:rPr>
              <w:t>. 13)</w:t>
            </w:r>
          </w:p>
        </w:tc>
        <w:tc>
          <w:tcPr>
            <w:tcW w:w="965" w:type="dxa"/>
          </w:tcPr>
          <w:p w14:paraId="52E6AFD9" w14:textId="77777777" w:rsidR="001C41DC" w:rsidRPr="005B5418" w:rsidRDefault="001C41DC" w:rsidP="003B61E9">
            <w:pPr>
              <w:pStyle w:val="Table-Cell-CenterBoldBefore6ptAfter6pt"/>
            </w:pPr>
          </w:p>
        </w:tc>
        <w:tc>
          <w:tcPr>
            <w:tcW w:w="3211" w:type="dxa"/>
          </w:tcPr>
          <w:p w14:paraId="76F5042D" w14:textId="77777777" w:rsidR="001C41DC" w:rsidRPr="005B5418" w:rsidRDefault="001C41DC" w:rsidP="003B61E9">
            <w:pPr>
              <w:spacing w:line="240" w:lineRule="auto"/>
            </w:pPr>
          </w:p>
        </w:tc>
      </w:tr>
      <w:tr w:rsidR="001C41DC" w:rsidRPr="005B5418" w14:paraId="37689952" w14:textId="77777777" w:rsidTr="006A129A">
        <w:trPr>
          <w:trHeight w:val="1061"/>
        </w:trPr>
        <w:tc>
          <w:tcPr>
            <w:tcW w:w="5400" w:type="dxa"/>
          </w:tcPr>
          <w:p w14:paraId="23D673FE" w14:textId="77777777" w:rsidR="001C41DC" w:rsidRPr="005B5418" w:rsidRDefault="001C41DC" w:rsidP="008624C2">
            <w:pPr>
              <w:pStyle w:val="FAM-Table-outline"/>
              <w:spacing w:line="240" w:lineRule="auto"/>
              <w:rPr>
                <w:rFonts w:eastAsia="Arial Unicode MS"/>
              </w:rPr>
            </w:pPr>
            <w:r w:rsidRPr="005B5418">
              <w:rPr>
                <w:rFonts w:eastAsia="Arial Unicode MS"/>
              </w:rPr>
              <w:t>Does the DM&amp;R reporting provide</w:t>
            </w:r>
          </w:p>
          <w:p w14:paraId="752C95E9" w14:textId="5DE2468B" w:rsidR="001C41DC" w:rsidRPr="005B5418" w:rsidRDefault="001C41DC" w:rsidP="005425ED">
            <w:pPr>
              <w:pStyle w:val="FAM-Table-outline2"/>
              <w:spacing w:line="240" w:lineRule="auto"/>
              <w:ind w:left="1140" w:hanging="443"/>
            </w:pPr>
            <w:r w:rsidRPr="005B5418">
              <w:t xml:space="preserve">DM&amp;R beginning and ending balances for the reporting period and </w:t>
            </w:r>
          </w:p>
          <w:p w14:paraId="4A800627" w14:textId="0A634BA4" w:rsidR="001C41DC" w:rsidRPr="005B5418" w:rsidRDefault="001C41DC" w:rsidP="005425ED">
            <w:pPr>
              <w:pStyle w:val="FAM-Table-outline2"/>
              <w:spacing w:line="240" w:lineRule="auto"/>
              <w:ind w:left="1140" w:hanging="443"/>
              <w:rPr>
                <w:rFonts w:eastAsia="Arial Unicode MS"/>
              </w:rPr>
            </w:pPr>
            <w:r w:rsidRPr="005B5418">
              <w:t>narrative information related to DM&amp;R activities? (SFFAS 42, par</w:t>
            </w:r>
            <w:r w:rsidR="008E0116" w:rsidRPr="005B5418">
              <w:t>a</w:t>
            </w:r>
            <w:r w:rsidRPr="005B5418">
              <w:t>.</w:t>
            </w:r>
            <w:r w:rsidR="0005301B" w:rsidRPr="005B5418">
              <w:t xml:space="preserve"> </w:t>
            </w:r>
            <w:r w:rsidRPr="005B5418">
              <w:t>14)</w:t>
            </w:r>
          </w:p>
        </w:tc>
        <w:tc>
          <w:tcPr>
            <w:tcW w:w="965" w:type="dxa"/>
          </w:tcPr>
          <w:p w14:paraId="2C78DF69" w14:textId="77777777" w:rsidR="001C41DC" w:rsidRPr="005B5418" w:rsidRDefault="001C41DC" w:rsidP="003B61E9">
            <w:pPr>
              <w:pStyle w:val="Table-Cell-CenterBoldBefore6ptAfter6pt"/>
            </w:pPr>
          </w:p>
        </w:tc>
        <w:tc>
          <w:tcPr>
            <w:tcW w:w="3211" w:type="dxa"/>
          </w:tcPr>
          <w:p w14:paraId="341F7F6F" w14:textId="77777777" w:rsidR="001C41DC" w:rsidRPr="005B5418" w:rsidRDefault="001C41DC" w:rsidP="003B61E9">
            <w:pPr>
              <w:spacing w:line="240" w:lineRule="auto"/>
            </w:pPr>
          </w:p>
        </w:tc>
      </w:tr>
      <w:tr w:rsidR="008B71C0" w:rsidRPr="005B5418" w14:paraId="6214F2DD" w14:textId="77777777" w:rsidTr="006A129A">
        <w:trPr>
          <w:trHeight w:val="8198"/>
        </w:trPr>
        <w:tc>
          <w:tcPr>
            <w:tcW w:w="5400" w:type="dxa"/>
          </w:tcPr>
          <w:p w14:paraId="4DEEB79B" w14:textId="6BF385BC" w:rsidR="008B71C0" w:rsidRPr="005B5418" w:rsidRDefault="008B71C0" w:rsidP="00343610">
            <w:pPr>
              <w:pStyle w:val="FAM-Table-outline"/>
              <w:widowControl/>
              <w:numPr>
                <w:ilvl w:val="0"/>
                <w:numId w:val="35"/>
              </w:numPr>
              <w:adjustRightInd/>
              <w:spacing w:line="240" w:lineRule="auto"/>
              <w:textAlignment w:val="auto"/>
              <w:rPr>
                <w:szCs w:val="22"/>
              </w:rPr>
            </w:pPr>
            <w:r w:rsidRPr="005B5418">
              <w:rPr>
                <w:szCs w:val="22"/>
              </w:rPr>
              <w:lastRenderedPageBreak/>
              <w:t xml:space="preserve">Does the entity report the following qualitative information as RSI for each major category of its PP&amp;E (i.e., </w:t>
            </w:r>
            <w:r w:rsidR="000A0C1F" w:rsidRPr="005B5418">
              <w:rPr>
                <w:szCs w:val="22"/>
              </w:rPr>
              <w:t>PP&amp;E</w:t>
            </w:r>
            <w:r w:rsidRPr="005B5418">
              <w:rPr>
                <w:szCs w:val="22"/>
              </w:rPr>
              <w:t xml:space="preserve">, heritage assets, </w:t>
            </w:r>
            <w:r w:rsidR="00E8746D" w:rsidRPr="005B5418">
              <w:rPr>
                <w:szCs w:val="22"/>
              </w:rPr>
              <w:t xml:space="preserve">and </w:t>
            </w:r>
            <w:r w:rsidRPr="005B5418">
              <w:rPr>
                <w:szCs w:val="22"/>
              </w:rPr>
              <w:t>stewardship land</w:t>
            </w:r>
            <w:r w:rsidR="00271322" w:rsidRPr="005B5418">
              <w:rPr>
                <w:szCs w:val="22"/>
              </w:rPr>
              <w:t>)?</w:t>
            </w:r>
          </w:p>
          <w:p w14:paraId="5A068734" w14:textId="56EE23B3" w:rsidR="008B71C0" w:rsidRPr="005B5418" w:rsidRDefault="00271322" w:rsidP="005425ED">
            <w:pPr>
              <w:pStyle w:val="FAM-Table-outline2"/>
              <w:spacing w:line="240" w:lineRule="auto"/>
              <w:ind w:left="1140" w:hanging="443"/>
            </w:pPr>
            <w:r w:rsidRPr="005B5418">
              <w:t xml:space="preserve">A </w:t>
            </w:r>
            <w:r w:rsidR="008B71C0" w:rsidRPr="005B5418">
              <w:t xml:space="preserve">summary of the entity’s </w:t>
            </w:r>
            <w:r w:rsidR="0005301B" w:rsidRPr="005B5418">
              <w:t>maintenance and repairs</w:t>
            </w:r>
            <w:r w:rsidR="008B71C0" w:rsidRPr="005B5418">
              <w:t xml:space="preserve"> policies and brief description of how they are applied</w:t>
            </w:r>
          </w:p>
          <w:p w14:paraId="477DC42F" w14:textId="178DBB82" w:rsidR="008B71C0" w:rsidRPr="005B5418" w:rsidRDefault="00271322" w:rsidP="005425ED">
            <w:pPr>
              <w:pStyle w:val="FAM-Table-outline2"/>
              <w:spacing w:line="240" w:lineRule="auto"/>
              <w:ind w:left="1140" w:hanging="443"/>
            </w:pPr>
            <w:r w:rsidRPr="005B5418">
              <w:t xml:space="preserve">Policies </w:t>
            </w:r>
            <w:r w:rsidR="008B71C0" w:rsidRPr="005B5418">
              <w:t xml:space="preserve">for ranking and prioritizing </w:t>
            </w:r>
            <w:r w:rsidR="0005301B" w:rsidRPr="005B5418">
              <w:t>maintenance and repair</w:t>
            </w:r>
            <w:r w:rsidR="008B71C0" w:rsidRPr="005B5418">
              <w:t xml:space="preserve"> activities</w:t>
            </w:r>
            <w:r w:rsidR="003C6CEC" w:rsidRPr="005B5418">
              <w:t>, including non-maintenance and repair real property activities (e.g., construction and disposal)</w:t>
            </w:r>
          </w:p>
          <w:p w14:paraId="3EDC274D" w14:textId="64E91E34" w:rsidR="008B71C0" w:rsidRPr="005B5418" w:rsidRDefault="00271322" w:rsidP="005425ED">
            <w:pPr>
              <w:pStyle w:val="FAM-Table-outline2"/>
              <w:spacing w:line="240" w:lineRule="auto"/>
              <w:ind w:left="1140" w:hanging="443"/>
            </w:pPr>
            <w:r w:rsidRPr="005B5418">
              <w:t xml:space="preserve">Factors </w:t>
            </w:r>
            <w:r w:rsidR="008B71C0" w:rsidRPr="005B5418">
              <w:t>the entity considers in determining acceptable conditions</w:t>
            </w:r>
          </w:p>
          <w:p w14:paraId="1EDC81DA" w14:textId="177608EE" w:rsidR="008B71C0" w:rsidRPr="005B5418" w:rsidRDefault="00271322" w:rsidP="005425ED">
            <w:pPr>
              <w:pStyle w:val="FAM-Table-outline2"/>
              <w:spacing w:line="240" w:lineRule="auto"/>
              <w:ind w:left="1140" w:hanging="443"/>
            </w:pPr>
            <w:r w:rsidRPr="005B5418">
              <w:t xml:space="preserve">Whether </w:t>
            </w:r>
            <w:r w:rsidR="008B71C0" w:rsidRPr="005B5418">
              <w:t xml:space="preserve">DM&amp;R relates solely to capitalized </w:t>
            </w:r>
            <w:r w:rsidR="000A0C1F" w:rsidRPr="005B5418">
              <w:t>PP&amp;E</w:t>
            </w:r>
            <w:r w:rsidR="008B71C0" w:rsidRPr="005B5418">
              <w:t xml:space="preserve"> and noncapitalized </w:t>
            </w:r>
            <w:r w:rsidR="00E51D94" w:rsidRPr="005B5418">
              <w:t xml:space="preserve">stewardship </w:t>
            </w:r>
            <w:r w:rsidR="00962434" w:rsidRPr="005B5418">
              <w:t>PP&amp;E</w:t>
            </w:r>
            <w:r w:rsidR="00F15452" w:rsidRPr="005B5418">
              <w:t xml:space="preserve"> </w:t>
            </w:r>
            <w:r w:rsidR="008B71C0" w:rsidRPr="005B5418">
              <w:t xml:space="preserve">or also to amounts relating to noncapitalized or fully depreciated </w:t>
            </w:r>
            <w:r w:rsidR="000A0C1F" w:rsidRPr="005B5418">
              <w:t>PP&amp;E</w:t>
            </w:r>
            <w:r w:rsidR="003C6CEC" w:rsidRPr="005B5418">
              <w:t xml:space="preserve"> and provide</w:t>
            </w:r>
            <w:r w:rsidRPr="005B5418">
              <w:t>s</w:t>
            </w:r>
            <w:r w:rsidR="003C6CEC" w:rsidRPr="005B5418">
              <w:t xml:space="preserve"> beginning and ending </w:t>
            </w:r>
            <w:r w:rsidRPr="005B5418">
              <w:t>DM&amp;R</w:t>
            </w:r>
            <w:r w:rsidR="003C6CEC" w:rsidRPr="005B5418">
              <w:t xml:space="preserve"> balances by category of PP&amp;E</w:t>
            </w:r>
          </w:p>
          <w:p w14:paraId="0C6E499C" w14:textId="6E36B81B" w:rsidR="008B71C0" w:rsidRPr="005B5418" w:rsidRDefault="00271322" w:rsidP="005425ED">
            <w:pPr>
              <w:pStyle w:val="FAM-Table-outline2"/>
              <w:spacing w:line="240" w:lineRule="auto"/>
              <w:ind w:left="1140" w:hanging="443"/>
            </w:pPr>
            <w:r w:rsidRPr="005B5418">
              <w:t xml:space="preserve">Capitalized </w:t>
            </w:r>
            <w:r w:rsidR="000A0C1F" w:rsidRPr="005B5418">
              <w:t>PP&amp;E</w:t>
            </w:r>
            <w:r w:rsidR="008B71C0" w:rsidRPr="005B5418">
              <w:t xml:space="preserve"> and noncapitalized heritage assets and stewardship land for which management does not measure and/or report DM&amp;R and the rationale for the exclusion</w:t>
            </w:r>
          </w:p>
          <w:p w14:paraId="7E0AAF19" w14:textId="4441D7B9" w:rsidR="008B71C0" w:rsidRPr="005B5418" w:rsidRDefault="00271322" w:rsidP="005425ED">
            <w:pPr>
              <w:pStyle w:val="FAM-Table-outline2"/>
              <w:spacing w:line="240" w:lineRule="auto"/>
              <w:ind w:left="1140" w:hanging="443"/>
            </w:pPr>
            <w:r w:rsidRPr="005B5418">
              <w:t xml:space="preserve">If </w:t>
            </w:r>
            <w:r w:rsidR="008B71C0" w:rsidRPr="005B5418">
              <w:t xml:space="preserve">applicable, </w:t>
            </w:r>
            <w:r w:rsidRPr="005B5418">
              <w:t xml:space="preserve">an </w:t>
            </w:r>
            <w:r w:rsidR="008B71C0" w:rsidRPr="005B5418">
              <w:t xml:space="preserve">explanation of </w:t>
            </w:r>
            <w:r w:rsidR="0058030C" w:rsidRPr="005B5418">
              <w:t xml:space="preserve">the reasons for </w:t>
            </w:r>
            <w:r w:rsidR="008B71C0" w:rsidRPr="005B5418">
              <w:t>significant changes to</w:t>
            </w:r>
          </w:p>
          <w:p w14:paraId="7AEC5295" w14:textId="2CFDAE0C" w:rsidR="008B71C0" w:rsidRPr="005B5418" w:rsidRDefault="008B71C0" w:rsidP="005425ED">
            <w:pPr>
              <w:pStyle w:val="FAM-Table-outline3"/>
              <w:widowControl/>
              <w:adjustRightInd/>
              <w:spacing w:before="60" w:after="60" w:line="240" w:lineRule="auto"/>
              <w:ind w:left="1410" w:hanging="432"/>
              <w:textAlignment w:val="auto"/>
              <w:rPr>
                <w:rFonts w:cs="Arial"/>
                <w:sz w:val="22"/>
                <w:szCs w:val="22"/>
              </w:rPr>
            </w:pPr>
            <w:r w:rsidRPr="005B5418">
              <w:rPr>
                <w:rFonts w:cs="Arial"/>
                <w:sz w:val="22"/>
                <w:szCs w:val="22"/>
              </w:rPr>
              <w:t>the policies and factors subject to the reporting requirements established in a</w:t>
            </w:r>
            <w:r w:rsidR="00E8746D" w:rsidRPr="005B5418">
              <w:rPr>
                <w:rFonts w:cs="Arial"/>
                <w:sz w:val="22"/>
                <w:szCs w:val="22"/>
              </w:rPr>
              <w:t xml:space="preserve"> through </w:t>
            </w:r>
            <w:r w:rsidRPr="005B5418">
              <w:rPr>
                <w:rFonts w:cs="Arial"/>
                <w:sz w:val="22"/>
                <w:szCs w:val="22"/>
              </w:rPr>
              <w:t>e above and</w:t>
            </w:r>
          </w:p>
          <w:p w14:paraId="57290BBF" w14:textId="1B0AD409" w:rsidR="008B71C0" w:rsidRPr="005B5418" w:rsidRDefault="008B71C0" w:rsidP="005425ED">
            <w:pPr>
              <w:pStyle w:val="FAM-Table-outline3"/>
              <w:widowControl/>
              <w:adjustRightInd/>
              <w:spacing w:before="60" w:after="60" w:line="240" w:lineRule="auto"/>
              <w:ind w:left="1410" w:hanging="432"/>
              <w:textAlignment w:val="auto"/>
            </w:pPr>
            <w:r w:rsidRPr="005B5418">
              <w:rPr>
                <w:rFonts w:cs="Arial"/>
                <w:sz w:val="22"/>
                <w:szCs w:val="22"/>
              </w:rPr>
              <w:t>DM&amp;R amounts from the prior year (SFFAS 42, par</w:t>
            </w:r>
            <w:r w:rsidR="00E8746D" w:rsidRPr="005B5418">
              <w:rPr>
                <w:rFonts w:cs="Arial"/>
                <w:sz w:val="22"/>
                <w:szCs w:val="22"/>
              </w:rPr>
              <w:t>a</w:t>
            </w:r>
            <w:r w:rsidRPr="005B5418">
              <w:rPr>
                <w:rFonts w:cs="Arial"/>
                <w:sz w:val="22"/>
                <w:szCs w:val="22"/>
              </w:rPr>
              <w:t>.</w:t>
            </w:r>
            <w:r w:rsidR="0005301B" w:rsidRPr="005B5418">
              <w:rPr>
                <w:rFonts w:cs="Arial"/>
                <w:sz w:val="22"/>
                <w:szCs w:val="22"/>
              </w:rPr>
              <w:t xml:space="preserve"> </w:t>
            </w:r>
            <w:r w:rsidRPr="005B5418">
              <w:rPr>
                <w:rFonts w:cs="Arial"/>
                <w:sz w:val="22"/>
                <w:szCs w:val="22"/>
              </w:rPr>
              <w:t>15 (a-f)</w:t>
            </w:r>
            <w:r w:rsidR="00AF0B9B" w:rsidRPr="005B5418">
              <w:rPr>
                <w:rFonts w:cs="Arial"/>
                <w:sz w:val="22"/>
                <w:szCs w:val="22"/>
              </w:rPr>
              <w:t>; A-136, section II.3.9.4</w:t>
            </w:r>
            <w:r w:rsidRPr="005B5418">
              <w:rPr>
                <w:rFonts w:cs="Arial"/>
                <w:sz w:val="22"/>
                <w:szCs w:val="22"/>
              </w:rPr>
              <w:t>)</w:t>
            </w:r>
          </w:p>
        </w:tc>
        <w:tc>
          <w:tcPr>
            <w:tcW w:w="965" w:type="dxa"/>
          </w:tcPr>
          <w:p w14:paraId="5CB494B2" w14:textId="77777777" w:rsidR="008B71C0" w:rsidRPr="005B5418" w:rsidRDefault="008B71C0" w:rsidP="003B61E9">
            <w:pPr>
              <w:pStyle w:val="Table-Cell-CenterBoldBefore6ptAfter6pt"/>
            </w:pPr>
          </w:p>
        </w:tc>
        <w:tc>
          <w:tcPr>
            <w:tcW w:w="3211" w:type="dxa"/>
          </w:tcPr>
          <w:p w14:paraId="16B9699A" w14:textId="77777777" w:rsidR="008B71C0" w:rsidRPr="005B5418" w:rsidRDefault="008B71C0" w:rsidP="003B61E9">
            <w:pPr>
              <w:spacing w:line="240" w:lineRule="auto"/>
            </w:pPr>
          </w:p>
        </w:tc>
      </w:tr>
      <w:tr w:rsidR="008B71C0" w:rsidRPr="005B5418" w14:paraId="3C11209B" w14:textId="77777777" w:rsidTr="006A129A">
        <w:trPr>
          <w:trHeight w:val="1781"/>
        </w:trPr>
        <w:tc>
          <w:tcPr>
            <w:tcW w:w="5400" w:type="dxa"/>
          </w:tcPr>
          <w:p w14:paraId="58B5F1C8" w14:textId="7D7201A7" w:rsidR="008B71C0" w:rsidRPr="005B5418" w:rsidRDefault="008B71C0" w:rsidP="00343610">
            <w:pPr>
              <w:pStyle w:val="FAM-Table-outline"/>
              <w:widowControl/>
              <w:numPr>
                <w:ilvl w:val="0"/>
                <w:numId w:val="35"/>
              </w:numPr>
              <w:adjustRightInd/>
              <w:spacing w:line="240" w:lineRule="auto"/>
              <w:textAlignment w:val="auto"/>
              <w:rPr>
                <w:szCs w:val="22"/>
              </w:rPr>
            </w:pPr>
            <w:r w:rsidRPr="005B5418">
              <w:rPr>
                <w:szCs w:val="22"/>
              </w:rPr>
              <w:t xml:space="preserve">Does the entity report as RSI estimates of the beginning and ending balances of DM&amp;R for each major category of PP&amp;E for which maintenance and repairs have been deferred (i.e., </w:t>
            </w:r>
            <w:r w:rsidR="000A0C1F" w:rsidRPr="005B5418">
              <w:rPr>
                <w:szCs w:val="22"/>
              </w:rPr>
              <w:t>PP&amp;E</w:t>
            </w:r>
            <w:r w:rsidRPr="005B5418">
              <w:rPr>
                <w:szCs w:val="22"/>
              </w:rPr>
              <w:t>, heritage assets, and stewardship land)? (SFFAS 42, par</w:t>
            </w:r>
            <w:r w:rsidR="003A07F7" w:rsidRPr="005B5418">
              <w:rPr>
                <w:szCs w:val="22"/>
              </w:rPr>
              <w:t>a</w:t>
            </w:r>
            <w:r w:rsidRPr="005B5418">
              <w:rPr>
                <w:szCs w:val="22"/>
              </w:rPr>
              <w:t>.</w:t>
            </w:r>
            <w:r w:rsidR="0005301B" w:rsidRPr="005B5418">
              <w:rPr>
                <w:szCs w:val="22"/>
              </w:rPr>
              <w:t xml:space="preserve"> </w:t>
            </w:r>
            <w:r w:rsidRPr="005B5418">
              <w:rPr>
                <w:szCs w:val="22"/>
              </w:rPr>
              <w:t>15(g))</w:t>
            </w:r>
          </w:p>
        </w:tc>
        <w:tc>
          <w:tcPr>
            <w:tcW w:w="965" w:type="dxa"/>
          </w:tcPr>
          <w:p w14:paraId="57097C44" w14:textId="77777777" w:rsidR="008B71C0" w:rsidRPr="005B5418" w:rsidRDefault="008B71C0" w:rsidP="003B61E9">
            <w:pPr>
              <w:pStyle w:val="Table-Cell-CenterBoldBefore6ptAfter6pt"/>
            </w:pPr>
          </w:p>
        </w:tc>
        <w:tc>
          <w:tcPr>
            <w:tcW w:w="3211" w:type="dxa"/>
          </w:tcPr>
          <w:p w14:paraId="21F12B26" w14:textId="77777777" w:rsidR="008B71C0" w:rsidRPr="005B5418" w:rsidRDefault="008B71C0" w:rsidP="003B61E9">
            <w:pPr>
              <w:spacing w:line="240" w:lineRule="auto"/>
            </w:pPr>
          </w:p>
        </w:tc>
      </w:tr>
      <w:tr w:rsidR="0037069F" w:rsidRPr="005B5418" w14:paraId="627C0A15" w14:textId="77777777" w:rsidTr="006A129A">
        <w:trPr>
          <w:trHeight w:val="1781"/>
        </w:trPr>
        <w:tc>
          <w:tcPr>
            <w:tcW w:w="5400" w:type="dxa"/>
          </w:tcPr>
          <w:p w14:paraId="3B3FA236" w14:textId="11D563E6" w:rsidR="0082241E" w:rsidRPr="005B5418" w:rsidRDefault="0037069F" w:rsidP="00343610">
            <w:pPr>
              <w:pStyle w:val="FAM-Table-outline"/>
              <w:widowControl/>
              <w:numPr>
                <w:ilvl w:val="0"/>
                <w:numId w:val="35"/>
              </w:numPr>
              <w:adjustRightInd/>
              <w:spacing w:line="240" w:lineRule="auto"/>
              <w:textAlignment w:val="auto"/>
              <w:rPr>
                <w:szCs w:val="22"/>
              </w:rPr>
            </w:pPr>
            <w:r w:rsidRPr="005B5418">
              <w:rPr>
                <w:szCs w:val="22"/>
              </w:rPr>
              <w:lastRenderedPageBreak/>
              <w:t xml:space="preserve">For </w:t>
            </w:r>
            <w:r w:rsidRPr="005425ED">
              <w:rPr>
                <w:b/>
                <w:bCs/>
                <w:szCs w:val="22"/>
              </w:rPr>
              <w:t>significant entities only</w:t>
            </w:r>
            <w:r w:rsidR="00544CB6">
              <w:rPr>
                <w:szCs w:val="22"/>
              </w:rPr>
              <w:t>:</w:t>
            </w:r>
            <w:r w:rsidRPr="005B5418">
              <w:rPr>
                <w:szCs w:val="22"/>
              </w:rPr>
              <w:t xml:space="preserve"> </w:t>
            </w:r>
            <w:r w:rsidR="00544CB6">
              <w:rPr>
                <w:szCs w:val="22"/>
              </w:rPr>
              <w:t>D</w:t>
            </w:r>
            <w:r w:rsidRPr="005B5418">
              <w:rPr>
                <w:szCs w:val="22"/>
              </w:rPr>
              <w:t>oes the entity</w:t>
            </w:r>
            <w:r w:rsidR="0082241E" w:rsidRPr="005B5418">
              <w:rPr>
                <w:szCs w:val="22"/>
              </w:rPr>
              <w:t xml:space="preserve"> </w:t>
            </w:r>
          </w:p>
          <w:p w14:paraId="74D448FF" w14:textId="5191B4E5" w:rsidR="0037069F" w:rsidRPr="005B5418" w:rsidRDefault="0037069F" w:rsidP="005425ED">
            <w:pPr>
              <w:pStyle w:val="FAM-Table-outline2"/>
              <w:spacing w:line="240" w:lineRule="auto"/>
              <w:ind w:left="1140" w:hanging="443"/>
            </w:pPr>
            <w:r w:rsidRPr="005B5418">
              <w:t xml:space="preserve">describe </w:t>
            </w:r>
            <w:r w:rsidR="00544CB6">
              <w:t>its</w:t>
            </w:r>
            <w:r w:rsidRPr="005B5418">
              <w:t xml:space="preserve"> method for estimating deferred maintenance and repairs and how inflation in labor and materials costs is used to annually adjust the estimates and </w:t>
            </w:r>
          </w:p>
          <w:p w14:paraId="2666CCD6" w14:textId="76F894DE" w:rsidR="0037069F" w:rsidRPr="005B5418" w:rsidRDefault="0037069F" w:rsidP="005425ED">
            <w:pPr>
              <w:pStyle w:val="FAM-Table-outline2"/>
              <w:spacing w:line="240" w:lineRule="auto"/>
              <w:ind w:left="1140" w:hanging="443"/>
              <w:rPr>
                <w:szCs w:val="22"/>
              </w:rPr>
            </w:pPr>
            <w:r w:rsidRPr="005B5418">
              <w:t>report the minimum maintenance and repair amount needed to ensure that mission</w:t>
            </w:r>
            <w:r w:rsidR="00544CB6">
              <w:t>-</w:t>
            </w:r>
            <w:r w:rsidRPr="005B5418">
              <w:t>critical facilities remain mission capable</w:t>
            </w:r>
            <w:r w:rsidR="00544CB6">
              <w:t>?</w:t>
            </w:r>
            <w:r w:rsidR="00E95E57" w:rsidRPr="005B5418">
              <w:t xml:space="preserve"> (A-136, section II.3.9.4)</w:t>
            </w:r>
          </w:p>
        </w:tc>
        <w:tc>
          <w:tcPr>
            <w:tcW w:w="965" w:type="dxa"/>
          </w:tcPr>
          <w:p w14:paraId="50CCF021" w14:textId="77777777" w:rsidR="0037069F" w:rsidRPr="005B5418" w:rsidRDefault="0037069F" w:rsidP="003B61E9">
            <w:pPr>
              <w:pStyle w:val="Table-Cell-CenterBoldBefore6ptAfter6pt"/>
            </w:pPr>
          </w:p>
        </w:tc>
        <w:tc>
          <w:tcPr>
            <w:tcW w:w="3211" w:type="dxa"/>
          </w:tcPr>
          <w:p w14:paraId="6124F947" w14:textId="77777777" w:rsidR="0037069F" w:rsidRPr="005B5418" w:rsidRDefault="0037069F" w:rsidP="003B61E9">
            <w:pPr>
              <w:spacing w:line="240" w:lineRule="auto"/>
            </w:pPr>
          </w:p>
        </w:tc>
      </w:tr>
    </w:tbl>
    <w:p w14:paraId="7E79E00E" w14:textId="77777777" w:rsidR="008B71C0" w:rsidRPr="005B5418" w:rsidRDefault="008B71C0" w:rsidP="003B61E9">
      <w:pPr>
        <w:spacing w:line="240" w:lineRule="auto"/>
        <w:rPr>
          <w:rFonts w:cs="Arial"/>
        </w:rPr>
      </w:pPr>
    </w:p>
    <w:p w14:paraId="249567C2" w14:textId="77777777" w:rsidR="008B71C0" w:rsidRPr="005B5418" w:rsidRDefault="008B71C0" w:rsidP="003B61E9">
      <w:pPr>
        <w:spacing w:line="240" w:lineRule="auto"/>
        <w:rPr>
          <w:rFonts w:cs="Arial"/>
        </w:rPr>
      </w:pPr>
      <w:r w:rsidRPr="005B5418">
        <w:rPr>
          <w:rFonts w:cs="Arial"/>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8"/>
        <w:gridCol w:w="966"/>
        <w:gridCol w:w="3216"/>
      </w:tblGrid>
      <w:tr w:rsidR="008B71C0" w:rsidRPr="005B5418" w14:paraId="54B08DF8" w14:textId="77777777" w:rsidTr="002F383D">
        <w:trPr>
          <w:tblHeader/>
        </w:trPr>
        <w:tc>
          <w:tcPr>
            <w:tcW w:w="5408" w:type="dxa"/>
          </w:tcPr>
          <w:p w14:paraId="12BA3BE5" w14:textId="77777777" w:rsidR="008B71C0" w:rsidRPr="005B5418" w:rsidRDefault="008B71C0" w:rsidP="008848DA">
            <w:pPr>
              <w:pStyle w:val="Heading4"/>
              <w:spacing w:before="60" w:after="60" w:line="240" w:lineRule="auto"/>
              <w:jc w:val="left"/>
              <w:rPr>
                <w:b/>
                <w:u w:val="none"/>
              </w:rPr>
            </w:pPr>
            <w:bookmarkStart w:id="263" w:name="_II.3.9.5_Social_Insurance"/>
            <w:bookmarkStart w:id="264" w:name="_Ref8657530"/>
            <w:bookmarkEnd w:id="263"/>
            <w:r w:rsidRPr="005B5418">
              <w:rPr>
                <w:b/>
                <w:u w:val="none"/>
              </w:rPr>
              <w:lastRenderedPageBreak/>
              <w:t>II.3.</w:t>
            </w:r>
            <w:r w:rsidR="00C73D60" w:rsidRPr="005B5418">
              <w:rPr>
                <w:b/>
                <w:u w:val="none"/>
              </w:rPr>
              <w:t>9</w:t>
            </w:r>
            <w:r w:rsidRPr="005B5418">
              <w:rPr>
                <w:b/>
                <w:u w:val="none"/>
              </w:rPr>
              <w:t>.5 Social Insurance</w:t>
            </w:r>
            <w:bookmarkEnd w:id="264"/>
          </w:p>
        </w:tc>
        <w:tc>
          <w:tcPr>
            <w:tcW w:w="966" w:type="dxa"/>
          </w:tcPr>
          <w:p w14:paraId="0D987F6F" w14:textId="77777777" w:rsidR="008B71C0" w:rsidRPr="005B5418" w:rsidRDefault="008B71C0" w:rsidP="008848DA">
            <w:pPr>
              <w:pStyle w:val="TableCellCenter"/>
              <w:spacing w:before="60" w:after="60"/>
              <w:jc w:val="left"/>
            </w:pPr>
            <w:r w:rsidRPr="005B5418">
              <w:t>Yes, No, or N/A</w:t>
            </w:r>
          </w:p>
        </w:tc>
        <w:tc>
          <w:tcPr>
            <w:tcW w:w="3216" w:type="dxa"/>
          </w:tcPr>
          <w:p w14:paraId="2E5D847D" w14:textId="14A2224A" w:rsidR="008B71C0" w:rsidRPr="005B5418" w:rsidRDefault="008B71C0" w:rsidP="008848DA">
            <w:pPr>
              <w:pStyle w:val="TableCellCenter"/>
              <w:spacing w:before="60" w:after="60"/>
              <w:jc w:val="left"/>
            </w:pPr>
            <w:r w:rsidRPr="005B5418">
              <w:t xml:space="preserve">Explanation </w:t>
            </w:r>
            <w:r w:rsidR="007342CD" w:rsidRPr="005B5418">
              <w:t xml:space="preserve">and </w:t>
            </w:r>
            <w:r w:rsidRPr="005B5418">
              <w:t>Reference</w:t>
            </w:r>
          </w:p>
        </w:tc>
      </w:tr>
      <w:tr w:rsidR="00DC08FB" w:rsidRPr="005B5418" w14:paraId="35421C45" w14:textId="77777777" w:rsidTr="00BF1913">
        <w:trPr>
          <w:trHeight w:val="1241"/>
        </w:trPr>
        <w:tc>
          <w:tcPr>
            <w:tcW w:w="5408" w:type="dxa"/>
          </w:tcPr>
          <w:p w14:paraId="144345C7" w14:textId="71013A2E" w:rsidR="00DC08FB" w:rsidRPr="005B5418" w:rsidRDefault="00DC08FB" w:rsidP="00093646">
            <w:pPr>
              <w:pStyle w:val="FAM-Table-outline"/>
              <w:widowControl/>
              <w:numPr>
                <w:ilvl w:val="0"/>
                <w:numId w:val="36"/>
              </w:numPr>
              <w:adjustRightInd/>
              <w:spacing w:line="240" w:lineRule="auto"/>
              <w:textAlignment w:val="auto"/>
            </w:pPr>
            <w:r w:rsidRPr="005B5418">
              <w:t xml:space="preserve">Is this topic applicable to the </w:t>
            </w:r>
            <w:r w:rsidR="00E078F8" w:rsidRPr="005B5418">
              <w:t>reporting entity</w:t>
            </w:r>
            <w:r w:rsidRPr="005B5418">
              <w:t>? (Answer Y if applicable, N/A if not applicable, or N/S if not significant. If N/A or N/S, skip to the next topic</w:t>
            </w:r>
            <w:r w:rsidR="007342CD" w:rsidRPr="005B5418">
              <w:t>.</w:t>
            </w:r>
            <w:r w:rsidRPr="005B5418">
              <w:t>)</w:t>
            </w:r>
          </w:p>
        </w:tc>
        <w:tc>
          <w:tcPr>
            <w:tcW w:w="966" w:type="dxa"/>
          </w:tcPr>
          <w:p w14:paraId="73D89F3C" w14:textId="77777777" w:rsidR="00DC08FB" w:rsidRPr="005B5418" w:rsidRDefault="00DC08FB" w:rsidP="008848DA">
            <w:pPr>
              <w:pStyle w:val="Table-Cell-CenterBoldBefore6ptAfter6pt"/>
              <w:spacing w:before="60" w:after="60"/>
            </w:pPr>
          </w:p>
        </w:tc>
        <w:tc>
          <w:tcPr>
            <w:tcW w:w="3216" w:type="dxa"/>
          </w:tcPr>
          <w:p w14:paraId="5861A6A0" w14:textId="77777777" w:rsidR="00DC08FB" w:rsidRPr="005B5418" w:rsidRDefault="00DC08FB" w:rsidP="008848DA">
            <w:pPr>
              <w:spacing w:before="60" w:after="60" w:line="240" w:lineRule="auto"/>
            </w:pPr>
          </w:p>
        </w:tc>
      </w:tr>
      <w:tr w:rsidR="008B71C0" w:rsidRPr="005B5418" w14:paraId="0A0AFDA2" w14:textId="77777777" w:rsidTr="00093646">
        <w:trPr>
          <w:trHeight w:val="1520"/>
        </w:trPr>
        <w:tc>
          <w:tcPr>
            <w:tcW w:w="5408" w:type="dxa"/>
          </w:tcPr>
          <w:p w14:paraId="22EE0E04" w14:textId="6D863841" w:rsidR="008B71C0" w:rsidRPr="005B5418" w:rsidRDefault="008B71C0" w:rsidP="00343610">
            <w:pPr>
              <w:pStyle w:val="FAM-Table-outline"/>
              <w:widowControl/>
              <w:numPr>
                <w:ilvl w:val="0"/>
                <w:numId w:val="36"/>
              </w:numPr>
              <w:adjustRightInd/>
              <w:spacing w:line="240" w:lineRule="auto"/>
              <w:textAlignment w:val="auto"/>
            </w:pPr>
            <w:r w:rsidRPr="005B5418">
              <w:t xml:space="preserve">Is a clear and concise description of the program, including how </w:t>
            </w:r>
            <w:r w:rsidR="00993452" w:rsidRPr="005B5418">
              <w:t xml:space="preserve">it is </w:t>
            </w:r>
            <w:r w:rsidRPr="005B5418">
              <w:t>financed, how benefits are calculated, an analysis of trends, and its financial and actuarial status</w:t>
            </w:r>
            <w:r w:rsidR="00993452" w:rsidRPr="005B5418">
              <w:t>,</w:t>
            </w:r>
            <w:r w:rsidRPr="005B5418">
              <w:t xml:space="preserve"> included in </w:t>
            </w:r>
            <w:r w:rsidR="00993452" w:rsidRPr="005B5418">
              <w:t xml:space="preserve">the </w:t>
            </w:r>
            <w:r w:rsidRPr="005B5418">
              <w:t>RSI? (SFF</w:t>
            </w:r>
            <w:r w:rsidR="00AE6134" w:rsidRPr="005B5418">
              <w:t>AS 17, par</w:t>
            </w:r>
            <w:r w:rsidR="00BE2998" w:rsidRPr="005B5418">
              <w:t>a</w:t>
            </w:r>
            <w:r w:rsidR="00AE6134" w:rsidRPr="005B5418">
              <w:t>. 24</w:t>
            </w:r>
            <w:r w:rsidRPr="005B5418">
              <w:t>)</w:t>
            </w:r>
          </w:p>
        </w:tc>
        <w:tc>
          <w:tcPr>
            <w:tcW w:w="966" w:type="dxa"/>
          </w:tcPr>
          <w:p w14:paraId="219C7A4F" w14:textId="77777777" w:rsidR="008B71C0" w:rsidRPr="005B5418" w:rsidRDefault="008B71C0" w:rsidP="008848DA">
            <w:pPr>
              <w:pStyle w:val="Table-Cell-CenterBoldBefore6ptAfter6pt"/>
              <w:spacing w:before="60" w:after="60"/>
            </w:pPr>
          </w:p>
        </w:tc>
        <w:tc>
          <w:tcPr>
            <w:tcW w:w="3216" w:type="dxa"/>
          </w:tcPr>
          <w:p w14:paraId="0B0CEDC9" w14:textId="77777777" w:rsidR="008B71C0" w:rsidRPr="005B5418" w:rsidRDefault="008B71C0" w:rsidP="008848DA">
            <w:pPr>
              <w:spacing w:before="60" w:after="60" w:line="240" w:lineRule="auto"/>
            </w:pPr>
          </w:p>
        </w:tc>
      </w:tr>
      <w:tr w:rsidR="008B71C0" w:rsidRPr="005B5418" w14:paraId="6CD3DD06" w14:textId="77777777" w:rsidTr="00093646">
        <w:trPr>
          <w:trHeight w:val="1880"/>
        </w:trPr>
        <w:tc>
          <w:tcPr>
            <w:tcW w:w="5408" w:type="dxa"/>
          </w:tcPr>
          <w:p w14:paraId="62B0D983" w14:textId="1C2E920B" w:rsidR="008B71C0" w:rsidRPr="005B5418" w:rsidRDefault="008B71C0" w:rsidP="00343610">
            <w:pPr>
              <w:pStyle w:val="FAM-Table-outline"/>
              <w:widowControl/>
              <w:numPr>
                <w:ilvl w:val="0"/>
                <w:numId w:val="36"/>
              </w:numPr>
              <w:adjustRightInd/>
              <w:spacing w:line="240" w:lineRule="auto"/>
              <w:textAlignment w:val="auto"/>
            </w:pPr>
            <w:r w:rsidRPr="005B5418">
              <w:t xml:space="preserve">Does the description in </w:t>
            </w:r>
            <w:r w:rsidR="00993452" w:rsidRPr="005B5418">
              <w:t xml:space="preserve">question </w:t>
            </w:r>
            <w:r w:rsidR="00BF1913" w:rsidRPr="005B5418">
              <w:t>2</w:t>
            </w:r>
            <w:r w:rsidRPr="005B5418">
              <w:t xml:space="preserve">) include   </w:t>
            </w:r>
          </w:p>
          <w:p w14:paraId="35955021" w14:textId="60923161" w:rsidR="008B71C0" w:rsidRPr="005B5418" w:rsidRDefault="008B71C0" w:rsidP="005425ED">
            <w:pPr>
              <w:pStyle w:val="FAM-Table-outline2"/>
              <w:spacing w:line="240" w:lineRule="auto"/>
              <w:ind w:left="1140" w:hanging="443"/>
            </w:pPr>
            <w:r w:rsidRPr="005B5418">
              <w:t>discussion of the long-term sustainability and financial condition of the program and</w:t>
            </w:r>
          </w:p>
          <w:p w14:paraId="3C2FDE27" w14:textId="7830E95D" w:rsidR="008B71C0" w:rsidRPr="005B5418" w:rsidRDefault="008B71C0" w:rsidP="005425ED">
            <w:pPr>
              <w:pStyle w:val="FAM-Table-outline2"/>
              <w:spacing w:line="240" w:lineRule="auto"/>
              <w:ind w:left="1140" w:hanging="443"/>
            </w:pPr>
            <w:r w:rsidRPr="005B5418">
              <w:t>an illustration and explanation of the long-term trends revealed in the data? (SFFAS 17, par</w:t>
            </w:r>
            <w:r w:rsidR="00BE2998" w:rsidRPr="005B5418">
              <w:t>a</w:t>
            </w:r>
            <w:r w:rsidRPr="005B5418">
              <w:t>. 24)</w:t>
            </w:r>
          </w:p>
        </w:tc>
        <w:tc>
          <w:tcPr>
            <w:tcW w:w="966" w:type="dxa"/>
          </w:tcPr>
          <w:p w14:paraId="136A41AE" w14:textId="77777777" w:rsidR="008B71C0" w:rsidRPr="005B5418" w:rsidRDefault="008B71C0" w:rsidP="008848DA">
            <w:pPr>
              <w:pStyle w:val="Table-Cell-CenterBoldBefore6ptAfter6pt"/>
              <w:spacing w:before="60" w:after="60"/>
            </w:pPr>
          </w:p>
        </w:tc>
        <w:tc>
          <w:tcPr>
            <w:tcW w:w="3216" w:type="dxa"/>
          </w:tcPr>
          <w:p w14:paraId="6E667CEF" w14:textId="77777777" w:rsidR="008B71C0" w:rsidRPr="005B5418" w:rsidRDefault="008B71C0" w:rsidP="008848DA">
            <w:pPr>
              <w:spacing w:before="60" w:after="60" w:line="240" w:lineRule="auto"/>
            </w:pPr>
          </w:p>
        </w:tc>
      </w:tr>
      <w:tr w:rsidR="008B71C0" w:rsidRPr="005B5418" w14:paraId="752C4C81" w14:textId="77777777" w:rsidTr="00093646">
        <w:trPr>
          <w:trHeight w:val="1250"/>
        </w:trPr>
        <w:tc>
          <w:tcPr>
            <w:tcW w:w="5408" w:type="dxa"/>
          </w:tcPr>
          <w:p w14:paraId="16D3274B" w14:textId="43FE7777" w:rsidR="008B71C0" w:rsidRPr="005B5418" w:rsidRDefault="008B71C0" w:rsidP="00343610">
            <w:pPr>
              <w:pStyle w:val="FAM-Table-outline"/>
              <w:widowControl/>
              <w:numPr>
                <w:ilvl w:val="0"/>
                <w:numId w:val="36"/>
              </w:numPr>
              <w:adjustRightInd/>
              <w:spacing w:line="240" w:lineRule="auto"/>
              <w:textAlignment w:val="auto"/>
            </w:pPr>
            <w:r w:rsidRPr="005B5418">
              <w:t>Are statutory or other material changes, and implications thereof, affecting the program after the current fiscal year described? (SFFAS 17, par</w:t>
            </w:r>
            <w:r w:rsidR="00BE2998" w:rsidRPr="005B5418">
              <w:t>a</w:t>
            </w:r>
            <w:r w:rsidRPr="005B5418">
              <w:t>. 24)</w:t>
            </w:r>
          </w:p>
        </w:tc>
        <w:tc>
          <w:tcPr>
            <w:tcW w:w="966" w:type="dxa"/>
          </w:tcPr>
          <w:p w14:paraId="3D972251" w14:textId="77777777" w:rsidR="008B71C0" w:rsidRPr="005B5418" w:rsidRDefault="008B71C0" w:rsidP="008848DA">
            <w:pPr>
              <w:pStyle w:val="Table-Cell-CenterBoldBefore6ptAfter6pt"/>
              <w:spacing w:before="60" w:after="60"/>
            </w:pPr>
          </w:p>
        </w:tc>
        <w:tc>
          <w:tcPr>
            <w:tcW w:w="3216" w:type="dxa"/>
          </w:tcPr>
          <w:p w14:paraId="6A0C4E7F" w14:textId="77777777" w:rsidR="008B71C0" w:rsidRPr="005B5418" w:rsidRDefault="008B71C0" w:rsidP="008848DA">
            <w:pPr>
              <w:spacing w:before="60" w:after="60" w:line="240" w:lineRule="auto"/>
            </w:pPr>
          </w:p>
        </w:tc>
      </w:tr>
      <w:tr w:rsidR="008B71C0" w:rsidRPr="005B5418" w14:paraId="185A1AE8" w14:textId="77777777" w:rsidTr="00BF1913">
        <w:trPr>
          <w:trHeight w:val="2160"/>
        </w:trPr>
        <w:tc>
          <w:tcPr>
            <w:tcW w:w="5408" w:type="dxa"/>
          </w:tcPr>
          <w:p w14:paraId="3F7FE00F" w14:textId="53F63A7E" w:rsidR="008B71C0" w:rsidRPr="005B5418" w:rsidRDefault="008B71C0" w:rsidP="00343610">
            <w:pPr>
              <w:pStyle w:val="FAM-Table-outline"/>
              <w:widowControl/>
              <w:numPr>
                <w:ilvl w:val="0"/>
                <w:numId w:val="36"/>
              </w:numPr>
              <w:adjustRightInd/>
              <w:spacing w:line="240" w:lineRule="auto"/>
              <w:textAlignment w:val="auto"/>
            </w:pPr>
            <w:r w:rsidRPr="005B5418">
              <w:t>Does information on the financial and actuarial status of the social insurance program(s) include projections of cash flows during a projection period sufficient to illustrate long-term sustainability and show the annual cash flows for current and future participants? (SFFAS 17, par</w:t>
            </w:r>
            <w:r w:rsidR="00993452" w:rsidRPr="005B5418">
              <w:t>a</w:t>
            </w:r>
            <w:r w:rsidRPr="005B5418">
              <w:t>. 27 (1))</w:t>
            </w:r>
          </w:p>
        </w:tc>
        <w:tc>
          <w:tcPr>
            <w:tcW w:w="966" w:type="dxa"/>
          </w:tcPr>
          <w:p w14:paraId="27C36835" w14:textId="77777777" w:rsidR="008B71C0" w:rsidRPr="005B5418" w:rsidRDefault="008B71C0" w:rsidP="008848DA">
            <w:pPr>
              <w:pStyle w:val="Table-Cell-CenterBoldBefore6ptAfter6pt"/>
              <w:spacing w:before="60" w:after="60"/>
            </w:pPr>
          </w:p>
        </w:tc>
        <w:tc>
          <w:tcPr>
            <w:tcW w:w="3216" w:type="dxa"/>
          </w:tcPr>
          <w:p w14:paraId="0E817B0B" w14:textId="77777777" w:rsidR="008B71C0" w:rsidRPr="005B5418" w:rsidRDefault="008B71C0" w:rsidP="008848DA">
            <w:pPr>
              <w:spacing w:before="60" w:after="60" w:line="240" w:lineRule="auto"/>
            </w:pPr>
          </w:p>
        </w:tc>
      </w:tr>
      <w:tr w:rsidR="008B71C0" w:rsidRPr="005B5418" w14:paraId="3D6CDD42" w14:textId="77777777" w:rsidTr="00BF1913">
        <w:trPr>
          <w:trHeight w:val="1322"/>
        </w:trPr>
        <w:tc>
          <w:tcPr>
            <w:tcW w:w="5408" w:type="dxa"/>
          </w:tcPr>
          <w:p w14:paraId="53C6FBD0" w14:textId="33BB9248" w:rsidR="008B71C0" w:rsidRPr="005B5418" w:rsidRDefault="008B71C0" w:rsidP="00343610">
            <w:pPr>
              <w:pStyle w:val="FAM-Table-outline"/>
              <w:widowControl/>
              <w:numPr>
                <w:ilvl w:val="0"/>
                <w:numId w:val="36"/>
              </w:numPr>
              <w:adjustRightInd/>
              <w:spacing w:line="240" w:lineRule="auto"/>
              <w:textAlignment w:val="auto"/>
            </w:pPr>
            <w:r w:rsidRPr="005B5418">
              <w:t>Are the actuarial projections of cash flow amounts reported for at least every fifth year in the projection period? (SFFAS 17, par</w:t>
            </w:r>
            <w:r w:rsidR="00993452" w:rsidRPr="005B5418">
              <w:t>a</w:t>
            </w:r>
            <w:r w:rsidRPr="005B5418">
              <w:t>. 27 (1))</w:t>
            </w:r>
          </w:p>
        </w:tc>
        <w:tc>
          <w:tcPr>
            <w:tcW w:w="966" w:type="dxa"/>
          </w:tcPr>
          <w:p w14:paraId="13B749FC" w14:textId="77777777" w:rsidR="008B71C0" w:rsidRPr="005B5418" w:rsidRDefault="008B71C0" w:rsidP="008848DA">
            <w:pPr>
              <w:pStyle w:val="Table-Cell-CenterBoldBefore6ptAfter6pt"/>
              <w:spacing w:before="60" w:after="60"/>
            </w:pPr>
          </w:p>
        </w:tc>
        <w:tc>
          <w:tcPr>
            <w:tcW w:w="3216" w:type="dxa"/>
          </w:tcPr>
          <w:p w14:paraId="799DFFD7" w14:textId="77777777" w:rsidR="008B71C0" w:rsidRPr="005B5418" w:rsidRDefault="008B71C0" w:rsidP="008848DA">
            <w:pPr>
              <w:spacing w:before="60" w:after="60" w:line="240" w:lineRule="auto"/>
            </w:pPr>
          </w:p>
        </w:tc>
      </w:tr>
      <w:tr w:rsidR="008B71C0" w:rsidRPr="005B5418" w14:paraId="4A3169E2" w14:textId="77777777" w:rsidTr="00BF1913">
        <w:trPr>
          <w:trHeight w:val="2160"/>
        </w:trPr>
        <w:tc>
          <w:tcPr>
            <w:tcW w:w="5408" w:type="dxa"/>
          </w:tcPr>
          <w:p w14:paraId="1470F416" w14:textId="77777777" w:rsidR="008B71C0" w:rsidRPr="005B5418" w:rsidRDefault="008B71C0" w:rsidP="00343610">
            <w:pPr>
              <w:pStyle w:val="FAM-Table-outline"/>
              <w:widowControl/>
              <w:numPr>
                <w:ilvl w:val="0"/>
                <w:numId w:val="36"/>
              </w:numPr>
              <w:adjustRightInd/>
              <w:spacing w:line="240" w:lineRule="auto"/>
              <w:textAlignment w:val="auto"/>
            </w:pPr>
            <w:r w:rsidRPr="005B5418">
              <w:t>Does the cash flow information show</w:t>
            </w:r>
          </w:p>
          <w:p w14:paraId="4C50B1EE" w14:textId="6797BEB6" w:rsidR="008B71C0" w:rsidRPr="005B5418" w:rsidRDefault="008B71C0" w:rsidP="005425ED">
            <w:pPr>
              <w:pStyle w:val="FAM-Table-outline2"/>
              <w:spacing w:line="240" w:lineRule="auto"/>
              <w:ind w:left="1140" w:hanging="443"/>
            </w:pPr>
            <w:r w:rsidRPr="005B5418">
              <w:t>total cash inflow from all sources (i.e., by and on behalf of participants) less net interest on intragovernmental borrowing and lending and</w:t>
            </w:r>
          </w:p>
          <w:p w14:paraId="4EC6CB4E" w14:textId="506B54AA" w:rsidR="008B71C0" w:rsidRPr="005B5418" w:rsidRDefault="008B71C0" w:rsidP="005425ED">
            <w:pPr>
              <w:pStyle w:val="FAM-Table-outline2"/>
              <w:spacing w:line="240" w:lineRule="auto"/>
              <w:ind w:left="1140" w:hanging="443"/>
            </w:pPr>
            <w:r w:rsidRPr="005B5418">
              <w:t>total cash outflow? (SFFAS 17, par</w:t>
            </w:r>
            <w:r w:rsidR="00424182" w:rsidRPr="005B5418">
              <w:t>a</w:t>
            </w:r>
            <w:r w:rsidRPr="005B5418">
              <w:t>. 27 (1))</w:t>
            </w:r>
          </w:p>
        </w:tc>
        <w:tc>
          <w:tcPr>
            <w:tcW w:w="966" w:type="dxa"/>
          </w:tcPr>
          <w:p w14:paraId="3B7252FE" w14:textId="77777777" w:rsidR="008B71C0" w:rsidRPr="005B5418" w:rsidRDefault="008B71C0" w:rsidP="008848DA">
            <w:pPr>
              <w:pStyle w:val="Table-Cell-CenterBoldBefore6ptAfter6pt"/>
              <w:spacing w:before="60" w:after="60"/>
            </w:pPr>
          </w:p>
        </w:tc>
        <w:tc>
          <w:tcPr>
            <w:tcW w:w="3216" w:type="dxa"/>
          </w:tcPr>
          <w:p w14:paraId="2BE6A414" w14:textId="77777777" w:rsidR="008B71C0" w:rsidRPr="005B5418" w:rsidRDefault="008B71C0" w:rsidP="008848DA">
            <w:pPr>
              <w:spacing w:before="60" w:after="60" w:line="240" w:lineRule="auto"/>
            </w:pPr>
          </w:p>
        </w:tc>
      </w:tr>
      <w:tr w:rsidR="008B71C0" w:rsidRPr="005B5418" w14:paraId="317011F3" w14:textId="77777777" w:rsidTr="00BF1913">
        <w:trPr>
          <w:trHeight w:val="2160"/>
        </w:trPr>
        <w:tc>
          <w:tcPr>
            <w:tcW w:w="5408" w:type="dxa"/>
          </w:tcPr>
          <w:p w14:paraId="64B7DC0A" w14:textId="431ECDA2" w:rsidR="008B71C0" w:rsidRPr="005B5418" w:rsidRDefault="008B71C0" w:rsidP="00343610">
            <w:pPr>
              <w:pStyle w:val="FAM-Table-outline"/>
              <w:widowControl/>
              <w:numPr>
                <w:ilvl w:val="0"/>
                <w:numId w:val="36"/>
              </w:numPr>
              <w:adjustRightInd/>
              <w:spacing w:line="240" w:lineRule="auto"/>
              <w:textAlignment w:val="auto"/>
            </w:pPr>
            <w:r w:rsidRPr="005B5418">
              <w:lastRenderedPageBreak/>
              <w:t>Does the narrative of the cash flow data include during the projection period any prior year or years when cash outflow exceeds cash inflow with and without interest on intragovernmental borrowing or lending (the “cross-over points”)? (SFFAS 17, par</w:t>
            </w:r>
            <w:r w:rsidR="00424182" w:rsidRPr="005B5418">
              <w:t>a</w:t>
            </w:r>
            <w:r w:rsidRPr="005B5418">
              <w:t>. 27 (1))</w:t>
            </w:r>
          </w:p>
        </w:tc>
        <w:tc>
          <w:tcPr>
            <w:tcW w:w="966" w:type="dxa"/>
          </w:tcPr>
          <w:p w14:paraId="7C815CC5" w14:textId="77777777" w:rsidR="008B71C0" w:rsidRPr="005B5418" w:rsidRDefault="008B71C0" w:rsidP="008848DA">
            <w:pPr>
              <w:pStyle w:val="Table-Cell-CenterBoldBefore6ptAfter6pt"/>
              <w:spacing w:before="60" w:after="60"/>
            </w:pPr>
          </w:p>
        </w:tc>
        <w:tc>
          <w:tcPr>
            <w:tcW w:w="3216" w:type="dxa"/>
          </w:tcPr>
          <w:p w14:paraId="09D0FC6A" w14:textId="77777777" w:rsidR="008B71C0" w:rsidRPr="005B5418" w:rsidRDefault="008B71C0" w:rsidP="008848DA">
            <w:pPr>
              <w:spacing w:before="60" w:after="60" w:line="240" w:lineRule="auto"/>
            </w:pPr>
          </w:p>
        </w:tc>
      </w:tr>
      <w:tr w:rsidR="008B71C0" w:rsidRPr="005B5418" w14:paraId="6D986877" w14:textId="77777777" w:rsidTr="00BF1913">
        <w:trPr>
          <w:trHeight w:val="1628"/>
        </w:trPr>
        <w:tc>
          <w:tcPr>
            <w:tcW w:w="5408" w:type="dxa"/>
          </w:tcPr>
          <w:p w14:paraId="336D6DE5" w14:textId="6C8017EB" w:rsidR="008B71C0" w:rsidRPr="005B5418" w:rsidRDefault="008B71C0" w:rsidP="00343610">
            <w:pPr>
              <w:pStyle w:val="FAM-Table-outline"/>
              <w:widowControl/>
              <w:numPr>
                <w:ilvl w:val="0"/>
                <w:numId w:val="36"/>
              </w:numPr>
              <w:adjustRightInd/>
              <w:spacing w:line="240" w:lineRule="auto"/>
              <w:textAlignment w:val="auto"/>
            </w:pPr>
            <w:r w:rsidRPr="005B5418">
              <w:t>Does the narrative provide an explanation of the significance of the cash flow “cross-over points” where cash outflows begin exceeding cash inflows? (SFFAS 17, par</w:t>
            </w:r>
            <w:r w:rsidR="00424182" w:rsidRPr="005B5418">
              <w:t>a</w:t>
            </w:r>
            <w:r w:rsidRPr="005B5418">
              <w:t>. 27 (1))</w:t>
            </w:r>
          </w:p>
        </w:tc>
        <w:tc>
          <w:tcPr>
            <w:tcW w:w="966" w:type="dxa"/>
          </w:tcPr>
          <w:p w14:paraId="081DC323" w14:textId="77777777" w:rsidR="008B71C0" w:rsidRPr="005B5418" w:rsidRDefault="008B71C0" w:rsidP="008848DA">
            <w:pPr>
              <w:pStyle w:val="Table-Cell-CenterBoldBefore6ptAfter6pt"/>
              <w:spacing w:before="60" w:after="60"/>
            </w:pPr>
          </w:p>
        </w:tc>
        <w:tc>
          <w:tcPr>
            <w:tcW w:w="3216" w:type="dxa"/>
          </w:tcPr>
          <w:p w14:paraId="78D3BA20" w14:textId="77777777" w:rsidR="008B71C0" w:rsidRPr="005B5418" w:rsidRDefault="008B71C0" w:rsidP="008848DA">
            <w:pPr>
              <w:spacing w:before="60" w:after="60" w:line="240" w:lineRule="auto"/>
            </w:pPr>
          </w:p>
        </w:tc>
      </w:tr>
      <w:tr w:rsidR="008B71C0" w:rsidRPr="005B5418" w14:paraId="0AC36545" w14:textId="77777777" w:rsidTr="00BF1913">
        <w:trPr>
          <w:trHeight w:val="2160"/>
        </w:trPr>
        <w:tc>
          <w:tcPr>
            <w:tcW w:w="5408" w:type="dxa"/>
          </w:tcPr>
          <w:p w14:paraId="0AEC8D67" w14:textId="2B803158" w:rsidR="008B71C0" w:rsidRPr="005B5418" w:rsidRDefault="008B71C0" w:rsidP="00343610">
            <w:pPr>
              <w:pStyle w:val="FAM-Table-outline"/>
              <w:widowControl/>
              <w:numPr>
                <w:ilvl w:val="0"/>
                <w:numId w:val="36"/>
              </w:numPr>
              <w:adjustRightInd/>
              <w:spacing w:line="240" w:lineRule="auto"/>
              <w:textAlignment w:val="auto"/>
            </w:pPr>
            <w:r w:rsidRPr="005B5418">
              <w:t>Do the cash flow projections (net of interest on intragovernmental borrowing/lending) for Social Security (OASDI), Medicare Part A (HI), and Railroad Retirement Benefits include an estimate of cash flows as a percentage of taxable payroll? (SFFAS 17, par</w:t>
            </w:r>
            <w:r w:rsidR="00424182" w:rsidRPr="005B5418">
              <w:t>a</w:t>
            </w:r>
            <w:r w:rsidRPr="005B5418">
              <w:t>. 27 (1))</w:t>
            </w:r>
          </w:p>
        </w:tc>
        <w:tc>
          <w:tcPr>
            <w:tcW w:w="966" w:type="dxa"/>
          </w:tcPr>
          <w:p w14:paraId="2FF958BF" w14:textId="77777777" w:rsidR="008B71C0" w:rsidRPr="005B5418" w:rsidRDefault="008B71C0" w:rsidP="008848DA">
            <w:pPr>
              <w:pStyle w:val="Table-Cell-CenterBoldBefore6ptAfter6pt"/>
              <w:spacing w:before="60" w:after="60"/>
            </w:pPr>
          </w:p>
        </w:tc>
        <w:tc>
          <w:tcPr>
            <w:tcW w:w="3216" w:type="dxa"/>
          </w:tcPr>
          <w:p w14:paraId="0BCE774C" w14:textId="77777777" w:rsidR="008B71C0" w:rsidRPr="005B5418" w:rsidRDefault="008B71C0" w:rsidP="008848DA">
            <w:pPr>
              <w:spacing w:before="60" w:after="60" w:line="240" w:lineRule="auto"/>
            </w:pPr>
          </w:p>
        </w:tc>
      </w:tr>
      <w:tr w:rsidR="008B71C0" w:rsidRPr="005B5418" w14:paraId="7E688B1E" w14:textId="77777777" w:rsidTr="00BF1913">
        <w:trPr>
          <w:trHeight w:val="2160"/>
        </w:trPr>
        <w:tc>
          <w:tcPr>
            <w:tcW w:w="5408" w:type="dxa"/>
          </w:tcPr>
          <w:p w14:paraId="0510C68F" w14:textId="6BB2BB03" w:rsidR="008B71C0" w:rsidRPr="005B5418" w:rsidRDefault="008B71C0" w:rsidP="00343610">
            <w:pPr>
              <w:pStyle w:val="FAM-Table-outline"/>
              <w:widowControl/>
              <w:numPr>
                <w:ilvl w:val="0"/>
                <w:numId w:val="36"/>
              </w:numPr>
              <w:adjustRightInd/>
              <w:spacing w:line="240" w:lineRule="auto"/>
              <w:textAlignment w:val="auto"/>
            </w:pPr>
            <w:r w:rsidRPr="005B5418">
              <w:t>Do the cash flow projections (net of interest on intragovernmental borrowing/lending) for OASDI, HI, and Medicare Parts B and D (SMI) include an estimate of cash flows as a percentage of gross domestic product? (SFFAS 17, par</w:t>
            </w:r>
            <w:r w:rsidR="00424182" w:rsidRPr="005B5418">
              <w:t>a</w:t>
            </w:r>
            <w:r w:rsidRPr="005B5418">
              <w:t>. 27 (1))</w:t>
            </w:r>
          </w:p>
        </w:tc>
        <w:tc>
          <w:tcPr>
            <w:tcW w:w="966" w:type="dxa"/>
          </w:tcPr>
          <w:p w14:paraId="6F9E2228" w14:textId="77777777" w:rsidR="008B71C0" w:rsidRPr="005B5418" w:rsidRDefault="008B71C0" w:rsidP="008848DA">
            <w:pPr>
              <w:pStyle w:val="Table-Cell-CenterBoldBefore6ptAfter6pt"/>
              <w:spacing w:before="60" w:after="60"/>
            </w:pPr>
          </w:p>
        </w:tc>
        <w:tc>
          <w:tcPr>
            <w:tcW w:w="3216" w:type="dxa"/>
          </w:tcPr>
          <w:p w14:paraId="209139F1" w14:textId="77777777" w:rsidR="008B71C0" w:rsidRPr="005B5418" w:rsidRDefault="008B71C0" w:rsidP="008848DA">
            <w:pPr>
              <w:spacing w:before="60" w:after="60" w:line="240" w:lineRule="auto"/>
            </w:pPr>
          </w:p>
        </w:tc>
      </w:tr>
      <w:tr w:rsidR="008B71C0" w:rsidRPr="005B5418" w14:paraId="6D3C9449" w14:textId="77777777" w:rsidTr="00BF1913">
        <w:trPr>
          <w:trHeight w:val="1457"/>
        </w:trPr>
        <w:tc>
          <w:tcPr>
            <w:tcW w:w="5408" w:type="dxa"/>
          </w:tcPr>
          <w:p w14:paraId="0BAE036D" w14:textId="0ECF6B75" w:rsidR="008B71C0" w:rsidRPr="005B5418" w:rsidRDefault="008B71C0" w:rsidP="00343610">
            <w:pPr>
              <w:pStyle w:val="FAM-Table-outline"/>
              <w:widowControl/>
              <w:numPr>
                <w:ilvl w:val="0"/>
                <w:numId w:val="36"/>
              </w:numPr>
              <w:adjustRightInd/>
              <w:spacing w:line="240" w:lineRule="auto"/>
              <w:textAlignment w:val="auto"/>
            </w:pPr>
            <w:r w:rsidRPr="005B5418">
              <w:t>Are the actuarial projections for the Black Lung and Unemployment Insurance (UI) programs expressed in constant (or inflation-adjusted) dollars? (SFFAS 17, par</w:t>
            </w:r>
            <w:r w:rsidR="00F31D81" w:rsidRPr="005B5418">
              <w:t>a</w:t>
            </w:r>
            <w:r w:rsidRPr="005B5418">
              <w:t>. 27 (1))</w:t>
            </w:r>
          </w:p>
        </w:tc>
        <w:tc>
          <w:tcPr>
            <w:tcW w:w="966" w:type="dxa"/>
          </w:tcPr>
          <w:p w14:paraId="2DC61416" w14:textId="77777777" w:rsidR="008B71C0" w:rsidRPr="005B5418" w:rsidRDefault="008B71C0" w:rsidP="008848DA">
            <w:pPr>
              <w:pStyle w:val="Table-Cell-CenterBoldBefore6ptAfter6pt"/>
              <w:spacing w:before="60" w:after="60"/>
            </w:pPr>
          </w:p>
        </w:tc>
        <w:tc>
          <w:tcPr>
            <w:tcW w:w="3216" w:type="dxa"/>
          </w:tcPr>
          <w:p w14:paraId="22FD5F45" w14:textId="77777777" w:rsidR="008B71C0" w:rsidRPr="005B5418" w:rsidRDefault="008B71C0" w:rsidP="008848DA">
            <w:pPr>
              <w:spacing w:before="60" w:after="60" w:line="240" w:lineRule="auto"/>
            </w:pPr>
          </w:p>
        </w:tc>
      </w:tr>
      <w:tr w:rsidR="008B71C0" w:rsidRPr="005B5418" w14:paraId="7F228162" w14:textId="77777777" w:rsidTr="00BF1913">
        <w:trPr>
          <w:trHeight w:val="2160"/>
        </w:trPr>
        <w:tc>
          <w:tcPr>
            <w:tcW w:w="5408" w:type="dxa"/>
          </w:tcPr>
          <w:p w14:paraId="48119387" w14:textId="1CDBDE94" w:rsidR="008B71C0" w:rsidRPr="005B5418" w:rsidRDefault="008B71C0" w:rsidP="00343610">
            <w:pPr>
              <w:pStyle w:val="FAM-Table-outline"/>
              <w:widowControl/>
              <w:numPr>
                <w:ilvl w:val="0"/>
                <w:numId w:val="36"/>
              </w:numPr>
              <w:adjustRightInd/>
              <w:spacing w:line="240" w:lineRule="auto"/>
              <w:textAlignment w:val="auto"/>
            </w:pPr>
            <w:r w:rsidRPr="005B5418">
              <w:lastRenderedPageBreak/>
              <w:t>For OASDI and HI programs, does the entity’s cash flow information show its estimate of the ratio of the number of contributors to the number of beneficiaries during the same projection period as for cash flow projections (commonly called the dependency rat</w:t>
            </w:r>
            <w:r w:rsidR="00AE6134" w:rsidRPr="005B5418">
              <w:t>io)? (SFFAS 17, par</w:t>
            </w:r>
            <w:r w:rsidR="00F31D81" w:rsidRPr="005B5418">
              <w:t>a</w:t>
            </w:r>
            <w:r w:rsidR="00AE6134" w:rsidRPr="005B5418">
              <w:t>. 27 (2)</w:t>
            </w:r>
            <w:r w:rsidRPr="005B5418">
              <w:t>)</w:t>
            </w:r>
          </w:p>
        </w:tc>
        <w:tc>
          <w:tcPr>
            <w:tcW w:w="966" w:type="dxa"/>
          </w:tcPr>
          <w:p w14:paraId="6555882B" w14:textId="77777777" w:rsidR="008B71C0" w:rsidRPr="005B5418" w:rsidRDefault="008B71C0" w:rsidP="008848DA">
            <w:pPr>
              <w:pStyle w:val="Table-Cell-CenterBoldBefore6ptAfter6pt"/>
              <w:spacing w:before="60" w:after="60"/>
            </w:pPr>
          </w:p>
        </w:tc>
        <w:tc>
          <w:tcPr>
            <w:tcW w:w="3216" w:type="dxa"/>
          </w:tcPr>
          <w:p w14:paraId="1D55C991" w14:textId="77777777" w:rsidR="008B71C0" w:rsidRPr="005B5418" w:rsidRDefault="008B71C0" w:rsidP="008848DA">
            <w:pPr>
              <w:spacing w:before="60" w:after="60" w:line="240" w:lineRule="auto"/>
            </w:pPr>
          </w:p>
        </w:tc>
      </w:tr>
      <w:tr w:rsidR="008B71C0" w:rsidRPr="005B5418" w14:paraId="5388DAA5" w14:textId="77777777" w:rsidTr="00BF1913">
        <w:trPr>
          <w:trHeight w:val="1268"/>
        </w:trPr>
        <w:tc>
          <w:tcPr>
            <w:tcW w:w="5408" w:type="dxa"/>
          </w:tcPr>
          <w:p w14:paraId="69CA9844" w14:textId="0DDCBF14" w:rsidR="008B71C0" w:rsidRPr="005B5418" w:rsidRDefault="008B71C0" w:rsidP="00343610">
            <w:pPr>
              <w:pStyle w:val="FAM-Table-outline"/>
              <w:widowControl/>
              <w:numPr>
                <w:ilvl w:val="0"/>
                <w:numId w:val="36"/>
              </w:numPr>
              <w:adjustRightInd/>
              <w:spacing w:line="240" w:lineRule="auto"/>
              <w:textAlignment w:val="auto"/>
            </w:pPr>
            <w:r w:rsidRPr="005B5418">
              <w:t>Is the ratio of contributors to beneficiaries for OASDI and HI reported for the beginning and end of the projection period? (SFFAS 17, par</w:t>
            </w:r>
            <w:r w:rsidR="00F31D81" w:rsidRPr="005B5418">
              <w:t>a</w:t>
            </w:r>
            <w:r w:rsidRPr="005B5418">
              <w:t>. 27 (2))</w:t>
            </w:r>
          </w:p>
        </w:tc>
        <w:tc>
          <w:tcPr>
            <w:tcW w:w="966" w:type="dxa"/>
          </w:tcPr>
          <w:p w14:paraId="1C4058B9" w14:textId="77777777" w:rsidR="008B71C0" w:rsidRPr="005B5418" w:rsidRDefault="008B71C0" w:rsidP="008848DA">
            <w:pPr>
              <w:pStyle w:val="Table-Cell-CenterBoldBefore6ptAfter6pt"/>
              <w:spacing w:before="60" w:after="60"/>
            </w:pPr>
          </w:p>
        </w:tc>
        <w:tc>
          <w:tcPr>
            <w:tcW w:w="3216" w:type="dxa"/>
          </w:tcPr>
          <w:p w14:paraId="6B9879E3" w14:textId="77777777" w:rsidR="008B71C0" w:rsidRPr="005B5418" w:rsidRDefault="008B71C0" w:rsidP="008848DA">
            <w:pPr>
              <w:spacing w:before="60" w:after="60" w:line="240" w:lineRule="auto"/>
            </w:pPr>
          </w:p>
        </w:tc>
      </w:tr>
      <w:tr w:rsidR="008B71C0" w:rsidRPr="005B5418" w14:paraId="4DABF5BE" w14:textId="77777777" w:rsidTr="00BF1913">
        <w:trPr>
          <w:trHeight w:val="1349"/>
        </w:trPr>
        <w:tc>
          <w:tcPr>
            <w:tcW w:w="5408" w:type="dxa"/>
          </w:tcPr>
          <w:p w14:paraId="4438DC69" w14:textId="2A81C3CB" w:rsidR="008B71C0" w:rsidRPr="005B5418" w:rsidRDefault="008B71C0" w:rsidP="00343610">
            <w:pPr>
              <w:pStyle w:val="FAM-Table-outline"/>
              <w:widowControl/>
              <w:numPr>
                <w:ilvl w:val="0"/>
                <w:numId w:val="36"/>
              </w:numPr>
              <w:adjustRightInd/>
              <w:spacing w:line="240" w:lineRule="auto"/>
              <w:textAlignment w:val="auto"/>
            </w:pPr>
            <w:r w:rsidRPr="005B5418">
              <w:t>Does the entity’s RSI include a sensitivity analysis of the open group measures? (SFFAS 17, par</w:t>
            </w:r>
            <w:r w:rsidR="00F31D81" w:rsidRPr="005B5418">
              <w:t>a</w:t>
            </w:r>
            <w:r w:rsidRPr="005B5418">
              <w:t>. 27)</w:t>
            </w:r>
          </w:p>
        </w:tc>
        <w:tc>
          <w:tcPr>
            <w:tcW w:w="966" w:type="dxa"/>
          </w:tcPr>
          <w:p w14:paraId="546C7445" w14:textId="77777777" w:rsidR="008B71C0" w:rsidRPr="005B5418" w:rsidRDefault="008B71C0" w:rsidP="008848DA">
            <w:pPr>
              <w:pStyle w:val="Table-Cell-CenterBoldBefore6ptAfter6pt"/>
              <w:spacing w:before="60" w:after="60"/>
            </w:pPr>
          </w:p>
        </w:tc>
        <w:tc>
          <w:tcPr>
            <w:tcW w:w="3216" w:type="dxa"/>
          </w:tcPr>
          <w:p w14:paraId="5FB569E2" w14:textId="77777777" w:rsidR="008B71C0" w:rsidRPr="005B5418" w:rsidRDefault="008B71C0" w:rsidP="008848DA">
            <w:pPr>
              <w:spacing w:before="60" w:after="60" w:line="240" w:lineRule="auto"/>
            </w:pPr>
          </w:p>
        </w:tc>
      </w:tr>
      <w:tr w:rsidR="008B71C0" w:rsidRPr="005B5418" w14:paraId="701F1D96" w14:textId="77777777" w:rsidTr="00BF1913">
        <w:trPr>
          <w:trHeight w:val="2160"/>
        </w:trPr>
        <w:tc>
          <w:tcPr>
            <w:tcW w:w="5408" w:type="dxa"/>
          </w:tcPr>
          <w:p w14:paraId="58FF506A" w14:textId="474C319C" w:rsidR="008B71C0" w:rsidRPr="005B5418" w:rsidRDefault="008B71C0" w:rsidP="00343610">
            <w:pPr>
              <w:pStyle w:val="FAM-Table-outline"/>
              <w:widowControl/>
              <w:numPr>
                <w:ilvl w:val="0"/>
                <w:numId w:val="36"/>
              </w:numPr>
              <w:adjustRightInd/>
              <w:spacing w:line="240" w:lineRule="auto"/>
              <w:textAlignment w:val="auto"/>
            </w:pPr>
            <w:r w:rsidRPr="005B5418">
              <w:t>For all social insurance programs, does the responsible entity provide the sensitivity analysis to illustrate how an estimate or projection would change if assumptions, data, methodologies</w:t>
            </w:r>
            <w:r w:rsidR="00F31D81" w:rsidRPr="005B5418">
              <w:t>,</w:t>
            </w:r>
            <w:r w:rsidRPr="005B5418">
              <w:t xml:space="preserve"> or other inputs change? (SFFAS 17, par</w:t>
            </w:r>
            <w:r w:rsidR="00F31D81" w:rsidRPr="005B5418">
              <w:t>a</w:t>
            </w:r>
            <w:r w:rsidRPr="005B5418">
              <w:t>. 27 (4)</w:t>
            </w:r>
            <w:r w:rsidR="00AE6134" w:rsidRPr="005B5418">
              <w:t>; SFFAS 26, par</w:t>
            </w:r>
            <w:r w:rsidR="00F31D81" w:rsidRPr="005B5418">
              <w:t>a</w:t>
            </w:r>
            <w:r w:rsidR="00AE6134" w:rsidRPr="005B5418">
              <w:t>. 5)</w:t>
            </w:r>
          </w:p>
        </w:tc>
        <w:tc>
          <w:tcPr>
            <w:tcW w:w="966" w:type="dxa"/>
          </w:tcPr>
          <w:p w14:paraId="55BCDCE8" w14:textId="77777777" w:rsidR="008B71C0" w:rsidRPr="005B5418" w:rsidRDefault="008B71C0" w:rsidP="008848DA">
            <w:pPr>
              <w:pStyle w:val="Table-Cell-CenterBoldBefore6ptAfter6pt"/>
              <w:spacing w:before="60" w:after="60"/>
              <w:rPr>
                <w:lang w:val="pt-BR"/>
              </w:rPr>
            </w:pPr>
          </w:p>
        </w:tc>
        <w:tc>
          <w:tcPr>
            <w:tcW w:w="3216" w:type="dxa"/>
          </w:tcPr>
          <w:p w14:paraId="4973876C" w14:textId="77777777" w:rsidR="008B71C0" w:rsidRPr="005B5418" w:rsidRDefault="008B71C0" w:rsidP="008848DA">
            <w:pPr>
              <w:spacing w:before="60" w:after="60" w:line="240" w:lineRule="auto"/>
              <w:rPr>
                <w:lang w:val="pt-BR"/>
              </w:rPr>
            </w:pPr>
          </w:p>
        </w:tc>
      </w:tr>
      <w:tr w:rsidR="008B71C0" w:rsidRPr="005B5418" w14:paraId="43FC9379" w14:textId="77777777" w:rsidTr="00BF1913">
        <w:trPr>
          <w:trHeight w:val="377"/>
        </w:trPr>
        <w:tc>
          <w:tcPr>
            <w:tcW w:w="5408" w:type="dxa"/>
          </w:tcPr>
          <w:p w14:paraId="74BEFE26" w14:textId="236ACAE9" w:rsidR="008B71C0" w:rsidRPr="005B5418" w:rsidRDefault="008B71C0" w:rsidP="00343610">
            <w:pPr>
              <w:pStyle w:val="FAM-Table-outline"/>
              <w:widowControl/>
              <w:numPr>
                <w:ilvl w:val="0"/>
                <w:numId w:val="36"/>
              </w:numPr>
              <w:adjustRightInd/>
              <w:spacing w:line="240" w:lineRule="auto"/>
              <w:textAlignment w:val="auto"/>
            </w:pPr>
            <w:r w:rsidRPr="005B5418">
              <w:t>Does the entity provide a sensitivity analysis of the open group measure presented in the SOSI summary for the OASDI, Medicare, and Railroad Retirement programs, including</w:t>
            </w:r>
          </w:p>
          <w:p w14:paraId="5E28DEFB" w14:textId="77777777" w:rsidR="008B71C0" w:rsidRPr="005B5418" w:rsidRDefault="008B71C0" w:rsidP="005425ED">
            <w:pPr>
              <w:pStyle w:val="FAM-Table-outline2"/>
              <w:spacing w:line="240" w:lineRule="auto"/>
              <w:ind w:left="1140" w:hanging="443"/>
            </w:pPr>
            <w:r w:rsidRPr="005B5418">
              <w:t xml:space="preserve">future trends; </w:t>
            </w:r>
          </w:p>
          <w:p w14:paraId="60FF21AB" w14:textId="77777777" w:rsidR="008B71C0" w:rsidRPr="005B5418" w:rsidRDefault="008B71C0" w:rsidP="005425ED">
            <w:pPr>
              <w:pStyle w:val="FAM-Table-outline2"/>
              <w:spacing w:line="240" w:lineRule="auto"/>
              <w:ind w:left="1140" w:hanging="443"/>
            </w:pPr>
            <w:r w:rsidRPr="005B5418">
              <w:t>the utility of the information to the users and policymakers; and</w:t>
            </w:r>
          </w:p>
          <w:p w14:paraId="36BB78D6" w14:textId="710D34FF" w:rsidR="008B71C0" w:rsidRPr="005B5418" w:rsidRDefault="008B71C0" w:rsidP="005425ED">
            <w:pPr>
              <w:pStyle w:val="FAM-Table-outline2"/>
              <w:spacing w:line="240" w:lineRule="auto"/>
              <w:ind w:left="1140" w:hanging="443"/>
            </w:pPr>
            <w:r w:rsidRPr="005B5418">
              <w:t>the relative burden on component entity resources? (SFFAS 17, par</w:t>
            </w:r>
            <w:r w:rsidR="00F31D81" w:rsidRPr="005B5418">
              <w:t>a</w:t>
            </w:r>
            <w:r w:rsidRPr="005B5418">
              <w:t>. 27 (4))</w:t>
            </w:r>
          </w:p>
        </w:tc>
        <w:tc>
          <w:tcPr>
            <w:tcW w:w="966" w:type="dxa"/>
          </w:tcPr>
          <w:p w14:paraId="511769CE" w14:textId="77777777" w:rsidR="008B71C0" w:rsidRPr="005B5418" w:rsidRDefault="008B71C0" w:rsidP="008848DA">
            <w:pPr>
              <w:pStyle w:val="Table-Cell-CenterBoldBefore6ptAfter6pt"/>
              <w:spacing w:before="60" w:after="60"/>
            </w:pPr>
          </w:p>
        </w:tc>
        <w:tc>
          <w:tcPr>
            <w:tcW w:w="3216" w:type="dxa"/>
          </w:tcPr>
          <w:p w14:paraId="0A42E94B" w14:textId="77777777" w:rsidR="008B71C0" w:rsidRPr="005B5418" w:rsidRDefault="008B71C0" w:rsidP="008848DA">
            <w:pPr>
              <w:spacing w:before="60" w:after="60" w:line="240" w:lineRule="auto"/>
            </w:pPr>
          </w:p>
        </w:tc>
      </w:tr>
      <w:tr w:rsidR="008B71C0" w:rsidRPr="005B5418" w14:paraId="668EBCA9" w14:textId="77777777" w:rsidTr="002F383D">
        <w:trPr>
          <w:trHeight w:val="1169"/>
        </w:trPr>
        <w:tc>
          <w:tcPr>
            <w:tcW w:w="5408" w:type="dxa"/>
          </w:tcPr>
          <w:p w14:paraId="4BB26FC2" w14:textId="311517A6" w:rsidR="008B71C0" w:rsidRPr="005B5418" w:rsidRDefault="008B71C0" w:rsidP="00343610">
            <w:pPr>
              <w:pStyle w:val="FAM-Table-outline"/>
              <w:widowControl/>
              <w:numPr>
                <w:ilvl w:val="0"/>
                <w:numId w:val="36"/>
              </w:numPr>
              <w:adjustRightInd/>
              <w:spacing w:line="240" w:lineRule="auto"/>
              <w:textAlignment w:val="auto"/>
            </w:pPr>
            <w:r w:rsidRPr="005B5418">
              <w:t>If the entity discontinues a particular sensitivity analysis, does it explain the reasons in the annual report? (SFFAS 17, par</w:t>
            </w:r>
            <w:r w:rsidR="00CF7A13" w:rsidRPr="005B5418">
              <w:t>a</w:t>
            </w:r>
            <w:r w:rsidRPr="005B5418">
              <w:t>. 27 (4))</w:t>
            </w:r>
          </w:p>
        </w:tc>
        <w:tc>
          <w:tcPr>
            <w:tcW w:w="966" w:type="dxa"/>
          </w:tcPr>
          <w:p w14:paraId="17764769" w14:textId="77777777" w:rsidR="008B71C0" w:rsidRPr="005B5418" w:rsidRDefault="008B71C0" w:rsidP="008848DA">
            <w:pPr>
              <w:pStyle w:val="Table-Cell-CenterBoldBefore6ptAfter6pt"/>
              <w:spacing w:before="60" w:after="60"/>
            </w:pPr>
          </w:p>
        </w:tc>
        <w:tc>
          <w:tcPr>
            <w:tcW w:w="3216" w:type="dxa"/>
          </w:tcPr>
          <w:p w14:paraId="2F9E4A22" w14:textId="77777777" w:rsidR="008B71C0" w:rsidRPr="005B5418" w:rsidRDefault="008B71C0" w:rsidP="008848DA">
            <w:pPr>
              <w:spacing w:before="60" w:after="60" w:line="240" w:lineRule="auto"/>
            </w:pPr>
          </w:p>
        </w:tc>
      </w:tr>
      <w:tr w:rsidR="008B71C0" w:rsidRPr="005B5418" w14:paraId="67A717D6" w14:textId="77777777" w:rsidTr="002F383D">
        <w:trPr>
          <w:trHeight w:val="1709"/>
        </w:trPr>
        <w:tc>
          <w:tcPr>
            <w:tcW w:w="5408" w:type="dxa"/>
          </w:tcPr>
          <w:p w14:paraId="0CE89616" w14:textId="0059EC5B" w:rsidR="008B71C0" w:rsidRPr="005B5418" w:rsidDel="00202D53" w:rsidRDefault="008B71C0" w:rsidP="00343610">
            <w:pPr>
              <w:pStyle w:val="FAM-Table-outline"/>
              <w:widowControl/>
              <w:numPr>
                <w:ilvl w:val="0"/>
                <w:numId w:val="36"/>
              </w:numPr>
              <w:adjustRightInd/>
              <w:spacing w:line="240" w:lineRule="auto"/>
              <w:textAlignment w:val="auto"/>
            </w:pPr>
            <w:r w:rsidRPr="005B5418">
              <w:lastRenderedPageBreak/>
              <w:t>Does the entity state that the amounts of the closed and open group measures depend on the assumptions used and that actual experience is likely to differ from the estimate? (SFFAS 17, par</w:t>
            </w:r>
            <w:r w:rsidR="00CF7A13" w:rsidRPr="005B5418">
              <w:t>a</w:t>
            </w:r>
            <w:r w:rsidRPr="005B5418">
              <w:t>. 27 (4)</w:t>
            </w:r>
            <w:r w:rsidR="00D9346A" w:rsidRPr="005B5418">
              <w:t>)</w:t>
            </w:r>
            <w:r w:rsidRPr="005B5418">
              <w:t xml:space="preserve"> </w:t>
            </w:r>
          </w:p>
        </w:tc>
        <w:tc>
          <w:tcPr>
            <w:tcW w:w="966" w:type="dxa"/>
          </w:tcPr>
          <w:p w14:paraId="51D272AD" w14:textId="77777777" w:rsidR="008B71C0" w:rsidRPr="005B5418" w:rsidRDefault="008B71C0" w:rsidP="008848DA">
            <w:pPr>
              <w:pStyle w:val="Table-Cell-CenterBoldBefore6ptAfter6pt"/>
              <w:spacing w:before="60" w:after="60"/>
            </w:pPr>
          </w:p>
        </w:tc>
        <w:tc>
          <w:tcPr>
            <w:tcW w:w="3216" w:type="dxa"/>
          </w:tcPr>
          <w:p w14:paraId="118648E4" w14:textId="77777777" w:rsidR="008B71C0" w:rsidRPr="005B5418" w:rsidRDefault="008B71C0" w:rsidP="008848DA">
            <w:pPr>
              <w:spacing w:before="60" w:after="60" w:line="240" w:lineRule="auto"/>
            </w:pPr>
          </w:p>
        </w:tc>
      </w:tr>
      <w:tr w:rsidR="008B71C0" w:rsidRPr="005B5418" w14:paraId="42FEB2B9" w14:textId="77777777" w:rsidTr="00BF1913">
        <w:trPr>
          <w:trHeight w:val="2160"/>
        </w:trPr>
        <w:tc>
          <w:tcPr>
            <w:tcW w:w="5408" w:type="dxa"/>
          </w:tcPr>
          <w:p w14:paraId="104A51C0" w14:textId="4AD9B48F" w:rsidR="008B71C0" w:rsidRPr="005B5418" w:rsidRDefault="008B71C0" w:rsidP="00343610">
            <w:pPr>
              <w:pStyle w:val="FAM-Table-outline"/>
              <w:widowControl/>
              <w:numPr>
                <w:ilvl w:val="0"/>
                <w:numId w:val="36"/>
              </w:numPr>
              <w:adjustRightInd/>
              <w:spacing w:line="240" w:lineRule="auto"/>
              <w:textAlignment w:val="auto"/>
            </w:pPr>
            <w:r w:rsidRPr="005B5418">
              <w:t>Does information on the UI program provide a state-by-state analysis illustrating the relative solvency of individual state programs, including the ratio of each state’s current accumulated fund balance to a year’s projected benefit payments based on the highest level of annual benefit payments experienced by that state over the last 20 years? (SFFAS 17, par</w:t>
            </w:r>
            <w:r w:rsidR="00CF7A13" w:rsidRPr="005B5418">
              <w:t>a</w:t>
            </w:r>
            <w:r w:rsidRPr="005B5418">
              <w:t>. 27 (5))</w:t>
            </w:r>
          </w:p>
        </w:tc>
        <w:tc>
          <w:tcPr>
            <w:tcW w:w="966" w:type="dxa"/>
          </w:tcPr>
          <w:p w14:paraId="0E2EE089" w14:textId="77777777" w:rsidR="008B71C0" w:rsidRPr="005B5418" w:rsidRDefault="008B71C0" w:rsidP="008848DA">
            <w:pPr>
              <w:pStyle w:val="Table-Cell-CenterBoldBefore6ptAfter6pt"/>
              <w:spacing w:before="60" w:after="60"/>
            </w:pPr>
          </w:p>
        </w:tc>
        <w:tc>
          <w:tcPr>
            <w:tcW w:w="3216" w:type="dxa"/>
          </w:tcPr>
          <w:p w14:paraId="37689A92" w14:textId="77777777" w:rsidR="008B71C0" w:rsidRPr="005B5418" w:rsidRDefault="008B71C0" w:rsidP="008848DA">
            <w:pPr>
              <w:spacing w:before="60" w:after="60" w:line="240" w:lineRule="auto"/>
            </w:pPr>
          </w:p>
        </w:tc>
      </w:tr>
    </w:tbl>
    <w:p w14:paraId="401B3B53" w14:textId="77777777" w:rsidR="008B71C0" w:rsidRPr="005B5418" w:rsidRDefault="008B71C0" w:rsidP="003B61E9">
      <w:pPr>
        <w:spacing w:line="240" w:lineRule="auto"/>
        <w:rPr>
          <w:rFonts w:cs="Arial"/>
        </w:rPr>
      </w:pPr>
    </w:p>
    <w:p w14:paraId="6FBFAA01" w14:textId="77777777" w:rsidR="008B71C0" w:rsidRPr="005B5418" w:rsidRDefault="008B71C0"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8B71C0" w:rsidRPr="005B5418" w14:paraId="1CED1A33" w14:textId="77777777" w:rsidTr="008F4F70">
        <w:trPr>
          <w:tblHeader/>
        </w:trPr>
        <w:tc>
          <w:tcPr>
            <w:tcW w:w="5400" w:type="dxa"/>
          </w:tcPr>
          <w:p w14:paraId="26E9D3D0" w14:textId="67F6BB27" w:rsidR="008B71C0" w:rsidRPr="005B5418" w:rsidRDefault="008B71C0" w:rsidP="008848DA">
            <w:pPr>
              <w:pStyle w:val="Heading4"/>
              <w:spacing w:before="60" w:after="60" w:line="240" w:lineRule="auto"/>
              <w:jc w:val="left"/>
              <w:rPr>
                <w:b/>
                <w:u w:val="none"/>
              </w:rPr>
            </w:pPr>
            <w:bookmarkStart w:id="265" w:name="_II.3.9.6_Combining_Statement"/>
            <w:bookmarkStart w:id="266" w:name="_Ref8657538"/>
            <w:bookmarkEnd w:id="265"/>
            <w:r w:rsidRPr="005B5418">
              <w:rPr>
                <w:b/>
                <w:u w:val="none"/>
              </w:rPr>
              <w:lastRenderedPageBreak/>
              <w:t>II.3.</w:t>
            </w:r>
            <w:r w:rsidR="00C73D60" w:rsidRPr="005B5418">
              <w:rPr>
                <w:b/>
                <w:u w:val="none"/>
              </w:rPr>
              <w:t>9</w:t>
            </w:r>
            <w:r w:rsidRPr="005B5418">
              <w:rPr>
                <w:b/>
                <w:u w:val="none"/>
              </w:rPr>
              <w:t>.6 Combining Statement of Budgetary Resources</w:t>
            </w:r>
            <w:bookmarkEnd w:id="266"/>
          </w:p>
        </w:tc>
        <w:tc>
          <w:tcPr>
            <w:tcW w:w="965" w:type="dxa"/>
          </w:tcPr>
          <w:p w14:paraId="736F9851" w14:textId="77777777" w:rsidR="008B71C0" w:rsidRPr="005B5418" w:rsidRDefault="008B71C0" w:rsidP="008848DA">
            <w:pPr>
              <w:pStyle w:val="TableCellCenter"/>
              <w:spacing w:before="60" w:after="60"/>
              <w:jc w:val="left"/>
            </w:pPr>
            <w:r w:rsidRPr="005B5418">
              <w:t>Yes, No, or N/A</w:t>
            </w:r>
          </w:p>
        </w:tc>
        <w:tc>
          <w:tcPr>
            <w:tcW w:w="3211" w:type="dxa"/>
          </w:tcPr>
          <w:p w14:paraId="1B335FC0" w14:textId="17DDD907" w:rsidR="008B71C0" w:rsidRPr="005B5418" w:rsidRDefault="008B71C0" w:rsidP="008848DA">
            <w:pPr>
              <w:pStyle w:val="TableCellCenter"/>
              <w:spacing w:before="60" w:after="60"/>
              <w:jc w:val="left"/>
            </w:pPr>
            <w:r w:rsidRPr="005B5418">
              <w:t xml:space="preserve">Explanation </w:t>
            </w:r>
            <w:r w:rsidR="00274EFB" w:rsidRPr="005B5418">
              <w:t xml:space="preserve">and </w:t>
            </w:r>
            <w:r w:rsidRPr="005B5418">
              <w:t>Reference</w:t>
            </w:r>
          </w:p>
        </w:tc>
      </w:tr>
      <w:tr w:rsidR="008B71C0" w:rsidRPr="005B5418" w14:paraId="2168DCAE" w14:textId="77777777" w:rsidTr="00BF1913">
        <w:tc>
          <w:tcPr>
            <w:tcW w:w="9576" w:type="dxa"/>
            <w:gridSpan w:val="3"/>
          </w:tcPr>
          <w:p w14:paraId="4F12DB03" w14:textId="19003F81" w:rsidR="008B71C0" w:rsidRPr="005B5418" w:rsidRDefault="008B71C0" w:rsidP="008848DA">
            <w:pPr>
              <w:pStyle w:val="Table-Note"/>
              <w:spacing w:before="60" w:after="60" w:line="240" w:lineRule="auto"/>
              <w:ind w:left="-35"/>
              <w:jc w:val="left"/>
              <w:rPr>
                <w:i w:val="0"/>
                <w:sz w:val="22"/>
                <w:szCs w:val="22"/>
              </w:rPr>
            </w:pPr>
            <w:r w:rsidRPr="005B5418">
              <w:rPr>
                <w:i w:val="0"/>
                <w:sz w:val="22"/>
                <w:szCs w:val="22"/>
              </w:rPr>
              <w:t>Budgetary information aggregated for purposes of the SBR is disaggregated for each of the reporting entit</w:t>
            </w:r>
            <w:r w:rsidR="00274EFB" w:rsidRPr="005B5418">
              <w:rPr>
                <w:i w:val="0"/>
                <w:sz w:val="22"/>
                <w:szCs w:val="22"/>
              </w:rPr>
              <w:t>y’s</w:t>
            </w:r>
            <w:r w:rsidRPr="005B5418">
              <w:rPr>
                <w:i w:val="0"/>
                <w:sz w:val="22"/>
                <w:szCs w:val="22"/>
              </w:rPr>
              <w:t xml:space="preserve"> major budget accounts and presented as RSI. (A-136, section II.3.</w:t>
            </w:r>
            <w:r w:rsidR="00C73D60" w:rsidRPr="005B5418">
              <w:rPr>
                <w:i w:val="0"/>
                <w:sz w:val="22"/>
                <w:szCs w:val="22"/>
              </w:rPr>
              <w:t>9</w:t>
            </w:r>
            <w:r w:rsidRPr="005B5418">
              <w:rPr>
                <w:i w:val="0"/>
                <w:sz w:val="22"/>
                <w:szCs w:val="22"/>
              </w:rPr>
              <w:t>.6)</w:t>
            </w:r>
          </w:p>
        </w:tc>
      </w:tr>
      <w:tr w:rsidR="008B71C0" w:rsidRPr="005B5418" w14:paraId="5B3A43E7" w14:textId="77777777" w:rsidTr="00BF1913">
        <w:trPr>
          <w:trHeight w:val="1340"/>
        </w:trPr>
        <w:tc>
          <w:tcPr>
            <w:tcW w:w="5400" w:type="dxa"/>
          </w:tcPr>
          <w:p w14:paraId="77309946" w14:textId="498CBAF8" w:rsidR="008B71C0" w:rsidRPr="005B5418" w:rsidRDefault="008B71C0" w:rsidP="000014DB">
            <w:pPr>
              <w:pStyle w:val="FAM-Table-outline"/>
              <w:widowControl/>
              <w:numPr>
                <w:ilvl w:val="0"/>
                <w:numId w:val="37"/>
              </w:numPr>
              <w:adjustRightInd/>
              <w:spacing w:line="240" w:lineRule="auto"/>
              <w:textAlignment w:val="auto"/>
            </w:pPr>
            <w:r w:rsidRPr="005B5418">
              <w:t>Is budgetary information disaggregated for each of the reporting entity’s major budget accounts and presented as RSI? (SFFAS 7, par</w:t>
            </w:r>
            <w:r w:rsidR="00E43354" w:rsidRPr="005B5418">
              <w:t>a</w:t>
            </w:r>
            <w:r w:rsidRPr="005B5418">
              <w:t>. 78; A-136, section II.3.</w:t>
            </w:r>
            <w:r w:rsidR="000C3463" w:rsidRPr="005B5418">
              <w:t>9</w:t>
            </w:r>
            <w:r w:rsidRPr="005B5418">
              <w:t>.6)</w:t>
            </w:r>
          </w:p>
        </w:tc>
        <w:tc>
          <w:tcPr>
            <w:tcW w:w="965" w:type="dxa"/>
          </w:tcPr>
          <w:p w14:paraId="1E7507B2" w14:textId="77777777" w:rsidR="008B71C0" w:rsidRPr="005B5418" w:rsidRDefault="008B71C0" w:rsidP="008848DA">
            <w:pPr>
              <w:pStyle w:val="Table-Cell-CenterBoldBefore6ptAfter6pt"/>
              <w:spacing w:before="60" w:after="60"/>
            </w:pPr>
          </w:p>
        </w:tc>
        <w:tc>
          <w:tcPr>
            <w:tcW w:w="3211" w:type="dxa"/>
          </w:tcPr>
          <w:p w14:paraId="0AB4F57C" w14:textId="77777777" w:rsidR="008B71C0" w:rsidRPr="005B5418" w:rsidRDefault="008B71C0" w:rsidP="008848DA">
            <w:pPr>
              <w:spacing w:before="60" w:after="60" w:line="240" w:lineRule="auto"/>
            </w:pPr>
          </w:p>
        </w:tc>
      </w:tr>
      <w:tr w:rsidR="008B71C0" w:rsidRPr="005B5418" w14:paraId="2120266C" w14:textId="77777777" w:rsidTr="00BF1913">
        <w:trPr>
          <w:trHeight w:val="1421"/>
        </w:trPr>
        <w:tc>
          <w:tcPr>
            <w:tcW w:w="5400" w:type="dxa"/>
          </w:tcPr>
          <w:p w14:paraId="654BD50D" w14:textId="394964BE" w:rsidR="008B71C0" w:rsidRPr="005B5418" w:rsidRDefault="008B71C0" w:rsidP="00343610">
            <w:pPr>
              <w:pStyle w:val="FAM-Table-outline"/>
              <w:widowControl/>
              <w:numPr>
                <w:ilvl w:val="0"/>
                <w:numId w:val="37"/>
              </w:numPr>
              <w:adjustRightInd/>
              <w:spacing w:line="240" w:lineRule="auto"/>
              <w:textAlignment w:val="auto"/>
            </w:pPr>
            <w:r w:rsidRPr="005B5418">
              <w:t>Do the major accounts and the aggregate of small budget accounts, in total on the combining statements</w:t>
            </w:r>
            <w:r w:rsidR="00F04D6A" w:rsidRPr="005B5418">
              <w:t>,</w:t>
            </w:r>
            <w:r w:rsidRPr="005B5418">
              <w:t xml:space="preserve"> agree with the amounts reported on the face of the SBR? (A-136, section II.3.</w:t>
            </w:r>
            <w:r w:rsidR="000C3463" w:rsidRPr="005B5418">
              <w:t>9</w:t>
            </w:r>
            <w:r w:rsidRPr="005B5418">
              <w:t>.6)</w:t>
            </w:r>
          </w:p>
        </w:tc>
        <w:tc>
          <w:tcPr>
            <w:tcW w:w="965" w:type="dxa"/>
          </w:tcPr>
          <w:p w14:paraId="29392F49" w14:textId="77777777" w:rsidR="008B71C0" w:rsidRPr="005B5418" w:rsidRDefault="008B71C0" w:rsidP="008848DA">
            <w:pPr>
              <w:pStyle w:val="Table-Cell-CenterBoldBefore6ptAfter6pt"/>
              <w:spacing w:before="60" w:after="60"/>
            </w:pPr>
          </w:p>
        </w:tc>
        <w:tc>
          <w:tcPr>
            <w:tcW w:w="3211" w:type="dxa"/>
          </w:tcPr>
          <w:p w14:paraId="11D7DC03" w14:textId="77777777" w:rsidR="008B71C0" w:rsidRPr="005B5418" w:rsidRDefault="008B71C0" w:rsidP="008848DA">
            <w:pPr>
              <w:spacing w:before="60" w:after="60" w:line="240" w:lineRule="auto"/>
            </w:pPr>
          </w:p>
        </w:tc>
      </w:tr>
    </w:tbl>
    <w:p w14:paraId="696ED413" w14:textId="77777777" w:rsidR="008B71C0" w:rsidRPr="005B5418" w:rsidRDefault="008B71C0" w:rsidP="003B61E9">
      <w:pPr>
        <w:spacing w:line="240" w:lineRule="auto"/>
        <w:rPr>
          <w:rFonts w:cs="Arial"/>
        </w:rPr>
      </w:pPr>
    </w:p>
    <w:p w14:paraId="5BCACABF" w14:textId="77777777" w:rsidR="008B71C0" w:rsidRPr="005B5418" w:rsidRDefault="008B71C0" w:rsidP="003B61E9">
      <w:pPr>
        <w:spacing w:line="240" w:lineRule="auto"/>
        <w:rPr>
          <w:rFonts w:cs="Arial"/>
        </w:rPr>
      </w:pPr>
      <w:r w:rsidRPr="005B5418">
        <w:rPr>
          <w:rFonts w:cs="Arial"/>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8"/>
        <w:gridCol w:w="966"/>
        <w:gridCol w:w="3216"/>
      </w:tblGrid>
      <w:tr w:rsidR="008B71C0" w:rsidRPr="005B5418" w14:paraId="10DA9157" w14:textId="77777777" w:rsidTr="008F4F70">
        <w:trPr>
          <w:tblHeader/>
        </w:trPr>
        <w:tc>
          <w:tcPr>
            <w:tcW w:w="5400" w:type="dxa"/>
          </w:tcPr>
          <w:p w14:paraId="0DD0E62B" w14:textId="119C83A1" w:rsidR="008B71C0" w:rsidRPr="005B5418" w:rsidRDefault="008B71C0" w:rsidP="008848DA">
            <w:pPr>
              <w:pStyle w:val="Heading4"/>
              <w:spacing w:before="60" w:after="60" w:line="240" w:lineRule="auto"/>
              <w:jc w:val="left"/>
              <w:rPr>
                <w:b/>
                <w:i/>
                <w:u w:val="none"/>
              </w:rPr>
            </w:pPr>
            <w:bookmarkStart w:id="267" w:name="_II.3.9.7_Custodial_Activity"/>
            <w:bookmarkStart w:id="268" w:name="_Ref8657548"/>
            <w:bookmarkEnd w:id="267"/>
            <w:r w:rsidRPr="005B5418">
              <w:rPr>
                <w:b/>
                <w:u w:val="none"/>
              </w:rPr>
              <w:lastRenderedPageBreak/>
              <w:t>II.3.</w:t>
            </w:r>
            <w:r w:rsidR="000C3463" w:rsidRPr="005B5418">
              <w:rPr>
                <w:b/>
                <w:u w:val="none"/>
              </w:rPr>
              <w:t>9</w:t>
            </w:r>
            <w:r w:rsidRPr="005B5418">
              <w:rPr>
                <w:b/>
                <w:u w:val="none"/>
              </w:rPr>
              <w:t>.7 Custodial Activity</w:t>
            </w:r>
            <w:bookmarkEnd w:id="268"/>
            <w:r w:rsidRPr="005B5418">
              <w:rPr>
                <w:b/>
                <w:u w:val="none"/>
              </w:rPr>
              <w:t xml:space="preserve"> </w:t>
            </w:r>
          </w:p>
        </w:tc>
        <w:tc>
          <w:tcPr>
            <w:tcW w:w="965" w:type="dxa"/>
          </w:tcPr>
          <w:p w14:paraId="221ABEDD" w14:textId="77777777" w:rsidR="008B71C0" w:rsidRPr="005B5418" w:rsidRDefault="008B71C0" w:rsidP="008F4F70">
            <w:pPr>
              <w:pStyle w:val="TableCellCenter"/>
              <w:jc w:val="left"/>
            </w:pPr>
            <w:r w:rsidRPr="005B5418">
              <w:t>Yes, No, or N/A</w:t>
            </w:r>
          </w:p>
        </w:tc>
        <w:tc>
          <w:tcPr>
            <w:tcW w:w="3211" w:type="dxa"/>
          </w:tcPr>
          <w:p w14:paraId="7718E372" w14:textId="1FE044D5" w:rsidR="008B71C0" w:rsidRPr="005B5418" w:rsidRDefault="008B71C0" w:rsidP="009A7C50">
            <w:pPr>
              <w:pStyle w:val="TableCellCenter"/>
              <w:jc w:val="left"/>
            </w:pPr>
            <w:r w:rsidRPr="005B5418">
              <w:t xml:space="preserve">Explanation </w:t>
            </w:r>
            <w:r w:rsidR="009A7C50" w:rsidRPr="005B5418">
              <w:t xml:space="preserve">and </w:t>
            </w:r>
            <w:r w:rsidRPr="005B5418">
              <w:t>Reference</w:t>
            </w:r>
          </w:p>
        </w:tc>
      </w:tr>
      <w:tr w:rsidR="008B71C0" w:rsidRPr="005B5418" w14:paraId="0E7969C9" w14:textId="77777777" w:rsidTr="00C92E69">
        <w:tc>
          <w:tcPr>
            <w:tcW w:w="9576" w:type="dxa"/>
            <w:gridSpan w:val="3"/>
          </w:tcPr>
          <w:p w14:paraId="2C067313" w14:textId="7C7F997C" w:rsidR="008B71C0" w:rsidRPr="005B5418" w:rsidRDefault="008B71C0" w:rsidP="008848DA">
            <w:pPr>
              <w:pStyle w:val="Table-Note"/>
              <w:spacing w:before="60" w:after="60" w:line="240" w:lineRule="auto"/>
              <w:ind w:left="-35"/>
              <w:jc w:val="left"/>
              <w:rPr>
                <w:i w:val="0"/>
                <w:sz w:val="22"/>
                <w:szCs w:val="22"/>
              </w:rPr>
            </w:pPr>
            <w:r w:rsidRPr="005B5418">
              <w:rPr>
                <w:i w:val="0"/>
                <w:sz w:val="22"/>
                <w:szCs w:val="22"/>
              </w:rPr>
              <w:t>Entities that collect taxes and duties provide information on potential collections and custodial responsibilities as RSI. (A-136, section II.3.</w:t>
            </w:r>
            <w:r w:rsidR="000C3463" w:rsidRPr="005B5418">
              <w:rPr>
                <w:i w:val="0"/>
                <w:sz w:val="22"/>
                <w:szCs w:val="22"/>
              </w:rPr>
              <w:t>9</w:t>
            </w:r>
            <w:r w:rsidRPr="005B5418">
              <w:rPr>
                <w:i w:val="0"/>
                <w:sz w:val="22"/>
                <w:szCs w:val="22"/>
              </w:rPr>
              <w:t>.7)</w:t>
            </w:r>
          </w:p>
        </w:tc>
      </w:tr>
      <w:tr w:rsidR="00DC08FB" w:rsidRPr="005B5418" w14:paraId="3468F338" w14:textId="77777777" w:rsidTr="008848DA">
        <w:trPr>
          <w:trHeight w:val="1277"/>
        </w:trPr>
        <w:tc>
          <w:tcPr>
            <w:tcW w:w="5400" w:type="dxa"/>
          </w:tcPr>
          <w:p w14:paraId="62DBFB3D" w14:textId="638AFC9B" w:rsidR="00DC08FB" w:rsidRPr="005B5418" w:rsidRDefault="00DC08FB" w:rsidP="0091674B">
            <w:pPr>
              <w:pStyle w:val="FAM-Table-outline"/>
              <w:widowControl/>
              <w:numPr>
                <w:ilvl w:val="0"/>
                <w:numId w:val="105"/>
              </w:numPr>
              <w:adjustRightInd/>
              <w:spacing w:line="240" w:lineRule="auto"/>
              <w:textAlignment w:val="auto"/>
            </w:pPr>
            <w:r w:rsidRPr="005B5418">
              <w:t xml:space="preserve">Is this topic applicable to the </w:t>
            </w:r>
            <w:r w:rsidR="00093646" w:rsidRPr="005B5418">
              <w:t>reporting entity</w:t>
            </w:r>
            <w:r w:rsidRPr="005B5418">
              <w:t>? (Answer Y if applicable, N/A if not applicable, or N/S if not significant. If N/A or N/S, skip to the next topic</w:t>
            </w:r>
            <w:r w:rsidR="009A7C50" w:rsidRPr="005B5418">
              <w:t>.</w:t>
            </w:r>
            <w:r w:rsidRPr="005B5418">
              <w:t>)</w:t>
            </w:r>
          </w:p>
        </w:tc>
        <w:tc>
          <w:tcPr>
            <w:tcW w:w="965" w:type="dxa"/>
          </w:tcPr>
          <w:p w14:paraId="2C424E58" w14:textId="77777777" w:rsidR="00DC08FB" w:rsidRPr="005B5418" w:rsidRDefault="00DC08FB" w:rsidP="003B61E9">
            <w:pPr>
              <w:pStyle w:val="Table-Cell-CenterBoldBefore6ptAfter6pt"/>
              <w:rPr>
                <w:lang w:val="pt-BR"/>
              </w:rPr>
            </w:pPr>
          </w:p>
        </w:tc>
        <w:tc>
          <w:tcPr>
            <w:tcW w:w="3211" w:type="dxa"/>
          </w:tcPr>
          <w:p w14:paraId="06C45120" w14:textId="77777777" w:rsidR="00DC08FB" w:rsidRPr="005B5418" w:rsidRDefault="00DC08FB" w:rsidP="003B61E9">
            <w:pPr>
              <w:spacing w:line="240" w:lineRule="auto"/>
              <w:rPr>
                <w:lang w:val="pt-BR"/>
              </w:rPr>
            </w:pPr>
          </w:p>
        </w:tc>
      </w:tr>
      <w:tr w:rsidR="008B71C0" w:rsidRPr="005B5418" w14:paraId="6304358C" w14:textId="77777777" w:rsidTr="00093646">
        <w:trPr>
          <w:trHeight w:val="1727"/>
        </w:trPr>
        <w:tc>
          <w:tcPr>
            <w:tcW w:w="5400" w:type="dxa"/>
          </w:tcPr>
          <w:p w14:paraId="5F6DEB5F" w14:textId="77777777" w:rsidR="008B71C0" w:rsidRPr="005B5418" w:rsidRDefault="008B71C0" w:rsidP="008848DA">
            <w:pPr>
              <w:pStyle w:val="FAM-Table-outline"/>
              <w:widowControl/>
              <w:adjustRightInd/>
              <w:spacing w:line="240" w:lineRule="auto"/>
              <w:textAlignment w:val="auto"/>
            </w:pPr>
            <w:r w:rsidRPr="005B5418">
              <w:t>Do entities that collect taxes and duties provide RSI relating to their potential revenue and custodial responsibilities that includes</w:t>
            </w:r>
          </w:p>
          <w:p w14:paraId="16EB71FB" w14:textId="11210AEF" w:rsidR="008B71C0" w:rsidRPr="005B5418" w:rsidRDefault="008B71C0" w:rsidP="005425ED">
            <w:pPr>
              <w:pStyle w:val="FAM-Table-outline2"/>
              <w:spacing w:line="240" w:lineRule="auto"/>
              <w:ind w:left="1140" w:hanging="443"/>
            </w:pPr>
            <w:r w:rsidRPr="005B5418">
              <w:t>the estimated realizable value, as of the end of the reporting period, of compliance assessments and, if reasonably estimable, pre-assessment work in process, based on management’s estimate that is appropriately qualified as to its reliability (a range of amounts may be presented for pre-assessment work in process);</w:t>
            </w:r>
          </w:p>
          <w:p w14:paraId="6180752F" w14:textId="4C0CA229" w:rsidR="008B71C0" w:rsidRPr="005B5418" w:rsidRDefault="008B71C0" w:rsidP="005425ED">
            <w:pPr>
              <w:pStyle w:val="FAM-Table-outline2"/>
              <w:spacing w:line="240" w:lineRule="auto"/>
              <w:ind w:left="1140" w:hanging="443"/>
            </w:pPr>
            <w:r w:rsidRPr="005B5418">
              <w:t xml:space="preserve">a discussion of the factors affecting the </w:t>
            </w:r>
            <w:r w:rsidR="009A7C50" w:rsidRPr="005B5418">
              <w:t xml:space="preserve">collectibility </w:t>
            </w:r>
            <w:r w:rsidRPr="005B5418">
              <w:t>of compliance assessment</w:t>
            </w:r>
            <w:r w:rsidR="00F04D6A" w:rsidRPr="005B5418">
              <w:t>s</w:t>
            </w:r>
            <w:r w:rsidRPr="005B5418">
              <w:t xml:space="preserve"> recognized as taxes receivable; </w:t>
            </w:r>
          </w:p>
          <w:p w14:paraId="181C8576" w14:textId="011FD2FA" w:rsidR="008B71C0" w:rsidRPr="005B5418" w:rsidRDefault="008B71C0" w:rsidP="005425ED">
            <w:pPr>
              <w:pStyle w:val="FAM-Table-outline2"/>
              <w:spacing w:line="240" w:lineRule="auto"/>
              <w:ind w:left="1140" w:hanging="443"/>
            </w:pPr>
            <w:r w:rsidRPr="005B5418">
              <w:t>the change in the total(s) of compliance assessments and of pre-assessment work in process during the reporting period</w:t>
            </w:r>
            <w:r w:rsidR="009A7C50" w:rsidRPr="005B5418">
              <w:t>;</w:t>
            </w:r>
          </w:p>
          <w:p w14:paraId="1938BD3C" w14:textId="77777777" w:rsidR="008B71C0" w:rsidRPr="005B5418" w:rsidRDefault="008B71C0" w:rsidP="005425ED">
            <w:pPr>
              <w:pStyle w:val="FAM-Table-outline2"/>
              <w:spacing w:line="240" w:lineRule="auto"/>
              <w:ind w:left="1140" w:hanging="443"/>
            </w:pPr>
            <w:r w:rsidRPr="005B5418">
              <w:t>if reasonably estimable, other claims for refunds not yet accrued but likely to be paid when administrative action is complete, based on management’s estimate, that is appropriately qualified as to its reliability;</w:t>
            </w:r>
          </w:p>
          <w:p w14:paraId="30C07792" w14:textId="77777777" w:rsidR="00144841" w:rsidRPr="005B5418" w:rsidRDefault="00144841" w:rsidP="005425ED">
            <w:pPr>
              <w:pStyle w:val="FAM-Table-outline2"/>
              <w:spacing w:line="240" w:lineRule="auto"/>
              <w:ind w:left="1140" w:hanging="443"/>
            </w:pPr>
            <w:r w:rsidRPr="005B5418">
              <w:t>if estimated, unasserted claims for refunds separate from claims filed (these may be expressed as a range of amounts);</w:t>
            </w:r>
          </w:p>
          <w:p w14:paraId="62B7EE89" w14:textId="77777777" w:rsidR="00144841" w:rsidRPr="005B5418" w:rsidRDefault="00144841" w:rsidP="005425ED">
            <w:pPr>
              <w:pStyle w:val="FAM-Table-outline2"/>
              <w:spacing w:line="240" w:lineRule="auto"/>
              <w:ind w:left="1140" w:hanging="443"/>
            </w:pPr>
            <w:r w:rsidRPr="005B5418">
              <w:t>changes in the total amounts of other claims for refunds not yet accrued but likely to be paid, and unasserted claims for refunds and claims filed (if estimated) during the reporting period;</w:t>
            </w:r>
          </w:p>
          <w:p w14:paraId="4546D716" w14:textId="1B42DF81" w:rsidR="00144841" w:rsidRPr="005B5418" w:rsidRDefault="00144841" w:rsidP="005425ED">
            <w:pPr>
              <w:pStyle w:val="FAM-Table-outline2"/>
              <w:spacing w:line="240" w:lineRule="auto"/>
              <w:ind w:left="1140" w:hanging="443"/>
            </w:pPr>
            <w:r w:rsidRPr="005B5418">
              <w:t xml:space="preserve">amount of assessments written-off (i.e., no further collection potential) that </w:t>
            </w:r>
            <w:r w:rsidRPr="005B5418">
              <w:lastRenderedPageBreak/>
              <w:t xml:space="preserve">continues to be statutorily </w:t>
            </w:r>
            <w:r w:rsidR="008123F6" w:rsidRPr="005B5418">
              <w:t>collectible</w:t>
            </w:r>
            <w:r w:rsidRPr="005B5418">
              <w:t>; and</w:t>
            </w:r>
          </w:p>
          <w:p w14:paraId="49B62E40" w14:textId="1B35B8F8" w:rsidR="008F4F70" w:rsidRPr="005B5418" w:rsidDel="006540A2" w:rsidRDefault="00144841" w:rsidP="005425ED">
            <w:pPr>
              <w:pStyle w:val="FAM-Table-outline2"/>
              <w:spacing w:line="240" w:lineRule="auto"/>
              <w:ind w:left="1140" w:hanging="443"/>
            </w:pPr>
            <w:r w:rsidRPr="005B5418">
              <w:t>amounts by which trust funds may be overfunded or underfunded in comparison with the requirements of the law? (This information should also be presented by receipt entities that are trust funds</w:t>
            </w:r>
            <w:r w:rsidR="00900132" w:rsidRPr="005B5418">
              <w:t>.</w:t>
            </w:r>
            <w:r w:rsidRPr="005B5418">
              <w:t>) (SFFAS 7, par</w:t>
            </w:r>
            <w:r w:rsidR="00900132" w:rsidRPr="005B5418">
              <w:t>a</w:t>
            </w:r>
            <w:r w:rsidRPr="005B5418">
              <w:t>. 67)</w:t>
            </w:r>
          </w:p>
        </w:tc>
        <w:tc>
          <w:tcPr>
            <w:tcW w:w="965" w:type="dxa"/>
          </w:tcPr>
          <w:p w14:paraId="6D191D1F" w14:textId="77777777" w:rsidR="008B71C0" w:rsidRPr="005B5418" w:rsidRDefault="008B71C0" w:rsidP="003B61E9">
            <w:pPr>
              <w:pStyle w:val="Table-Cell-CenterBoldBefore6ptAfter6pt"/>
              <w:rPr>
                <w:lang w:val="pt-BR"/>
              </w:rPr>
            </w:pPr>
          </w:p>
        </w:tc>
        <w:tc>
          <w:tcPr>
            <w:tcW w:w="3211" w:type="dxa"/>
          </w:tcPr>
          <w:p w14:paraId="777F2039" w14:textId="77777777" w:rsidR="008B71C0" w:rsidRPr="005B5418" w:rsidDel="001562B2" w:rsidRDefault="008B71C0" w:rsidP="003B61E9">
            <w:pPr>
              <w:spacing w:line="240" w:lineRule="auto"/>
              <w:rPr>
                <w:lang w:val="pt-BR"/>
              </w:rPr>
            </w:pPr>
          </w:p>
        </w:tc>
      </w:tr>
      <w:tr w:rsidR="008B71C0" w:rsidRPr="005B5418" w14:paraId="7E22DC84" w14:textId="77777777" w:rsidTr="00C92E69">
        <w:trPr>
          <w:trHeight w:val="2160"/>
        </w:trPr>
        <w:tc>
          <w:tcPr>
            <w:tcW w:w="5400" w:type="dxa"/>
          </w:tcPr>
          <w:p w14:paraId="33872C07" w14:textId="3EDCA830" w:rsidR="008B71C0" w:rsidRPr="005B5418" w:rsidRDefault="008B71C0" w:rsidP="00591A08">
            <w:pPr>
              <w:pStyle w:val="FAM-Table-outline"/>
              <w:widowControl/>
              <w:adjustRightInd/>
              <w:spacing w:line="240" w:lineRule="auto"/>
              <w:textAlignment w:val="auto"/>
            </w:pPr>
            <w:r w:rsidRPr="005B5418">
              <w:t>If the entity receiving funds from the collecting entity is itself a trust fund, does it provide as supplementary information amounts by which related trust funds may be overfunded or underfunded in comparison with the requirements of the law? (SFFAS 7, par</w:t>
            </w:r>
            <w:r w:rsidR="00900132" w:rsidRPr="005B5418">
              <w:t>a</w:t>
            </w:r>
            <w:r w:rsidRPr="005B5418">
              <w:t>. 68)</w:t>
            </w:r>
          </w:p>
        </w:tc>
        <w:tc>
          <w:tcPr>
            <w:tcW w:w="965" w:type="dxa"/>
          </w:tcPr>
          <w:p w14:paraId="63B0DF29" w14:textId="77777777" w:rsidR="008B71C0" w:rsidRPr="005B5418" w:rsidRDefault="008B71C0" w:rsidP="003B61E9">
            <w:pPr>
              <w:pStyle w:val="Table-Cell-CenterBoldBefore6ptAfter6pt"/>
              <w:rPr>
                <w:lang w:val="pt-BR"/>
              </w:rPr>
            </w:pPr>
          </w:p>
        </w:tc>
        <w:tc>
          <w:tcPr>
            <w:tcW w:w="3211" w:type="dxa"/>
          </w:tcPr>
          <w:p w14:paraId="136E00D6" w14:textId="77777777" w:rsidR="008B71C0" w:rsidRPr="005B5418" w:rsidRDefault="008B71C0" w:rsidP="003B61E9">
            <w:pPr>
              <w:spacing w:line="240" w:lineRule="auto"/>
              <w:rPr>
                <w:lang w:val="pt-BR"/>
              </w:rPr>
            </w:pPr>
          </w:p>
        </w:tc>
      </w:tr>
    </w:tbl>
    <w:p w14:paraId="39F5DB4D" w14:textId="77777777" w:rsidR="0043633B" w:rsidRPr="005B5418" w:rsidRDefault="0043633B">
      <w:r w:rsidRPr="005B5418">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97"/>
        <w:gridCol w:w="988"/>
        <w:gridCol w:w="3191"/>
        <w:gridCol w:w="14"/>
      </w:tblGrid>
      <w:tr w:rsidR="00885F14" w:rsidRPr="005B5418" w14:paraId="295905B1" w14:textId="77777777" w:rsidTr="00093646">
        <w:trPr>
          <w:gridAfter w:val="1"/>
          <w:wAfter w:w="14" w:type="dxa"/>
          <w:tblHeader/>
        </w:trPr>
        <w:tc>
          <w:tcPr>
            <w:tcW w:w="5397" w:type="dxa"/>
            <w:shd w:val="clear" w:color="auto" w:fill="auto"/>
          </w:tcPr>
          <w:p w14:paraId="63E872E8" w14:textId="3E38DB0B" w:rsidR="00885F14" w:rsidRPr="005B5418" w:rsidRDefault="00885F14" w:rsidP="00D94881">
            <w:pPr>
              <w:pStyle w:val="Heading4"/>
              <w:spacing w:before="60" w:after="60" w:line="240" w:lineRule="auto"/>
              <w:jc w:val="left"/>
              <w:rPr>
                <w:b/>
                <w:i/>
                <w:u w:val="none"/>
              </w:rPr>
            </w:pPr>
            <w:bookmarkStart w:id="269" w:name="_II.3.9.8_Land_(RSI"/>
            <w:bookmarkEnd w:id="269"/>
            <w:r w:rsidRPr="005B5418">
              <w:rPr>
                <w:b/>
                <w:u w:val="none"/>
              </w:rPr>
              <w:lastRenderedPageBreak/>
              <w:t xml:space="preserve">II.3.9.8 </w:t>
            </w:r>
            <w:r w:rsidRPr="005B5418">
              <w:rPr>
                <w:b/>
                <w:color w:val="auto"/>
                <w:u w:val="none"/>
              </w:rPr>
              <w:t>Land</w:t>
            </w:r>
          </w:p>
        </w:tc>
        <w:tc>
          <w:tcPr>
            <w:tcW w:w="988" w:type="dxa"/>
          </w:tcPr>
          <w:p w14:paraId="678D178E" w14:textId="77777777" w:rsidR="00885F14" w:rsidRPr="005B5418" w:rsidRDefault="00885F14" w:rsidP="0002054B">
            <w:pPr>
              <w:pStyle w:val="TableCellCenter"/>
              <w:jc w:val="left"/>
            </w:pPr>
            <w:r w:rsidRPr="005B5418">
              <w:t>Yes, No, or N/A</w:t>
            </w:r>
          </w:p>
        </w:tc>
        <w:tc>
          <w:tcPr>
            <w:tcW w:w="3191" w:type="dxa"/>
          </w:tcPr>
          <w:p w14:paraId="2ACD844B" w14:textId="77777777" w:rsidR="00885F14" w:rsidRPr="005B5418" w:rsidRDefault="00885F14" w:rsidP="0002054B">
            <w:pPr>
              <w:pStyle w:val="TableCellCenter"/>
              <w:jc w:val="left"/>
            </w:pPr>
            <w:r w:rsidRPr="005B5418">
              <w:t>Explanation and Reference</w:t>
            </w:r>
          </w:p>
        </w:tc>
      </w:tr>
      <w:tr w:rsidR="00885F14" w:rsidRPr="005B5418" w14:paraId="3989B705" w14:textId="77777777" w:rsidTr="0002054B">
        <w:trPr>
          <w:gridAfter w:val="1"/>
          <w:wAfter w:w="14" w:type="dxa"/>
        </w:trPr>
        <w:tc>
          <w:tcPr>
            <w:tcW w:w="9576" w:type="dxa"/>
            <w:gridSpan w:val="3"/>
          </w:tcPr>
          <w:p w14:paraId="1894F58E" w14:textId="51AB2721" w:rsidR="00422500" w:rsidRPr="005B5418" w:rsidRDefault="00570DCD" w:rsidP="001041DF">
            <w:pPr>
              <w:spacing w:beforeLines="60" w:before="144" w:afterLines="60" w:after="144" w:line="240" w:lineRule="auto"/>
              <w:rPr>
                <w:rFonts w:ascii="Arial" w:hAnsi="Arial" w:cs="Arial"/>
              </w:rPr>
            </w:pPr>
            <w:r w:rsidRPr="005B5418">
              <w:rPr>
                <w:rFonts w:ascii="Arial" w:hAnsi="Arial" w:cs="Arial"/>
              </w:rPr>
              <w:t>SFFAS 59</w:t>
            </w:r>
            <w:r w:rsidR="008750F3" w:rsidRPr="005B5418">
              <w:rPr>
                <w:rFonts w:ascii="Arial" w:hAnsi="Arial" w:cs="Arial"/>
              </w:rPr>
              <w:t xml:space="preserve">, </w:t>
            </w:r>
            <w:r w:rsidR="008750F3" w:rsidRPr="005B5418">
              <w:rPr>
                <w:rFonts w:ascii="Arial" w:hAnsi="Arial" w:cs="Arial"/>
                <w:i/>
              </w:rPr>
              <w:t>Accounting and Reporting of Government Land</w:t>
            </w:r>
            <w:r w:rsidR="008750F3" w:rsidRPr="005B5418">
              <w:rPr>
                <w:rFonts w:ascii="Arial" w:hAnsi="Arial" w:cs="Arial"/>
              </w:rPr>
              <w:t>,</w:t>
            </w:r>
            <w:r w:rsidRPr="005B5418">
              <w:rPr>
                <w:rFonts w:ascii="Arial" w:hAnsi="Arial" w:cs="Arial"/>
              </w:rPr>
              <w:t xml:space="preserve"> amends SFFAS 6 and SFFAS 29, among other standards, with respect to the reporting requirements for PP&amp;E land, stewardship land, and permanent land rights.</w:t>
            </w:r>
            <w:r w:rsidR="00560E4A" w:rsidRPr="005B5418">
              <w:rPr>
                <w:rStyle w:val="FootnoteReference"/>
                <w:rFonts w:ascii="Arial" w:hAnsi="Arial" w:cs="Arial"/>
              </w:rPr>
              <w:footnoteReference w:id="273"/>
            </w:r>
            <w:r w:rsidRPr="005B5418">
              <w:rPr>
                <w:rFonts w:ascii="Arial" w:hAnsi="Arial" w:cs="Arial"/>
              </w:rPr>
              <w:t xml:space="preserve"> See paragraphs 6</w:t>
            </w:r>
            <w:r w:rsidR="00985945" w:rsidRPr="005B5418">
              <w:rPr>
                <w:rFonts w:ascii="Arial" w:hAnsi="Arial" w:cs="Arial"/>
              </w:rPr>
              <w:t xml:space="preserve"> and </w:t>
            </w:r>
            <w:r w:rsidRPr="005B5418">
              <w:rPr>
                <w:rFonts w:ascii="Arial" w:hAnsi="Arial" w:cs="Arial"/>
              </w:rPr>
              <w:t xml:space="preserve">9 for disclosure requirements. SFFAS 59, paragraph 15, specifies that the </w:t>
            </w:r>
            <w:r w:rsidR="003357A5" w:rsidRPr="005B5418">
              <w:rPr>
                <w:rFonts w:ascii="Arial" w:hAnsi="Arial" w:cs="Arial"/>
              </w:rPr>
              <w:t xml:space="preserve">information </w:t>
            </w:r>
            <w:r w:rsidRPr="005B5418">
              <w:rPr>
                <w:rFonts w:ascii="Arial" w:hAnsi="Arial" w:cs="Arial"/>
              </w:rPr>
              <w:t>should be presented as RSI for FYs 2022 through 2025 and should transition to note disclosures in FY 2026.</w:t>
            </w:r>
            <w:r w:rsidR="00560E4A" w:rsidRPr="005B5418">
              <w:rPr>
                <w:rStyle w:val="FootnoteReference"/>
                <w:rFonts w:ascii="Arial" w:hAnsi="Arial" w:cs="Arial"/>
              </w:rPr>
              <w:footnoteReference w:id="274"/>
            </w:r>
            <w:r w:rsidRPr="005B5418">
              <w:rPr>
                <w:rFonts w:ascii="Arial" w:hAnsi="Arial" w:cs="Arial"/>
              </w:rPr>
              <w:t xml:space="preserve"> </w:t>
            </w:r>
            <w:r w:rsidR="00422500" w:rsidRPr="005B5418">
              <w:rPr>
                <w:rFonts w:ascii="Arial" w:hAnsi="Arial" w:cs="Arial"/>
              </w:rPr>
              <w:t xml:space="preserve">Asset dollar amounts for PP&amp;E land and permanent land rights should remain on the balance sheet along with existing disclosures through fiscal year 2025. Existing display </w:t>
            </w:r>
            <w:r w:rsidR="00FC3CE9" w:rsidRPr="005B5418">
              <w:rPr>
                <w:rFonts w:ascii="Arial" w:hAnsi="Arial" w:cs="Arial"/>
              </w:rPr>
              <w:t xml:space="preserve">(balance sheet reference) </w:t>
            </w:r>
            <w:r w:rsidR="00422500" w:rsidRPr="005B5418">
              <w:rPr>
                <w:rFonts w:ascii="Arial" w:hAnsi="Arial" w:cs="Arial"/>
              </w:rPr>
              <w:t>and disclosure for stewardship land should continue through fiscal year 2025.</w:t>
            </w:r>
          </w:p>
          <w:p w14:paraId="3FDAAD1F" w14:textId="3DF83D16" w:rsidR="005C44B9" w:rsidRPr="005B5418" w:rsidRDefault="005C44B9" w:rsidP="001041DF">
            <w:pPr>
              <w:pStyle w:val="Table-Note"/>
              <w:tabs>
                <w:tab w:val="left" w:pos="1027"/>
              </w:tabs>
              <w:spacing w:beforeLines="60" w:before="144" w:afterLines="60" w:after="144" w:line="240" w:lineRule="auto"/>
              <w:ind w:left="0"/>
              <w:jc w:val="left"/>
              <w:rPr>
                <w:i w:val="0"/>
                <w:color w:val="auto"/>
                <w:sz w:val="22"/>
                <w:szCs w:val="22"/>
              </w:rPr>
            </w:pPr>
            <w:r w:rsidRPr="005B5418">
              <w:rPr>
                <w:i w:val="0"/>
                <w:iCs/>
                <w:sz w:val="22"/>
                <w:szCs w:val="22"/>
              </w:rPr>
              <w:t>If more than one entity has jurisdiction over the same acreage, the entities should coordinate to determine which has primary jurisdiction</w:t>
            </w:r>
            <w:r w:rsidR="00271322" w:rsidRPr="005B5418">
              <w:rPr>
                <w:i w:val="0"/>
                <w:iCs/>
                <w:sz w:val="22"/>
                <w:szCs w:val="22"/>
              </w:rPr>
              <w:t>. O</w:t>
            </w:r>
            <w:r w:rsidRPr="005B5418">
              <w:rPr>
                <w:i w:val="0"/>
                <w:iCs/>
                <w:sz w:val="22"/>
                <w:szCs w:val="22"/>
              </w:rPr>
              <w:t xml:space="preserve">nly the entity with primary jurisdiction should report land under SFFAS 59. </w:t>
            </w:r>
            <w:r w:rsidRPr="005B5418">
              <w:rPr>
                <w:i w:val="0"/>
                <w:color w:val="auto"/>
                <w:sz w:val="22"/>
                <w:szCs w:val="22"/>
              </w:rPr>
              <w:t>(A-136, section II.3.9.8)</w:t>
            </w:r>
          </w:p>
          <w:p w14:paraId="46C749EC" w14:textId="46002CF9" w:rsidR="00093646" w:rsidRPr="005B5418" w:rsidRDefault="00570DCD" w:rsidP="001041DF">
            <w:pPr>
              <w:pStyle w:val="Table-Note"/>
              <w:tabs>
                <w:tab w:val="left" w:pos="1027"/>
              </w:tabs>
              <w:spacing w:beforeLines="60" w:before="144" w:afterLines="60" w:after="144" w:line="240" w:lineRule="auto"/>
              <w:ind w:left="0"/>
              <w:jc w:val="left"/>
              <w:rPr>
                <w:i w:val="0"/>
                <w:color w:val="auto"/>
                <w:sz w:val="22"/>
                <w:szCs w:val="22"/>
              </w:rPr>
            </w:pPr>
            <w:r w:rsidRPr="005B5418">
              <w:rPr>
                <w:i w:val="0"/>
                <w:color w:val="auto"/>
                <w:sz w:val="22"/>
                <w:szCs w:val="22"/>
              </w:rPr>
              <w:t xml:space="preserve">The </w:t>
            </w:r>
            <w:r w:rsidR="003357A5" w:rsidRPr="005B5418">
              <w:rPr>
                <w:i w:val="0"/>
                <w:color w:val="auto"/>
                <w:sz w:val="22"/>
                <w:szCs w:val="22"/>
              </w:rPr>
              <w:t xml:space="preserve">reported information should </w:t>
            </w:r>
            <w:r w:rsidRPr="005B5418">
              <w:rPr>
                <w:i w:val="0"/>
                <w:color w:val="auto"/>
                <w:sz w:val="22"/>
                <w:szCs w:val="22"/>
              </w:rPr>
              <w:t>include, among other things</w:t>
            </w:r>
            <w:r w:rsidR="006B7A9E" w:rsidRPr="005B5418">
              <w:rPr>
                <w:i w:val="0"/>
                <w:color w:val="auto"/>
                <w:sz w:val="22"/>
                <w:szCs w:val="22"/>
              </w:rPr>
              <w:t xml:space="preserve">: (i) </w:t>
            </w:r>
            <w:r w:rsidRPr="005B5418">
              <w:rPr>
                <w:i w:val="0"/>
                <w:color w:val="auto"/>
                <w:sz w:val="22"/>
                <w:szCs w:val="22"/>
              </w:rPr>
              <w:t xml:space="preserve">a description of the PP&amp;E </w:t>
            </w:r>
            <w:r w:rsidR="00937BB2" w:rsidRPr="005B5418">
              <w:rPr>
                <w:i w:val="0"/>
                <w:color w:val="auto"/>
                <w:sz w:val="22"/>
                <w:szCs w:val="22"/>
              </w:rPr>
              <w:t>land</w:t>
            </w:r>
            <w:r w:rsidR="006B7A9E" w:rsidRPr="005B5418">
              <w:rPr>
                <w:i w:val="0"/>
                <w:color w:val="auto"/>
                <w:sz w:val="22"/>
                <w:szCs w:val="22"/>
              </w:rPr>
              <w:t>,</w:t>
            </w:r>
            <w:r w:rsidRPr="005B5418">
              <w:rPr>
                <w:i w:val="0"/>
                <w:color w:val="auto"/>
                <w:sz w:val="22"/>
                <w:szCs w:val="22"/>
              </w:rPr>
              <w:t xml:space="preserve"> stewardship land</w:t>
            </w:r>
            <w:r w:rsidR="006B7A9E" w:rsidRPr="005B5418">
              <w:rPr>
                <w:i w:val="0"/>
                <w:color w:val="auto"/>
                <w:sz w:val="22"/>
                <w:szCs w:val="22"/>
              </w:rPr>
              <w:t>, and permanent land rights</w:t>
            </w:r>
            <w:r w:rsidRPr="005B5418">
              <w:rPr>
                <w:i w:val="0"/>
                <w:color w:val="auto"/>
                <w:sz w:val="22"/>
                <w:szCs w:val="22"/>
              </w:rPr>
              <w:t xml:space="preserve"> and its relationship to the entity’s mission</w:t>
            </w:r>
            <w:r w:rsidR="006B7A9E" w:rsidRPr="005B5418">
              <w:rPr>
                <w:i w:val="0"/>
                <w:color w:val="auto"/>
                <w:sz w:val="22"/>
                <w:szCs w:val="22"/>
              </w:rPr>
              <w:t xml:space="preserve">; (ii) </w:t>
            </w:r>
            <w:r w:rsidRPr="005B5418">
              <w:rPr>
                <w:i w:val="0"/>
                <w:color w:val="auto"/>
                <w:sz w:val="22"/>
                <w:szCs w:val="22"/>
              </w:rPr>
              <w:t xml:space="preserve">the estimated PP&amp;E </w:t>
            </w:r>
            <w:r w:rsidR="00937BB2" w:rsidRPr="005B5418">
              <w:rPr>
                <w:i w:val="0"/>
                <w:color w:val="auto"/>
                <w:sz w:val="22"/>
                <w:szCs w:val="22"/>
              </w:rPr>
              <w:t xml:space="preserve">land </w:t>
            </w:r>
            <w:r w:rsidR="006B7A9E" w:rsidRPr="005B5418">
              <w:rPr>
                <w:i w:val="0"/>
                <w:color w:val="auto"/>
                <w:sz w:val="22"/>
                <w:szCs w:val="22"/>
              </w:rPr>
              <w:t xml:space="preserve">acreage (including permanent land rights acreage) </w:t>
            </w:r>
            <w:r w:rsidRPr="005B5418">
              <w:rPr>
                <w:i w:val="0"/>
                <w:color w:val="auto"/>
                <w:sz w:val="22"/>
                <w:szCs w:val="22"/>
              </w:rPr>
              <w:t>and stewardship land acreage</w:t>
            </w:r>
            <w:r w:rsidR="006B7A9E" w:rsidRPr="005B5418">
              <w:rPr>
                <w:i w:val="0"/>
                <w:color w:val="auto"/>
                <w:sz w:val="22"/>
                <w:szCs w:val="22"/>
              </w:rPr>
              <w:t xml:space="preserve"> (including permanent land rights acreage)</w:t>
            </w:r>
            <w:r w:rsidRPr="005B5418">
              <w:rPr>
                <w:i w:val="0"/>
                <w:color w:val="auto"/>
                <w:sz w:val="22"/>
                <w:szCs w:val="22"/>
              </w:rPr>
              <w:t xml:space="preserve"> by predominant use subcategory</w:t>
            </w:r>
            <w:r w:rsidR="006B7A9E" w:rsidRPr="005B5418">
              <w:rPr>
                <w:i w:val="0"/>
                <w:color w:val="auto"/>
                <w:sz w:val="22"/>
                <w:szCs w:val="22"/>
              </w:rPr>
              <w:t xml:space="preserve">; </w:t>
            </w:r>
            <w:r w:rsidRPr="005B5418">
              <w:rPr>
                <w:i w:val="0"/>
                <w:color w:val="auto"/>
                <w:sz w:val="22"/>
                <w:szCs w:val="22"/>
              </w:rPr>
              <w:t>and</w:t>
            </w:r>
            <w:r w:rsidR="006B7A9E" w:rsidRPr="005B5418">
              <w:rPr>
                <w:i w:val="0"/>
                <w:color w:val="auto"/>
                <w:sz w:val="22"/>
                <w:szCs w:val="22"/>
              </w:rPr>
              <w:t xml:space="preserve"> (iii)</w:t>
            </w:r>
            <w:r w:rsidRPr="005B5418">
              <w:rPr>
                <w:i w:val="0"/>
                <w:color w:val="auto"/>
                <w:sz w:val="22"/>
                <w:szCs w:val="22"/>
              </w:rPr>
              <w:t xml:space="preserve"> the estimated PP&amp;E </w:t>
            </w:r>
            <w:r w:rsidR="00937BB2" w:rsidRPr="005B5418">
              <w:rPr>
                <w:i w:val="0"/>
                <w:color w:val="auto"/>
                <w:sz w:val="22"/>
                <w:szCs w:val="22"/>
              </w:rPr>
              <w:t>land</w:t>
            </w:r>
            <w:r w:rsidR="006B7A9E" w:rsidRPr="005B5418">
              <w:rPr>
                <w:i w:val="0"/>
                <w:color w:val="auto"/>
                <w:sz w:val="22"/>
                <w:szCs w:val="22"/>
              </w:rPr>
              <w:t xml:space="preserve"> acreage</w:t>
            </w:r>
            <w:r w:rsidR="00937BB2" w:rsidRPr="005B5418">
              <w:rPr>
                <w:i w:val="0"/>
                <w:color w:val="auto"/>
                <w:sz w:val="22"/>
                <w:szCs w:val="22"/>
              </w:rPr>
              <w:t xml:space="preserve"> </w:t>
            </w:r>
            <w:r w:rsidRPr="005B5418">
              <w:rPr>
                <w:i w:val="0"/>
                <w:color w:val="auto"/>
                <w:sz w:val="22"/>
                <w:szCs w:val="22"/>
              </w:rPr>
              <w:t>and stewardship land acreage available for disposal or exchange</w:t>
            </w:r>
            <w:r w:rsidR="00D3743A" w:rsidRPr="005B5418">
              <w:rPr>
                <w:i w:val="0"/>
                <w:color w:val="auto"/>
                <w:sz w:val="22"/>
                <w:szCs w:val="22"/>
              </w:rPr>
              <w:t xml:space="preserve"> (as defined under SFFAS 6, paragraph 20A)</w:t>
            </w:r>
            <w:r w:rsidRPr="005B5418">
              <w:rPr>
                <w:i w:val="0"/>
                <w:color w:val="auto"/>
                <w:sz w:val="22"/>
                <w:szCs w:val="22"/>
              </w:rPr>
              <w:t xml:space="preserve">. </w:t>
            </w:r>
            <w:r w:rsidR="00D3743A" w:rsidRPr="005B5418">
              <w:rPr>
                <w:i w:val="0"/>
                <w:color w:val="auto"/>
                <w:sz w:val="22"/>
                <w:szCs w:val="22"/>
              </w:rPr>
              <w:t xml:space="preserve">These three RSI requirements should be clearly labeled for ease in compiling the </w:t>
            </w:r>
            <w:r w:rsidR="00E13681" w:rsidRPr="005B5418">
              <w:rPr>
                <w:i w:val="0"/>
                <w:color w:val="auto"/>
                <w:sz w:val="22"/>
                <w:szCs w:val="22"/>
              </w:rPr>
              <w:t>FR</w:t>
            </w:r>
            <w:r w:rsidR="00D3743A" w:rsidRPr="005B5418">
              <w:rPr>
                <w:i w:val="0"/>
                <w:color w:val="auto"/>
                <w:sz w:val="22"/>
                <w:szCs w:val="22"/>
              </w:rPr>
              <w:t>.</w:t>
            </w:r>
          </w:p>
          <w:p w14:paraId="17F2B192" w14:textId="50BDF500" w:rsidR="00885F14" w:rsidRPr="005B5418" w:rsidRDefault="00570DCD" w:rsidP="00152DD5">
            <w:pPr>
              <w:pStyle w:val="Table-Note"/>
              <w:tabs>
                <w:tab w:val="left" w:pos="1027"/>
              </w:tabs>
              <w:spacing w:beforeLines="60" w:before="144" w:afterLines="60" w:after="144" w:line="240" w:lineRule="auto"/>
              <w:ind w:left="0"/>
              <w:jc w:val="left"/>
              <w:rPr>
                <w:i w:val="0"/>
                <w:color w:val="auto"/>
                <w:sz w:val="22"/>
                <w:szCs w:val="22"/>
              </w:rPr>
            </w:pPr>
            <w:r w:rsidRPr="005B5418">
              <w:rPr>
                <w:i w:val="0"/>
                <w:color w:val="auto"/>
                <w:sz w:val="22"/>
                <w:szCs w:val="22"/>
              </w:rPr>
              <w:t xml:space="preserve">Descriptive information required by subparagraphs a, b, and e of the new paragraph 45A of SFFAS 6 and the revised paragraph 40 of SFFAS 29 should be presented in a narrative format. </w:t>
            </w:r>
            <w:r w:rsidR="004E3048" w:rsidRPr="005B5418">
              <w:rPr>
                <w:i w:val="0"/>
                <w:color w:val="auto"/>
                <w:sz w:val="22"/>
                <w:szCs w:val="22"/>
              </w:rPr>
              <w:t xml:space="preserve">If permanent land rights are significant, the estimated acreage by predominant use and descriptive information about the nature of those rights should be presented. </w:t>
            </w:r>
            <w:r w:rsidRPr="005B5418">
              <w:rPr>
                <w:i w:val="0"/>
                <w:color w:val="auto"/>
                <w:sz w:val="22"/>
                <w:szCs w:val="22"/>
              </w:rPr>
              <w:t>The information required by subparagraphs c and d of these paragraphs may be presented using tables</w:t>
            </w:r>
            <w:r w:rsidR="00BD6CDF" w:rsidRPr="005B5418">
              <w:rPr>
                <w:i w:val="0"/>
                <w:color w:val="auto"/>
                <w:sz w:val="22"/>
                <w:szCs w:val="22"/>
              </w:rPr>
              <w:t xml:space="preserve">. See A-136 for an illustrative example. </w:t>
            </w:r>
            <w:r w:rsidRPr="005B5418">
              <w:rPr>
                <w:i w:val="0"/>
                <w:color w:val="auto"/>
                <w:sz w:val="22"/>
                <w:szCs w:val="22"/>
              </w:rPr>
              <w:t xml:space="preserve">Entities with both PP&amp;E land and stewardship land may </w:t>
            </w:r>
            <w:r w:rsidR="0002054B" w:rsidRPr="005B5418">
              <w:rPr>
                <w:i w:val="0"/>
                <w:color w:val="auto"/>
                <w:sz w:val="22"/>
                <w:szCs w:val="22"/>
              </w:rPr>
              <w:t>present one table, showing PP&amp;E land separately from stewardship land, or may present</w:t>
            </w:r>
            <w:r w:rsidRPr="005B5418">
              <w:rPr>
                <w:i w:val="0"/>
                <w:color w:val="auto"/>
                <w:sz w:val="22"/>
                <w:szCs w:val="22"/>
              </w:rPr>
              <w:t xml:space="preserve"> two separate tables.</w:t>
            </w:r>
            <w:r w:rsidR="007F6286" w:rsidRPr="005B5418">
              <w:rPr>
                <w:i w:val="0"/>
                <w:color w:val="auto"/>
                <w:sz w:val="22"/>
                <w:szCs w:val="22"/>
              </w:rPr>
              <w:t xml:space="preserve"> See the illustrative single table in A-136</w:t>
            </w:r>
            <w:r w:rsidRPr="005B5418">
              <w:rPr>
                <w:i w:val="0"/>
                <w:color w:val="auto"/>
                <w:sz w:val="22"/>
                <w:szCs w:val="22"/>
              </w:rPr>
              <w:t>.</w:t>
            </w:r>
            <w:r w:rsidR="008750F3" w:rsidRPr="005B5418">
              <w:rPr>
                <w:i w:val="0"/>
                <w:color w:val="auto"/>
                <w:sz w:val="22"/>
                <w:szCs w:val="22"/>
              </w:rPr>
              <w:t xml:space="preserve"> (A-136, section II.3.9.8)</w:t>
            </w:r>
          </w:p>
          <w:p w14:paraId="573C25F9" w14:textId="23A3D84D" w:rsidR="00826FBA" w:rsidRPr="005B5418" w:rsidRDefault="00826FBA" w:rsidP="00152DD5">
            <w:pPr>
              <w:pStyle w:val="Table-Note"/>
              <w:tabs>
                <w:tab w:val="left" w:pos="1027"/>
              </w:tabs>
              <w:spacing w:beforeLines="60" w:before="144" w:afterLines="60" w:after="144" w:line="240" w:lineRule="auto"/>
              <w:ind w:left="0"/>
              <w:jc w:val="left"/>
              <w:rPr>
                <w:i w:val="0"/>
                <w:color w:val="auto"/>
                <w:sz w:val="22"/>
                <w:szCs w:val="22"/>
              </w:rPr>
            </w:pPr>
            <w:r w:rsidRPr="005B5418">
              <w:rPr>
                <w:i w:val="0"/>
                <w:color w:val="auto"/>
                <w:sz w:val="22"/>
                <w:szCs w:val="22"/>
              </w:rPr>
              <w:t>See OMB Bulletin 24-</w:t>
            </w:r>
            <w:r w:rsidR="00EC7429" w:rsidRPr="005B5418">
              <w:rPr>
                <w:i w:val="0"/>
                <w:color w:val="auto"/>
                <w:sz w:val="22"/>
                <w:szCs w:val="22"/>
              </w:rPr>
              <w:t>02</w:t>
            </w:r>
            <w:r w:rsidRPr="005B5418">
              <w:rPr>
                <w:i w:val="0"/>
                <w:color w:val="auto"/>
                <w:sz w:val="22"/>
                <w:szCs w:val="22"/>
              </w:rPr>
              <w:t xml:space="preserve">, </w:t>
            </w:r>
            <w:r w:rsidRPr="005B5418">
              <w:rPr>
                <w:iCs/>
                <w:color w:val="auto"/>
                <w:sz w:val="22"/>
                <w:szCs w:val="22"/>
              </w:rPr>
              <w:t>Audits for Federal Financial Statements</w:t>
            </w:r>
            <w:r w:rsidRPr="005B5418">
              <w:rPr>
                <w:i w:val="0"/>
                <w:color w:val="auto"/>
                <w:sz w:val="22"/>
                <w:szCs w:val="22"/>
              </w:rPr>
              <w:t>, paragraph 6.6 (</w:t>
            </w:r>
            <w:hyperlink r:id="rId13" w:history="1">
              <w:r w:rsidR="00EC7429" w:rsidRPr="005B5418">
                <w:rPr>
                  <w:rStyle w:val="Hyperlink"/>
                  <w:rFonts w:eastAsia="Times New Roman"/>
                  <w:i w:val="0"/>
                  <w:sz w:val="22"/>
                  <w:szCs w:val="22"/>
                </w:rPr>
                <w:t>https://www.whitehouse.gov/wp-content/uploads/2024/07/OMB-Bulletin-No.-24-02.pdf</w:t>
              </w:r>
            </w:hyperlink>
            <w:r w:rsidRPr="005B5418">
              <w:rPr>
                <w:i w:val="0"/>
                <w:color w:val="auto"/>
                <w:sz w:val="22"/>
                <w:szCs w:val="22"/>
              </w:rPr>
              <w:t>)</w:t>
            </w:r>
            <w:r w:rsidR="00271322" w:rsidRPr="005B5418">
              <w:rPr>
                <w:i w:val="0"/>
                <w:color w:val="auto"/>
                <w:sz w:val="22"/>
                <w:szCs w:val="22"/>
              </w:rPr>
              <w:t>,</w:t>
            </w:r>
            <w:r w:rsidRPr="005B5418">
              <w:rPr>
                <w:i w:val="0"/>
                <w:color w:val="auto"/>
                <w:sz w:val="22"/>
                <w:szCs w:val="22"/>
              </w:rPr>
              <w:t xml:space="preserve"> for audit requirements for land information. (A-136, section II.3.9.8)</w:t>
            </w:r>
            <w:r w:rsidR="00E40922" w:rsidRPr="005B5418">
              <w:rPr>
                <w:i w:val="0"/>
                <w:color w:val="auto"/>
                <w:sz w:val="22"/>
                <w:szCs w:val="22"/>
              </w:rPr>
              <w:t xml:space="preserve"> See also </w:t>
            </w:r>
            <w:hyperlink r:id="rId14" w:history="1">
              <w:r w:rsidR="00E40922" w:rsidRPr="005B5418">
                <w:rPr>
                  <w:rStyle w:val="Hyperlink"/>
                  <w:rFonts w:eastAsia="Times New Roman"/>
                  <w:i w:val="0"/>
                  <w:sz w:val="22"/>
                  <w:szCs w:val="22"/>
                </w:rPr>
                <w:t>GAO-24-106986</w:t>
              </w:r>
            </w:hyperlink>
            <w:r w:rsidR="00334218" w:rsidRPr="005B5418">
              <w:rPr>
                <w:i w:val="0"/>
                <w:color w:val="auto"/>
                <w:sz w:val="22"/>
                <w:szCs w:val="22"/>
              </w:rPr>
              <w:t xml:space="preserve">, </w:t>
            </w:r>
            <w:r w:rsidR="00334218" w:rsidRPr="005425ED">
              <w:rPr>
                <w:iCs/>
                <w:color w:val="auto"/>
                <w:sz w:val="22"/>
                <w:szCs w:val="22"/>
              </w:rPr>
              <w:t>Financial Audit Guidance</w:t>
            </w:r>
            <w:r w:rsidR="00CE6D25">
              <w:rPr>
                <w:i w:val="0"/>
                <w:color w:val="auto"/>
                <w:sz w:val="22"/>
                <w:szCs w:val="22"/>
              </w:rPr>
              <w:t>:</w:t>
            </w:r>
            <w:r w:rsidR="00E40922" w:rsidRPr="005B5418">
              <w:rPr>
                <w:i w:val="0"/>
                <w:color w:val="auto"/>
                <w:sz w:val="22"/>
                <w:szCs w:val="22"/>
              </w:rPr>
              <w:t xml:space="preserve"> </w:t>
            </w:r>
            <w:r w:rsidR="00E40922" w:rsidRPr="005B5418">
              <w:rPr>
                <w:iCs/>
                <w:color w:val="auto"/>
                <w:sz w:val="22"/>
                <w:szCs w:val="22"/>
              </w:rPr>
              <w:t>FY 2024 and FY 2025 Audit Procedures for Government Land</w:t>
            </w:r>
            <w:r w:rsidR="00E40922" w:rsidRPr="005B5418">
              <w:rPr>
                <w:i w:val="0"/>
                <w:color w:val="auto"/>
                <w:sz w:val="22"/>
                <w:szCs w:val="22"/>
              </w:rPr>
              <w:t>.</w:t>
            </w:r>
          </w:p>
        </w:tc>
      </w:tr>
      <w:tr w:rsidR="00885F14" w:rsidRPr="005B5418" w14:paraId="3B21D225" w14:textId="77777777" w:rsidTr="00343610">
        <w:trPr>
          <w:gridAfter w:val="1"/>
          <w:wAfter w:w="14" w:type="dxa"/>
          <w:trHeight w:val="1277"/>
        </w:trPr>
        <w:tc>
          <w:tcPr>
            <w:tcW w:w="5397" w:type="dxa"/>
          </w:tcPr>
          <w:p w14:paraId="733F146E" w14:textId="0B8D3F95" w:rsidR="00885F14" w:rsidRPr="005B5418" w:rsidRDefault="00885F14" w:rsidP="0091674B">
            <w:pPr>
              <w:pStyle w:val="FAM-Table-outline"/>
              <w:widowControl/>
              <w:numPr>
                <w:ilvl w:val="0"/>
                <w:numId w:val="101"/>
              </w:numPr>
              <w:adjustRightInd/>
              <w:spacing w:line="240" w:lineRule="auto"/>
              <w:textAlignment w:val="auto"/>
              <w:rPr>
                <w:color w:val="auto"/>
              </w:rPr>
            </w:pPr>
            <w:r w:rsidRPr="005B5418">
              <w:rPr>
                <w:color w:val="auto"/>
              </w:rPr>
              <w:lastRenderedPageBreak/>
              <w:t xml:space="preserve">Is this topic applicable to the </w:t>
            </w:r>
            <w:r w:rsidR="008576FA" w:rsidRPr="005B5418">
              <w:rPr>
                <w:color w:val="auto"/>
              </w:rPr>
              <w:t xml:space="preserve">reporting </w:t>
            </w:r>
            <w:r w:rsidR="00E46D7F" w:rsidRPr="005B5418">
              <w:rPr>
                <w:color w:val="auto"/>
              </w:rPr>
              <w:t xml:space="preserve">entity? </w:t>
            </w:r>
            <w:r w:rsidRPr="005B5418">
              <w:rPr>
                <w:color w:val="auto"/>
              </w:rPr>
              <w:t>(Answer Y if applicable, N/A if not applicable, or N/S if not significant. If N/A or N/S, skip to the next topic.)</w:t>
            </w:r>
          </w:p>
        </w:tc>
        <w:tc>
          <w:tcPr>
            <w:tcW w:w="988" w:type="dxa"/>
          </w:tcPr>
          <w:p w14:paraId="55FFA317" w14:textId="77777777" w:rsidR="00885F14" w:rsidRPr="005B5418" w:rsidRDefault="00885F14" w:rsidP="0002054B">
            <w:pPr>
              <w:pStyle w:val="Table-Cell-CenterBoldBefore6ptAfter6pt"/>
              <w:rPr>
                <w:lang w:val="pt-BR"/>
              </w:rPr>
            </w:pPr>
          </w:p>
        </w:tc>
        <w:tc>
          <w:tcPr>
            <w:tcW w:w="3191" w:type="dxa"/>
          </w:tcPr>
          <w:p w14:paraId="4B208F2F" w14:textId="77777777" w:rsidR="00885F14" w:rsidRPr="005B5418" w:rsidRDefault="00885F14" w:rsidP="0002054B">
            <w:pPr>
              <w:spacing w:line="240" w:lineRule="auto"/>
              <w:rPr>
                <w:lang w:val="pt-BR"/>
              </w:rPr>
            </w:pPr>
          </w:p>
        </w:tc>
      </w:tr>
      <w:tr w:rsidR="00EB4DCD" w:rsidRPr="005B5418" w14:paraId="7D0B4B86" w14:textId="77777777" w:rsidTr="00916469">
        <w:trPr>
          <w:trHeight w:val="418"/>
        </w:trPr>
        <w:tc>
          <w:tcPr>
            <w:tcW w:w="9590" w:type="dxa"/>
            <w:gridSpan w:val="4"/>
          </w:tcPr>
          <w:p w14:paraId="36D3F92F" w14:textId="58FC6609" w:rsidR="00EB4DCD" w:rsidRPr="005B5418" w:rsidRDefault="00EB4DCD" w:rsidP="00EB4DCD">
            <w:pPr>
              <w:pStyle w:val="BodyText-Cont-FAM"/>
              <w:spacing w:before="60" w:after="60" w:line="240" w:lineRule="auto"/>
              <w:ind w:left="0"/>
              <w:jc w:val="left"/>
              <w:rPr>
                <w:rFonts w:eastAsia="Arial Unicode MS" w:cs="Arial"/>
                <w:i/>
                <w:iCs/>
                <w:color w:val="auto"/>
                <w:sz w:val="22"/>
                <w:szCs w:val="22"/>
              </w:rPr>
            </w:pPr>
            <w:r w:rsidRPr="005B5418">
              <w:rPr>
                <w:rFonts w:eastAsia="Arial Unicode MS" w:cs="Arial"/>
                <w:i/>
                <w:iCs/>
                <w:color w:val="auto"/>
                <w:sz w:val="22"/>
                <w:szCs w:val="22"/>
              </w:rPr>
              <w:t>PP&amp;E Land</w:t>
            </w:r>
          </w:p>
        </w:tc>
      </w:tr>
      <w:tr w:rsidR="00885F14" w:rsidRPr="005B5418" w14:paraId="5FB10F34" w14:textId="77777777" w:rsidTr="00E41DFE">
        <w:trPr>
          <w:gridAfter w:val="1"/>
          <w:wAfter w:w="14" w:type="dxa"/>
          <w:trHeight w:val="377"/>
        </w:trPr>
        <w:tc>
          <w:tcPr>
            <w:tcW w:w="5397" w:type="dxa"/>
          </w:tcPr>
          <w:p w14:paraId="68B3F352" w14:textId="14223875" w:rsidR="00885F14" w:rsidRPr="005B5418" w:rsidRDefault="00885F14" w:rsidP="00814C92">
            <w:pPr>
              <w:pStyle w:val="FAM-Table-outline"/>
              <w:widowControl/>
              <w:adjustRightInd/>
              <w:spacing w:line="240" w:lineRule="auto"/>
              <w:textAlignment w:val="auto"/>
              <w:rPr>
                <w:color w:val="auto"/>
              </w:rPr>
            </w:pPr>
            <w:r w:rsidRPr="005B5418">
              <w:rPr>
                <w:color w:val="auto"/>
              </w:rPr>
              <w:t>Do</w:t>
            </w:r>
            <w:r w:rsidR="00EB4DCD" w:rsidRPr="005B5418">
              <w:rPr>
                <w:color w:val="auto"/>
              </w:rPr>
              <w:t>es the entity</w:t>
            </w:r>
            <w:r w:rsidR="00AA3F05" w:rsidRPr="005B5418">
              <w:rPr>
                <w:color w:val="auto"/>
              </w:rPr>
              <w:t>’s</w:t>
            </w:r>
            <w:r w:rsidR="00EB4DCD" w:rsidRPr="005B5418">
              <w:rPr>
                <w:color w:val="auto"/>
              </w:rPr>
              <w:t xml:space="preserve"> </w:t>
            </w:r>
            <w:r w:rsidR="00A474DD" w:rsidRPr="005B5418">
              <w:rPr>
                <w:color w:val="auto"/>
              </w:rPr>
              <w:t>report</w:t>
            </w:r>
            <w:r w:rsidR="00AA3F05" w:rsidRPr="005B5418">
              <w:rPr>
                <w:color w:val="auto"/>
              </w:rPr>
              <w:t>ing</w:t>
            </w:r>
            <w:r w:rsidR="00A474DD" w:rsidRPr="005B5418">
              <w:rPr>
                <w:color w:val="auto"/>
              </w:rPr>
              <w:t xml:space="preserve"> </w:t>
            </w:r>
            <w:r w:rsidR="00EB4DCD" w:rsidRPr="005B5418">
              <w:rPr>
                <w:color w:val="auto"/>
              </w:rPr>
              <w:t>of PP&amp;E land</w:t>
            </w:r>
            <w:r w:rsidR="00826FBA" w:rsidRPr="005B5418">
              <w:rPr>
                <w:rStyle w:val="FootnoteReference"/>
                <w:color w:val="auto"/>
              </w:rPr>
              <w:footnoteReference w:id="275"/>
            </w:r>
            <w:r w:rsidR="00EE37FD" w:rsidRPr="005B5418">
              <w:rPr>
                <w:color w:val="auto"/>
              </w:rPr>
              <w:t xml:space="preserve"> (including permanent land rights)</w:t>
            </w:r>
            <w:r w:rsidR="00A765EC" w:rsidRPr="005B5418">
              <w:rPr>
                <w:color w:val="auto"/>
              </w:rPr>
              <w:t xml:space="preserve"> in RSI</w:t>
            </w:r>
            <w:r w:rsidR="00143160" w:rsidRPr="005B5418">
              <w:rPr>
                <w:color w:val="auto"/>
              </w:rPr>
              <w:t xml:space="preserve"> </w:t>
            </w:r>
            <w:r w:rsidR="00EB4DCD" w:rsidRPr="005B5418">
              <w:rPr>
                <w:color w:val="auto"/>
              </w:rPr>
              <w:t xml:space="preserve">include a narrative </w:t>
            </w:r>
            <w:r w:rsidR="006B7339" w:rsidRPr="005B5418">
              <w:rPr>
                <w:color w:val="auto"/>
              </w:rPr>
              <w:t xml:space="preserve">that contains </w:t>
            </w:r>
          </w:p>
          <w:p w14:paraId="5A8A90D7" w14:textId="7F3AB13C" w:rsidR="00885F14" w:rsidRPr="005B5418" w:rsidRDefault="006B7339" w:rsidP="00814C92">
            <w:pPr>
              <w:pStyle w:val="FAM-Table-outline2"/>
              <w:spacing w:line="240" w:lineRule="auto"/>
              <w:ind w:left="1045" w:hanging="353"/>
              <w:rPr>
                <w:color w:val="auto"/>
              </w:rPr>
            </w:pPr>
            <w:r w:rsidRPr="005B5418">
              <w:rPr>
                <w:color w:val="auto"/>
              </w:rPr>
              <w:t>a concise statement defining an entity's federal land, and explaining how land relates to the mission of the entity;</w:t>
            </w:r>
            <w:r w:rsidR="00885F14" w:rsidRPr="005B5418">
              <w:rPr>
                <w:color w:val="auto"/>
              </w:rPr>
              <w:t xml:space="preserve"> </w:t>
            </w:r>
          </w:p>
          <w:p w14:paraId="7EB02AF5" w14:textId="4E938D13" w:rsidR="009D5C80" w:rsidRPr="005B5418" w:rsidRDefault="006B7339" w:rsidP="00814C92">
            <w:pPr>
              <w:pStyle w:val="FAM-Table-outline2"/>
              <w:spacing w:line="240" w:lineRule="auto"/>
              <w:ind w:left="1045" w:hanging="353"/>
              <w:rPr>
                <w:color w:val="auto"/>
              </w:rPr>
            </w:pPr>
            <w:r w:rsidRPr="005B5418">
              <w:rPr>
                <w:color w:val="auto"/>
              </w:rPr>
              <w:t>a brief description of the entity’s policies for land</w:t>
            </w:r>
            <w:r w:rsidR="005C53E4" w:rsidRPr="005B5418">
              <w:rPr>
                <w:color w:val="auto"/>
              </w:rPr>
              <w:t>;</w:t>
            </w:r>
            <w:r w:rsidR="009D5C80" w:rsidRPr="005B5418">
              <w:rPr>
                <w:rStyle w:val="FootnoteReference"/>
                <w:color w:val="auto"/>
              </w:rPr>
              <w:footnoteReference w:id="276"/>
            </w:r>
            <w:r w:rsidR="009D5C80" w:rsidRPr="005B5418">
              <w:rPr>
                <w:color w:val="auto"/>
              </w:rPr>
              <w:t xml:space="preserve"> and </w:t>
            </w:r>
          </w:p>
          <w:p w14:paraId="60ADDCF4" w14:textId="474D622C" w:rsidR="00885F14" w:rsidRPr="005B5418" w:rsidDel="006540A2" w:rsidRDefault="009D5C80" w:rsidP="00C636D9">
            <w:pPr>
              <w:pStyle w:val="FAM-Table-outline2"/>
              <w:spacing w:line="240" w:lineRule="auto"/>
              <w:ind w:left="1045" w:hanging="353"/>
              <w:rPr>
                <w:color w:val="auto"/>
              </w:rPr>
            </w:pPr>
            <w:r w:rsidRPr="005B5418">
              <w:rPr>
                <w:color w:val="auto"/>
              </w:rPr>
              <w:t xml:space="preserve">a general description of the different types of land rights acquired by the entity, whether such rights are permanent or temporary, and amounts paid during the year to maintain such rights? </w:t>
            </w:r>
            <w:r w:rsidR="00885F14" w:rsidRPr="005B5418">
              <w:rPr>
                <w:color w:val="auto"/>
              </w:rPr>
              <w:t xml:space="preserve">(SFFAS </w:t>
            </w:r>
            <w:r w:rsidRPr="005B5418">
              <w:rPr>
                <w:color w:val="auto"/>
              </w:rPr>
              <w:t>6</w:t>
            </w:r>
            <w:r w:rsidR="00885F14" w:rsidRPr="005B5418">
              <w:rPr>
                <w:color w:val="auto"/>
              </w:rPr>
              <w:t xml:space="preserve">, para. </w:t>
            </w:r>
            <w:r w:rsidRPr="005B5418">
              <w:rPr>
                <w:color w:val="auto"/>
              </w:rPr>
              <w:t>45A</w:t>
            </w:r>
            <w:r w:rsidR="00885F14" w:rsidRPr="005B5418">
              <w:rPr>
                <w:color w:val="auto"/>
              </w:rPr>
              <w:t>)</w:t>
            </w:r>
          </w:p>
        </w:tc>
        <w:tc>
          <w:tcPr>
            <w:tcW w:w="988" w:type="dxa"/>
          </w:tcPr>
          <w:p w14:paraId="090263AC" w14:textId="77777777" w:rsidR="00885F14" w:rsidRPr="005B5418" w:rsidRDefault="00885F14" w:rsidP="0002054B">
            <w:pPr>
              <w:pStyle w:val="Table-Cell-CenterBoldBefore6ptAfter6pt"/>
              <w:rPr>
                <w:lang w:val="pt-BR"/>
              </w:rPr>
            </w:pPr>
          </w:p>
        </w:tc>
        <w:tc>
          <w:tcPr>
            <w:tcW w:w="3191" w:type="dxa"/>
          </w:tcPr>
          <w:p w14:paraId="3BB66798" w14:textId="77777777" w:rsidR="00885F14" w:rsidRPr="005B5418" w:rsidDel="001562B2" w:rsidRDefault="00885F14" w:rsidP="0002054B">
            <w:pPr>
              <w:spacing w:line="240" w:lineRule="auto"/>
              <w:rPr>
                <w:lang w:val="pt-BR"/>
              </w:rPr>
            </w:pPr>
          </w:p>
        </w:tc>
      </w:tr>
      <w:tr w:rsidR="00885F14" w:rsidRPr="005B5418" w14:paraId="037C8572" w14:textId="77777777" w:rsidTr="007A7A92">
        <w:trPr>
          <w:gridAfter w:val="1"/>
          <w:wAfter w:w="14" w:type="dxa"/>
          <w:trHeight w:val="917"/>
        </w:trPr>
        <w:tc>
          <w:tcPr>
            <w:tcW w:w="5397" w:type="dxa"/>
            <w:shd w:val="clear" w:color="auto" w:fill="auto"/>
          </w:tcPr>
          <w:p w14:paraId="19118639" w14:textId="08AE302E" w:rsidR="006A04D7" w:rsidRPr="005B5418" w:rsidRDefault="00A474DD" w:rsidP="005425ED">
            <w:pPr>
              <w:pStyle w:val="FAM-Table-outline"/>
              <w:widowControl/>
              <w:adjustRightInd/>
              <w:spacing w:line="240" w:lineRule="auto"/>
              <w:textAlignment w:val="auto"/>
              <w:rPr>
                <w:color w:val="auto"/>
              </w:rPr>
            </w:pPr>
            <w:r w:rsidRPr="005B5418">
              <w:rPr>
                <w:color w:val="auto"/>
              </w:rPr>
              <w:t>For PP&amp;E land</w:t>
            </w:r>
            <w:r w:rsidR="006F10D8" w:rsidRPr="005B5418">
              <w:rPr>
                <w:color w:val="auto"/>
              </w:rPr>
              <w:t xml:space="preserve"> (including permanent</w:t>
            </w:r>
            <w:r w:rsidR="00EE37FD" w:rsidRPr="005B5418">
              <w:rPr>
                <w:color w:val="auto"/>
              </w:rPr>
              <w:t xml:space="preserve"> </w:t>
            </w:r>
            <w:r w:rsidR="006F10D8" w:rsidRPr="005B5418">
              <w:rPr>
                <w:color w:val="auto"/>
              </w:rPr>
              <w:t>land rights)</w:t>
            </w:r>
            <w:r w:rsidRPr="005B5418">
              <w:rPr>
                <w:color w:val="auto"/>
              </w:rPr>
              <w:t>, d</w:t>
            </w:r>
            <w:r w:rsidR="00AE1C80" w:rsidRPr="005B5418">
              <w:rPr>
                <w:color w:val="auto"/>
              </w:rPr>
              <w:t xml:space="preserve">oes the entity </w:t>
            </w:r>
            <w:r w:rsidRPr="005B5418">
              <w:rPr>
                <w:color w:val="auto"/>
              </w:rPr>
              <w:t xml:space="preserve">report </w:t>
            </w:r>
            <w:r w:rsidR="00937BB2" w:rsidRPr="005B5418">
              <w:rPr>
                <w:color w:val="auto"/>
              </w:rPr>
              <w:t xml:space="preserve">at the beginning and at the end of the reporting period </w:t>
            </w:r>
            <w:r w:rsidRPr="005B5418">
              <w:rPr>
                <w:color w:val="auto"/>
              </w:rPr>
              <w:t>(which may be in</w:t>
            </w:r>
            <w:r w:rsidR="002E7B48" w:rsidRPr="005B5418">
              <w:rPr>
                <w:color w:val="auto"/>
              </w:rPr>
              <w:t xml:space="preserve"> </w:t>
            </w:r>
            <w:r w:rsidR="00C41CEE" w:rsidRPr="005B5418">
              <w:rPr>
                <w:color w:val="auto"/>
              </w:rPr>
              <w:t>table</w:t>
            </w:r>
            <w:r w:rsidRPr="005B5418">
              <w:rPr>
                <w:color w:val="auto"/>
              </w:rPr>
              <w:t xml:space="preserve"> form)</w:t>
            </w:r>
            <w:r w:rsidR="00C41CEE" w:rsidRPr="005B5418">
              <w:rPr>
                <w:color w:val="auto"/>
              </w:rPr>
              <w:t xml:space="preserve"> </w:t>
            </w:r>
            <w:r w:rsidR="00587899" w:rsidRPr="005B5418">
              <w:rPr>
                <w:color w:val="auto"/>
              </w:rPr>
              <w:t>the amount of</w:t>
            </w:r>
          </w:p>
          <w:p w14:paraId="06FB089D" w14:textId="2E9FB14E" w:rsidR="003E6032" w:rsidRPr="005B5418" w:rsidRDefault="00C933E6" w:rsidP="005425ED">
            <w:pPr>
              <w:pStyle w:val="FAM-Table-outline2"/>
              <w:spacing w:line="240" w:lineRule="auto"/>
              <w:ind w:left="1045" w:hanging="353"/>
              <w:rPr>
                <w:color w:val="auto"/>
              </w:rPr>
            </w:pPr>
            <w:r w:rsidRPr="005B5418">
              <w:rPr>
                <w:color w:val="auto"/>
              </w:rPr>
              <w:t>estimated acres of land (including permanent land rights)</w:t>
            </w:r>
            <w:r w:rsidR="003F168A" w:rsidRPr="005B5418">
              <w:rPr>
                <w:color w:val="auto"/>
              </w:rPr>
              <w:t xml:space="preserve"> </w:t>
            </w:r>
            <w:r w:rsidRPr="005B5418">
              <w:rPr>
                <w:color w:val="auto"/>
              </w:rPr>
              <w:t xml:space="preserve">by </w:t>
            </w:r>
            <w:r w:rsidR="006A04D7" w:rsidRPr="005B5418">
              <w:rPr>
                <w:color w:val="auto"/>
              </w:rPr>
              <w:t>the following cat</w:t>
            </w:r>
            <w:r w:rsidRPr="005B5418">
              <w:rPr>
                <w:color w:val="auto"/>
              </w:rPr>
              <w:t>egories based on predominant use</w:t>
            </w:r>
            <w:r w:rsidR="005C53E4" w:rsidRPr="005B5418">
              <w:rPr>
                <w:color w:val="auto"/>
              </w:rPr>
              <w:t>:</w:t>
            </w:r>
            <w:r w:rsidR="00705215" w:rsidRPr="005B5418">
              <w:rPr>
                <w:rStyle w:val="FootnoteReference"/>
                <w:color w:val="auto"/>
              </w:rPr>
              <w:footnoteReference w:id="277"/>
            </w:r>
          </w:p>
          <w:p w14:paraId="2842C282" w14:textId="1FD3C82D" w:rsidR="003F168A" w:rsidRPr="005425ED" w:rsidRDefault="0045008E" w:rsidP="005425ED">
            <w:pPr>
              <w:pStyle w:val="FAM-Table-outline3"/>
              <w:widowControl/>
              <w:adjustRightInd/>
              <w:spacing w:before="60" w:after="60" w:line="240" w:lineRule="auto"/>
              <w:ind w:left="1410" w:hanging="432"/>
              <w:textAlignment w:val="auto"/>
            </w:pPr>
            <w:r w:rsidRPr="005425ED">
              <w:rPr>
                <w:sz w:val="22"/>
              </w:rPr>
              <w:t>Commercial</w:t>
            </w:r>
            <w:r w:rsidR="007A561E" w:rsidRPr="005425ED">
              <w:rPr>
                <w:sz w:val="22"/>
              </w:rPr>
              <w:t xml:space="preserve"> use</w:t>
            </w:r>
            <w:r w:rsidRPr="005425ED">
              <w:rPr>
                <w:sz w:val="22"/>
              </w:rPr>
              <w:t>;</w:t>
            </w:r>
          </w:p>
          <w:p w14:paraId="60276123" w14:textId="035B7D5E" w:rsidR="0045008E" w:rsidRPr="005425ED" w:rsidRDefault="0045008E" w:rsidP="005425ED">
            <w:pPr>
              <w:pStyle w:val="FAM-Table-outline3"/>
              <w:widowControl/>
              <w:adjustRightInd/>
              <w:spacing w:before="60" w:after="60" w:line="240" w:lineRule="auto"/>
              <w:ind w:left="1410" w:hanging="432"/>
              <w:textAlignment w:val="auto"/>
            </w:pPr>
            <w:r w:rsidRPr="005425ED">
              <w:rPr>
                <w:sz w:val="22"/>
              </w:rPr>
              <w:t xml:space="preserve">Conservation and </w:t>
            </w:r>
            <w:r w:rsidR="00154612" w:rsidRPr="005425ED">
              <w:rPr>
                <w:sz w:val="22"/>
              </w:rPr>
              <w:t>Preservation</w:t>
            </w:r>
            <w:r w:rsidRPr="005425ED">
              <w:rPr>
                <w:sz w:val="22"/>
              </w:rPr>
              <w:t>;</w:t>
            </w:r>
          </w:p>
          <w:p w14:paraId="5002E5B2" w14:textId="77777777" w:rsidR="00154612" w:rsidRDefault="0045008E">
            <w:pPr>
              <w:pStyle w:val="FAM-Table-outline3"/>
              <w:widowControl/>
              <w:adjustRightInd/>
              <w:spacing w:before="60" w:after="60" w:line="240" w:lineRule="auto"/>
              <w:ind w:left="1410" w:hanging="432"/>
              <w:textAlignment w:val="auto"/>
              <w:rPr>
                <w:color w:val="auto"/>
              </w:rPr>
            </w:pPr>
            <w:r w:rsidRPr="005425ED">
              <w:rPr>
                <w:sz w:val="22"/>
              </w:rPr>
              <w:t>Operational</w:t>
            </w:r>
            <w:r w:rsidR="00154612" w:rsidRPr="005425ED">
              <w:rPr>
                <w:sz w:val="22"/>
              </w:rPr>
              <w:t>; and</w:t>
            </w:r>
            <w:r w:rsidR="00154612" w:rsidRPr="005B5418">
              <w:rPr>
                <w:color w:val="auto"/>
              </w:rPr>
              <w:t xml:space="preserve"> </w:t>
            </w:r>
          </w:p>
          <w:p w14:paraId="26A127B1" w14:textId="02CC4C6E" w:rsidR="00885F14" w:rsidRPr="003F6923" w:rsidRDefault="003F6923" w:rsidP="003F6923">
            <w:pPr>
              <w:pStyle w:val="FAM-Table-outline2"/>
              <w:tabs>
                <w:tab w:val="clear" w:pos="2196"/>
              </w:tabs>
              <w:ind w:left="1050" w:hanging="360"/>
            </w:pPr>
            <w:r w:rsidRPr="003F6923">
              <w:t>estimated acres held for disposal or exchange,</w:t>
            </w:r>
            <w:r w:rsidR="009A1D15">
              <w:rPr>
                <w:rStyle w:val="FootnoteReference"/>
              </w:rPr>
              <w:footnoteReference w:id="278"/>
            </w:r>
            <w:r w:rsidRPr="003F6923">
              <w:t xml:space="preserve"> if applicable, and their </w:t>
            </w:r>
            <w:r w:rsidRPr="003F6923">
              <w:lastRenderedPageBreak/>
              <w:t>predominant use? (SFFAS 6, para. 45A)</w:t>
            </w:r>
          </w:p>
        </w:tc>
        <w:tc>
          <w:tcPr>
            <w:tcW w:w="988" w:type="dxa"/>
          </w:tcPr>
          <w:p w14:paraId="0F7C7710" w14:textId="77777777" w:rsidR="00885F14" w:rsidRPr="005B5418" w:rsidRDefault="00885F14" w:rsidP="0002054B">
            <w:pPr>
              <w:pStyle w:val="Table-Cell-CenterBoldBefore6ptAfter6pt"/>
              <w:rPr>
                <w:lang w:val="pt-BR"/>
              </w:rPr>
            </w:pPr>
          </w:p>
        </w:tc>
        <w:tc>
          <w:tcPr>
            <w:tcW w:w="3191" w:type="dxa"/>
          </w:tcPr>
          <w:p w14:paraId="34F05869" w14:textId="77777777" w:rsidR="00885F14" w:rsidRPr="005B5418" w:rsidRDefault="00885F14" w:rsidP="0002054B">
            <w:pPr>
              <w:spacing w:line="240" w:lineRule="auto"/>
              <w:rPr>
                <w:lang w:val="pt-BR"/>
              </w:rPr>
            </w:pPr>
          </w:p>
        </w:tc>
      </w:tr>
      <w:tr w:rsidR="00295A97" w:rsidRPr="005B5418" w14:paraId="5BED15EF" w14:textId="77777777" w:rsidTr="00BA222D">
        <w:trPr>
          <w:gridAfter w:val="1"/>
          <w:wAfter w:w="14" w:type="dxa"/>
          <w:trHeight w:val="1673"/>
        </w:trPr>
        <w:tc>
          <w:tcPr>
            <w:tcW w:w="5397" w:type="dxa"/>
            <w:shd w:val="clear" w:color="auto" w:fill="auto"/>
          </w:tcPr>
          <w:p w14:paraId="30B407F4" w14:textId="2B53A70A" w:rsidR="00295A97" w:rsidRPr="005B5418" w:rsidRDefault="00295A97" w:rsidP="005425ED">
            <w:pPr>
              <w:pStyle w:val="FAM-Table-outline"/>
              <w:widowControl/>
              <w:adjustRightInd/>
              <w:spacing w:line="240" w:lineRule="auto"/>
              <w:textAlignment w:val="auto"/>
              <w:rPr>
                <w:color w:val="auto"/>
              </w:rPr>
            </w:pPr>
            <w:r w:rsidRPr="005B5418">
              <w:rPr>
                <w:color w:val="auto"/>
              </w:rPr>
              <w:t>If the entity</w:t>
            </w:r>
            <w:r w:rsidR="004D19A9" w:rsidRPr="005B5418">
              <w:rPr>
                <w:color w:val="auto"/>
              </w:rPr>
              <w:t>’s</w:t>
            </w:r>
            <w:r w:rsidRPr="005B5418">
              <w:rPr>
                <w:color w:val="auto"/>
              </w:rPr>
              <w:t xml:space="preserve"> permanent PP&amp;E land rights are significant, does it provide the estimated acreage by predominant use </w:t>
            </w:r>
            <w:r w:rsidR="00BF3E10" w:rsidRPr="005B5418">
              <w:rPr>
                <w:color w:val="auto"/>
              </w:rPr>
              <w:t xml:space="preserve">(in the table or narrative) </w:t>
            </w:r>
            <w:r w:rsidRPr="005B5418">
              <w:rPr>
                <w:color w:val="auto"/>
              </w:rPr>
              <w:t xml:space="preserve">and </w:t>
            </w:r>
            <w:r w:rsidR="00BF3E10" w:rsidRPr="005B5418">
              <w:rPr>
                <w:color w:val="auto"/>
              </w:rPr>
              <w:t xml:space="preserve">the </w:t>
            </w:r>
            <w:r w:rsidRPr="005B5418">
              <w:rPr>
                <w:color w:val="auto"/>
              </w:rPr>
              <w:t>nature of those rights?</w:t>
            </w:r>
            <w:r w:rsidR="00BF3E10" w:rsidRPr="005B5418">
              <w:rPr>
                <w:color w:val="auto"/>
              </w:rPr>
              <w:t xml:space="preserve"> (A-136, section </w:t>
            </w:r>
            <w:r w:rsidR="004D19A9" w:rsidRPr="005B5418">
              <w:rPr>
                <w:color w:val="auto"/>
              </w:rPr>
              <w:t>II.3.9.8)</w:t>
            </w:r>
          </w:p>
        </w:tc>
        <w:tc>
          <w:tcPr>
            <w:tcW w:w="988" w:type="dxa"/>
          </w:tcPr>
          <w:p w14:paraId="05A1FC01" w14:textId="77777777" w:rsidR="00295A97" w:rsidRPr="005B5418" w:rsidRDefault="00295A97" w:rsidP="0002054B">
            <w:pPr>
              <w:pStyle w:val="Table-Cell-CenterBoldBefore6ptAfter6pt"/>
              <w:rPr>
                <w:lang w:val="pt-BR"/>
              </w:rPr>
            </w:pPr>
          </w:p>
        </w:tc>
        <w:tc>
          <w:tcPr>
            <w:tcW w:w="3191" w:type="dxa"/>
          </w:tcPr>
          <w:p w14:paraId="324D561B" w14:textId="77777777" w:rsidR="00295A97" w:rsidRPr="005B5418" w:rsidRDefault="00295A97" w:rsidP="0002054B">
            <w:pPr>
              <w:spacing w:line="240" w:lineRule="auto"/>
              <w:rPr>
                <w:lang w:val="pt-BR"/>
              </w:rPr>
            </w:pPr>
          </w:p>
        </w:tc>
      </w:tr>
      <w:tr w:rsidR="00211E25" w:rsidRPr="005B5418" w14:paraId="0DA9ACE1" w14:textId="77777777" w:rsidTr="00211E25">
        <w:trPr>
          <w:gridAfter w:val="1"/>
          <w:wAfter w:w="14" w:type="dxa"/>
          <w:trHeight w:val="418"/>
        </w:trPr>
        <w:tc>
          <w:tcPr>
            <w:tcW w:w="9576" w:type="dxa"/>
            <w:gridSpan w:val="3"/>
          </w:tcPr>
          <w:p w14:paraId="649044BB" w14:textId="40F464F8" w:rsidR="00211E25" w:rsidRPr="005B5418" w:rsidRDefault="00211E25" w:rsidP="00211E25">
            <w:pPr>
              <w:spacing w:line="240" w:lineRule="auto"/>
              <w:rPr>
                <w:rFonts w:ascii="Arial" w:hAnsi="Arial" w:cs="Arial"/>
                <w:lang w:val="pt-BR"/>
              </w:rPr>
            </w:pPr>
            <w:r w:rsidRPr="005B5418">
              <w:rPr>
                <w:rFonts w:ascii="Arial" w:eastAsia="Arial Unicode MS" w:hAnsi="Arial" w:cs="Arial"/>
                <w:i/>
                <w:iCs/>
              </w:rPr>
              <w:t>Stewardship Land</w:t>
            </w:r>
          </w:p>
        </w:tc>
      </w:tr>
      <w:tr w:rsidR="00211E25" w:rsidRPr="005B5418" w14:paraId="633A6C32" w14:textId="77777777" w:rsidTr="0061279F">
        <w:trPr>
          <w:gridAfter w:val="1"/>
          <w:wAfter w:w="14" w:type="dxa"/>
          <w:trHeight w:val="60"/>
        </w:trPr>
        <w:tc>
          <w:tcPr>
            <w:tcW w:w="5397" w:type="dxa"/>
          </w:tcPr>
          <w:p w14:paraId="64032A07" w14:textId="78B33EB0" w:rsidR="00211E25" w:rsidRPr="005B5418" w:rsidRDefault="00211E25" w:rsidP="005425ED">
            <w:pPr>
              <w:pStyle w:val="FAM-Table-outline"/>
              <w:widowControl/>
              <w:adjustRightInd/>
              <w:spacing w:line="240" w:lineRule="auto"/>
              <w:textAlignment w:val="auto"/>
              <w:rPr>
                <w:color w:val="auto"/>
              </w:rPr>
            </w:pPr>
            <w:r w:rsidRPr="005B5418">
              <w:rPr>
                <w:color w:val="auto"/>
              </w:rPr>
              <w:t>Does the entity</w:t>
            </w:r>
            <w:r w:rsidR="00AA3F05" w:rsidRPr="005B5418">
              <w:rPr>
                <w:color w:val="auto"/>
              </w:rPr>
              <w:t>’s</w:t>
            </w:r>
            <w:r w:rsidRPr="005B5418">
              <w:rPr>
                <w:color w:val="auto"/>
              </w:rPr>
              <w:t xml:space="preserve"> </w:t>
            </w:r>
            <w:r w:rsidR="00AA3F05" w:rsidRPr="005B5418">
              <w:rPr>
                <w:color w:val="auto"/>
              </w:rPr>
              <w:t xml:space="preserve">reporting </w:t>
            </w:r>
            <w:r w:rsidRPr="005B5418">
              <w:rPr>
                <w:color w:val="auto"/>
              </w:rPr>
              <w:t xml:space="preserve">of </w:t>
            </w:r>
            <w:r w:rsidR="005C53E4" w:rsidRPr="005B5418">
              <w:rPr>
                <w:color w:val="auto"/>
              </w:rPr>
              <w:t>s</w:t>
            </w:r>
            <w:r w:rsidR="00A474DD" w:rsidRPr="005B5418">
              <w:rPr>
                <w:color w:val="auto"/>
              </w:rPr>
              <w:t>tewardship</w:t>
            </w:r>
            <w:r w:rsidRPr="005B5418">
              <w:rPr>
                <w:color w:val="auto"/>
              </w:rPr>
              <w:t xml:space="preserve"> land</w:t>
            </w:r>
            <w:r w:rsidR="00EE37FD" w:rsidRPr="005B5418">
              <w:rPr>
                <w:color w:val="auto"/>
              </w:rPr>
              <w:t xml:space="preserve"> (including permanent land rights)</w:t>
            </w:r>
            <w:r w:rsidR="00A765EC" w:rsidRPr="005B5418">
              <w:rPr>
                <w:color w:val="auto"/>
              </w:rPr>
              <w:t xml:space="preserve"> in R</w:t>
            </w:r>
            <w:r w:rsidR="00143160" w:rsidRPr="005B5418">
              <w:rPr>
                <w:color w:val="auto"/>
              </w:rPr>
              <w:t xml:space="preserve">SI </w:t>
            </w:r>
            <w:r w:rsidRPr="005B5418">
              <w:rPr>
                <w:color w:val="auto"/>
              </w:rPr>
              <w:t xml:space="preserve">include a narrative that contains </w:t>
            </w:r>
          </w:p>
          <w:p w14:paraId="687047DA" w14:textId="3EB2D292" w:rsidR="00211E25" w:rsidRPr="005B5418" w:rsidRDefault="00211E25" w:rsidP="005425ED">
            <w:pPr>
              <w:pStyle w:val="FAM-Table-outline2"/>
              <w:spacing w:line="240" w:lineRule="auto"/>
              <w:ind w:left="1045" w:hanging="353"/>
              <w:rPr>
                <w:color w:val="auto"/>
              </w:rPr>
            </w:pPr>
            <w:r w:rsidRPr="005B5418">
              <w:rPr>
                <w:color w:val="auto"/>
              </w:rPr>
              <w:t xml:space="preserve">a concise statement defining an entity's federal land, and explaining how </w:t>
            </w:r>
            <w:r w:rsidR="00AE7625" w:rsidRPr="005B5418">
              <w:rPr>
                <w:color w:val="auto"/>
              </w:rPr>
              <w:t xml:space="preserve">stewardship </w:t>
            </w:r>
            <w:r w:rsidRPr="005B5418">
              <w:rPr>
                <w:color w:val="auto"/>
              </w:rPr>
              <w:t xml:space="preserve">land relates to the mission of the entity; </w:t>
            </w:r>
          </w:p>
          <w:p w14:paraId="368152F5" w14:textId="20F136D8" w:rsidR="00211E25" w:rsidRPr="005B5418" w:rsidRDefault="00211E25" w:rsidP="005425ED">
            <w:pPr>
              <w:pStyle w:val="FAM-Table-outline2"/>
              <w:spacing w:line="240" w:lineRule="auto"/>
              <w:ind w:left="1045" w:hanging="353"/>
              <w:rPr>
                <w:color w:val="auto"/>
              </w:rPr>
            </w:pPr>
            <w:r w:rsidRPr="005B5418">
              <w:rPr>
                <w:color w:val="auto"/>
              </w:rPr>
              <w:t xml:space="preserve">a brief description of the entity’s policies for </w:t>
            </w:r>
            <w:r w:rsidR="00AE7625" w:rsidRPr="005B5418">
              <w:rPr>
                <w:color w:val="auto"/>
              </w:rPr>
              <w:t xml:space="preserve">stewardship </w:t>
            </w:r>
            <w:r w:rsidRPr="005B5418">
              <w:rPr>
                <w:color w:val="auto"/>
              </w:rPr>
              <w:t>land</w:t>
            </w:r>
            <w:r w:rsidR="005C53E4" w:rsidRPr="005B5418">
              <w:rPr>
                <w:color w:val="auto"/>
              </w:rPr>
              <w:t>;</w:t>
            </w:r>
            <w:r w:rsidR="002E7B48" w:rsidRPr="005B5418">
              <w:rPr>
                <w:rStyle w:val="FootnoteReference"/>
                <w:color w:val="auto"/>
              </w:rPr>
              <w:footnoteReference w:id="279"/>
            </w:r>
            <w:r w:rsidRPr="005B5418">
              <w:rPr>
                <w:color w:val="auto"/>
              </w:rPr>
              <w:t xml:space="preserve"> and </w:t>
            </w:r>
          </w:p>
          <w:p w14:paraId="27977602" w14:textId="0117F145" w:rsidR="00343610" w:rsidRPr="005B5418" w:rsidRDefault="00211E25" w:rsidP="005425ED">
            <w:pPr>
              <w:pStyle w:val="FAM-Table-outline2"/>
              <w:numPr>
                <w:ilvl w:val="1"/>
                <w:numId w:val="65"/>
              </w:numPr>
              <w:spacing w:line="240" w:lineRule="auto"/>
              <w:ind w:left="1045" w:hanging="353"/>
              <w:rPr>
                <w:color w:val="auto"/>
              </w:rPr>
            </w:pPr>
            <w:r w:rsidRPr="005B5418">
              <w:rPr>
                <w:color w:val="auto"/>
              </w:rPr>
              <w:t xml:space="preserve">a general description of the different types of land rights acquired by the entity, whether such rights are permanent or temporary, and amounts paid during the year to maintain such rights? (SFFAS </w:t>
            </w:r>
            <w:r w:rsidR="00AE7625" w:rsidRPr="005B5418">
              <w:rPr>
                <w:color w:val="auto"/>
              </w:rPr>
              <w:t>29</w:t>
            </w:r>
            <w:r w:rsidRPr="005B5418">
              <w:rPr>
                <w:color w:val="auto"/>
              </w:rPr>
              <w:t>, para. 4</w:t>
            </w:r>
            <w:r w:rsidR="00AE7625" w:rsidRPr="005B5418">
              <w:rPr>
                <w:color w:val="auto"/>
              </w:rPr>
              <w:t>0</w:t>
            </w:r>
            <w:r w:rsidRPr="005B5418">
              <w:rPr>
                <w:color w:val="auto"/>
              </w:rPr>
              <w:t>)</w:t>
            </w:r>
            <w:r w:rsidR="00E41DFE" w:rsidRPr="005B5418">
              <w:rPr>
                <w:color w:val="auto"/>
              </w:rPr>
              <w:t xml:space="preserve">  </w:t>
            </w:r>
          </w:p>
        </w:tc>
        <w:tc>
          <w:tcPr>
            <w:tcW w:w="988" w:type="dxa"/>
          </w:tcPr>
          <w:p w14:paraId="7896F19B" w14:textId="77777777" w:rsidR="00211E25" w:rsidRPr="005B5418" w:rsidRDefault="00211E25" w:rsidP="00211E25">
            <w:pPr>
              <w:spacing w:line="240" w:lineRule="auto"/>
              <w:rPr>
                <w:rFonts w:ascii="Arial" w:eastAsia="Arial Unicode MS" w:hAnsi="Arial" w:cs="Arial"/>
                <w:i/>
                <w:iCs/>
              </w:rPr>
            </w:pPr>
          </w:p>
        </w:tc>
        <w:tc>
          <w:tcPr>
            <w:tcW w:w="3191" w:type="dxa"/>
          </w:tcPr>
          <w:p w14:paraId="52BACC3F" w14:textId="14AC0DBB" w:rsidR="00211E25" w:rsidRPr="005B5418" w:rsidRDefault="00211E25" w:rsidP="00211E25">
            <w:pPr>
              <w:spacing w:line="240" w:lineRule="auto"/>
              <w:rPr>
                <w:rFonts w:ascii="Arial" w:eastAsia="Arial Unicode MS" w:hAnsi="Arial" w:cs="Arial"/>
                <w:i/>
                <w:iCs/>
              </w:rPr>
            </w:pPr>
          </w:p>
        </w:tc>
      </w:tr>
      <w:tr w:rsidR="00AE7625" w:rsidRPr="005B5418" w14:paraId="61A5E814" w14:textId="77777777" w:rsidTr="00343610">
        <w:trPr>
          <w:gridAfter w:val="1"/>
          <w:wAfter w:w="14" w:type="dxa"/>
          <w:trHeight w:val="418"/>
        </w:trPr>
        <w:tc>
          <w:tcPr>
            <w:tcW w:w="5397" w:type="dxa"/>
          </w:tcPr>
          <w:p w14:paraId="1E6D4ABA" w14:textId="3138D038" w:rsidR="00AE7625" w:rsidRPr="005B5418" w:rsidRDefault="002E7B48" w:rsidP="005425ED">
            <w:pPr>
              <w:pStyle w:val="FAM-Table-outline"/>
              <w:widowControl/>
              <w:adjustRightInd/>
              <w:spacing w:line="240" w:lineRule="auto"/>
              <w:textAlignment w:val="auto"/>
              <w:rPr>
                <w:color w:val="auto"/>
              </w:rPr>
            </w:pPr>
            <w:r w:rsidRPr="005B5418">
              <w:rPr>
                <w:color w:val="auto"/>
              </w:rPr>
              <w:t xml:space="preserve">For </w:t>
            </w:r>
            <w:r w:rsidR="005C53E4" w:rsidRPr="005B5418">
              <w:rPr>
                <w:color w:val="auto"/>
              </w:rPr>
              <w:t>s</w:t>
            </w:r>
            <w:r w:rsidRPr="005B5418">
              <w:rPr>
                <w:color w:val="auto"/>
              </w:rPr>
              <w:t>tewardship land</w:t>
            </w:r>
            <w:r w:rsidR="00EE37FD" w:rsidRPr="005B5418">
              <w:rPr>
                <w:color w:val="auto"/>
              </w:rPr>
              <w:t xml:space="preserve"> (including permanent land rights)</w:t>
            </w:r>
            <w:r w:rsidRPr="005B5418">
              <w:rPr>
                <w:color w:val="auto"/>
              </w:rPr>
              <w:t>, does t</w:t>
            </w:r>
            <w:r w:rsidR="00AE7625" w:rsidRPr="005B5418">
              <w:rPr>
                <w:color w:val="auto"/>
              </w:rPr>
              <w:t xml:space="preserve">he entity </w:t>
            </w:r>
            <w:r w:rsidRPr="005B5418">
              <w:rPr>
                <w:color w:val="auto"/>
              </w:rPr>
              <w:t xml:space="preserve">report </w:t>
            </w:r>
            <w:r w:rsidR="00937BB2" w:rsidRPr="005B5418">
              <w:rPr>
                <w:color w:val="auto"/>
              </w:rPr>
              <w:t xml:space="preserve">at the beginning and at the end of the reporting period </w:t>
            </w:r>
            <w:r w:rsidRPr="005B5418">
              <w:rPr>
                <w:color w:val="auto"/>
              </w:rPr>
              <w:t>(which may be in table form)</w:t>
            </w:r>
            <w:r w:rsidR="00AE7625" w:rsidRPr="005B5418">
              <w:rPr>
                <w:color w:val="auto"/>
              </w:rPr>
              <w:t xml:space="preserve"> the amount of</w:t>
            </w:r>
          </w:p>
          <w:p w14:paraId="61D88F1F" w14:textId="7D888074" w:rsidR="00AE7625" w:rsidRPr="005B5418" w:rsidRDefault="00AE7625" w:rsidP="005425ED">
            <w:pPr>
              <w:pStyle w:val="FAM-Table-outline2"/>
              <w:spacing w:line="240" w:lineRule="auto"/>
              <w:ind w:left="1045" w:hanging="353"/>
              <w:rPr>
                <w:color w:val="auto"/>
              </w:rPr>
            </w:pPr>
            <w:r w:rsidRPr="005B5418">
              <w:rPr>
                <w:color w:val="auto"/>
              </w:rPr>
              <w:t xml:space="preserve">estimated acres of </w:t>
            </w:r>
            <w:r w:rsidR="00343610" w:rsidRPr="005B5418">
              <w:rPr>
                <w:color w:val="auto"/>
              </w:rPr>
              <w:t xml:space="preserve">stewardship </w:t>
            </w:r>
            <w:r w:rsidRPr="005B5418">
              <w:rPr>
                <w:color w:val="auto"/>
              </w:rPr>
              <w:t>land (including permanent land rights) by the following categories based on predominant use</w:t>
            </w:r>
            <w:r w:rsidR="005C53E4" w:rsidRPr="005B5418">
              <w:rPr>
                <w:color w:val="auto"/>
              </w:rPr>
              <w:t>:</w:t>
            </w:r>
            <w:r w:rsidR="00592539" w:rsidRPr="005B5418">
              <w:rPr>
                <w:rStyle w:val="FootnoteReference"/>
                <w:color w:val="auto"/>
              </w:rPr>
              <w:footnoteReference w:id="280"/>
            </w:r>
          </w:p>
          <w:p w14:paraId="4BF77207" w14:textId="306852E7" w:rsidR="00AE7625" w:rsidRPr="005425ED" w:rsidRDefault="00AE7625" w:rsidP="005425ED">
            <w:pPr>
              <w:pStyle w:val="FAM-Table-outline3"/>
              <w:widowControl/>
              <w:adjustRightInd/>
              <w:spacing w:before="60" w:after="60" w:line="240" w:lineRule="auto"/>
              <w:ind w:left="1410" w:hanging="432"/>
              <w:textAlignment w:val="auto"/>
            </w:pPr>
            <w:r w:rsidRPr="005425ED">
              <w:rPr>
                <w:sz w:val="22"/>
              </w:rPr>
              <w:t>Commercial</w:t>
            </w:r>
            <w:r w:rsidR="007A561E" w:rsidRPr="005425ED">
              <w:rPr>
                <w:sz w:val="22"/>
              </w:rPr>
              <w:t xml:space="preserve"> use</w:t>
            </w:r>
            <w:r w:rsidRPr="005425ED">
              <w:rPr>
                <w:sz w:val="22"/>
              </w:rPr>
              <w:t>;</w:t>
            </w:r>
          </w:p>
          <w:p w14:paraId="6EDE413E" w14:textId="77777777" w:rsidR="00AE7625" w:rsidRPr="005425ED" w:rsidRDefault="00AE7625" w:rsidP="005425ED">
            <w:pPr>
              <w:pStyle w:val="FAM-Table-outline3"/>
              <w:widowControl/>
              <w:adjustRightInd/>
              <w:spacing w:before="60" w:after="60" w:line="240" w:lineRule="auto"/>
              <w:ind w:left="1410" w:hanging="432"/>
              <w:textAlignment w:val="auto"/>
            </w:pPr>
            <w:r w:rsidRPr="005425ED">
              <w:rPr>
                <w:sz w:val="22"/>
              </w:rPr>
              <w:lastRenderedPageBreak/>
              <w:t>Conservation and Preservation;</w:t>
            </w:r>
          </w:p>
          <w:p w14:paraId="5F79EB65" w14:textId="77777777" w:rsidR="00AE7625" w:rsidRPr="005425ED" w:rsidRDefault="00AE7625" w:rsidP="005425ED">
            <w:pPr>
              <w:pStyle w:val="FAM-Table-outline3"/>
              <w:widowControl/>
              <w:adjustRightInd/>
              <w:spacing w:before="60" w:after="60" w:line="240" w:lineRule="auto"/>
              <w:ind w:left="1410" w:hanging="432"/>
              <w:textAlignment w:val="auto"/>
            </w:pPr>
            <w:r w:rsidRPr="005425ED">
              <w:rPr>
                <w:sz w:val="22"/>
              </w:rPr>
              <w:t xml:space="preserve">Operational; and </w:t>
            </w:r>
          </w:p>
          <w:p w14:paraId="6DE0148E" w14:textId="339ED93A" w:rsidR="00AE7625" w:rsidRPr="005B5418" w:rsidRDefault="00AE7625" w:rsidP="005425ED">
            <w:pPr>
              <w:pStyle w:val="FAM-Table-outline2"/>
              <w:spacing w:line="240" w:lineRule="auto"/>
              <w:ind w:left="1045" w:hanging="353"/>
              <w:rPr>
                <w:color w:val="auto"/>
              </w:rPr>
            </w:pPr>
            <w:r w:rsidRPr="005B5418">
              <w:rPr>
                <w:color w:val="auto"/>
              </w:rPr>
              <w:t>estimated acres held for disposal or exchange</w:t>
            </w:r>
            <w:r w:rsidR="005C53E4" w:rsidRPr="005B5418">
              <w:rPr>
                <w:color w:val="auto"/>
              </w:rPr>
              <w:t>,</w:t>
            </w:r>
            <w:r w:rsidR="00592539" w:rsidRPr="005B5418">
              <w:rPr>
                <w:rStyle w:val="FootnoteReference"/>
                <w:color w:val="auto"/>
              </w:rPr>
              <w:footnoteReference w:id="281"/>
            </w:r>
            <w:r w:rsidRPr="005B5418">
              <w:rPr>
                <w:color w:val="auto"/>
              </w:rPr>
              <w:t xml:space="preserve"> if applicable, </w:t>
            </w:r>
            <w:r w:rsidR="00477D62" w:rsidRPr="005B5418">
              <w:rPr>
                <w:color w:val="auto"/>
              </w:rPr>
              <w:t>and their</w:t>
            </w:r>
            <w:r w:rsidRPr="005B5418">
              <w:rPr>
                <w:color w:val="auto"/>
              </w:rPr>
              <w:t xml:space="preserve"> predominant use? (SFFAS </w:t>
            </w:r>
            <w:r w:rsidR="00102B36" w:rsidRPr="005B5418">
              <w:rPr>
                <w:color w:val="auto"/>
              </w:rPr>
              <w:t>29</w:t>
            </w:r>
            <w:r w:rsidRPr="005B5418">
              <w:rPr>
                <w:color w:val="auto"/>
              </w:rPr>
              <w:t xml:space="preserve">, para. </w:t>
            </w:r>
            <w:r w:rsidR="00102B36" w:rsidRPr="005B5418">
              <w:rPr>
                <w:color w:val="auto"/>
              </w:rPr>
              <w:t>40</w:t>
            </w:r>
            <w:r w:rsidRPr="005B5418">
              <w:rPr>
                <w:color w:val="auto"/>
              </w:rPr>
              <w:t>)</w:t>
            </w:r>
          </w:p>
          <w:p w14:paraId="588931FC" w14:textId="77777777" w:rsidR="00AE7625" w:rsidRPr="005B5418" w:rsidRDefault="00AE7625" w:rsidP="00AE7625">
            <w:pPr>
              <w:pStyle w:val="FAM-Table-outline"/>
              <w:widowControl/>
              <w:numPr>
                <w:ilvl w:val="0"/>
                <w:numId w:val="0"/>
              </w:numPr>
              <w:adjustRightInd/>
              <w:spacing w:line="240" w:lineRule="auto"/>
              <w:ind w:left="576"/>
              <w:textAlignment w:val="auto"/>
              <w:rPr>
                <w:color w:val="auto"/>
              </w:rPr>
            </w:pPr>
          </w:p>
        </w:tc>
        <w:tc>
          <w:tcPr>
            <w:tcW w:w="988" w:type="dxa"/>
          </w:tcPr>
          <w:p w14:paraId="224F7507" w14:textId="77777777" w:rsidR="00AE7625" w:rsidRPr="005B5418" w:rsidRDefault="00AE7625" w:rsidP="00211E25">
            <w:pPr>
              <w:spacing w:line="240" w:lineRule="auto"/>
              <w:rPr>
                <w:rFonts w:ascii="Arial" w:eastAsia="Arial Unicode MS" w:hAnsi="Arial" w:cs="Arial"/>
                <w:i/>
                <w:iCs/>
              </w:rPr>
            </w:pPr>
          </w:p>
        </w:tc>
        <w:tc>
          <w:tcPr>
            <w:tcW w:w="3191" w:type="dxa"/>
          </w:tcPr>
          <w:p w14:paraId="5D495745" w14:textId="77777777" w:rsidR="00AE7625" w:rsidRPr="005B5418" w:rsidRDefault="00AE7625" w:rsidP="00211E25">
            <w:pPr>
              <w:spacing w:line="240" w:lineRule="auto"/>
              <w:rPr>
                <w:rFonts w:ascii="Arial" w:eastAsia="Arial Unicode MS" w:hAnsi="Arial" w:cs="Arial"/>
                <w:i/>
                <w:iCs/>
              </w:rPr>
            </w:pPr>
          </w:p>
        </w:tc>
      </w:tr>
      <w:tr w:rsidR="00295A97" w:rsidRPr="005B5418" w14:paraId="69917CDF" w14:textId="77777777" w:rsidTr="00343610">
        <w:trPr>
          <w:gridAfter w:val="1"/>
          <w:wAfter w:w="14" w:type="dxa"/>
          <w:trHeight w:val="418"/>
        </w:trPr>
        <w:tc>
          <w:tcPr>
            <w:tcW w:w="5397" w:type="dxa"/>
          </w:tcPr>
          <w:p w14:paraId="33A2E8B7" w14:textId="2C5E9517" w:rsidR="00295A97" w:rsidRPr="005B5418" w:rsidRDefault="0083645F" w:rsidP="005425ED">
            <w:pPr>
              <w:pStyle w:val="FAM-Table-outline"/>
              <w:widowControl/>
              <w:adjustRightInd/>
              <w:spacing w:line="240" w:lineRule="auto"/>
              <w:textAlignment w:val="auto"/>
              <w:rPr>
                <w:color w:val="auto"/>
              </w:rPr>
            </w:pPr>
            <w:r w:rsidRPr="005B5418">
              <w:rPr>
                <w:color w:val="auto"/>
              </w:rPr>
              <w:t xml:space="preserve">If the entity’s permanent </w:t>
            </w:r>
            <w:r w:rsidR="0075673D" w:rsidRPr="005B5418">
              <w:rPr>
                <w:color w:val="auto"/>
              </w:rPr>
              <w:t>s</w:t>
            </w:r>
            <w:r w:rsidRPr="005B5418">
              <w:rPr>
                <w:color w:val="auto"/>
              </w:rPr>
              <w:t>tewar</w:t>
            </w:r>
            <w:r w:rsidR="00524246" w:rsidRPr="005B5418">
              <w:rPr>
                <w:color w:val="auto"/>
              </w:rPr>
              <w:t>d</w:t>
            </w:r>
            <w:r w:rsidRPr="005B5418">
              <w:rPr>
                <w:color w:val="auto"/>
              </w:rPr>
              <w:t>ship land rights are significant, does it provide the estimated acreage by predominant use (in the table or narrative) and the nature of those rights? (A-136, section II.3.9.8)</w:t>
            </w:r>
          </w:p>
        </w:tc>
        <w:tc>
          <w:tcPr>
            <w:tcW w:w="988" w:type="dxa"/>
          </w:tcPr>
          <w:p w14:paraId="0BC67E23" w14:textId="77777777" w:rsidR="00295A97" w:rsidRPr="005B5418" w:rsidRDefault="00295A97" w:rsidP="00211E25">
            <w:pPr>
              <w:spacing w:line="240" w:lineRule="auto"/>
              <w:rPr>
                <w:rFonts w:ascii="Arial" w:eastAsia="Arial Unicode MS" w:hAnsi="Arial" w:cs="Arial"/>
                <w:i/>
                <w:iCs/>
              </w:rPr>
            </w:pPr>
          </w:p>
        </w:tc>
        <w:tc>
          <w:tcPr>
            <w:tcW w:w="3191" w:type="dxa"/>
          </w:tcPr>
          <w:p w14:paraId="58E1CD65" w14:textId="77777777" w:rsidR="00295A97" w:rsidRPr="005B5418" w:rsidRDefault="00295A97" w:rsidP="00211E25">
            <w:pPr>
              <w:spacing w:line="240" w:lineRule="auto"/>
              <w:rPr>
                <w:rFonts w:ascii="Arial" w:eastAsia="Arial Unicode MS" w:hAnsi="Arial" w:cs="Arial"/>
                <w:i/>
                <w:iCs/>
              </w:rPr>
            </w:pPr>
          </w:p>
        </w:tc>
      </w:tr>
    </w:tbl>
    <w:p w14:paraId="1A72BECC" w14:textId="58200C52" w:rsidR="0043633B" w:rsidRPr="005B5418" w:rsidRDefault="0043633B" w:rsidP="003B61E9">
      <w:pPr>
        <w:spacing w:line="240" w:lineRule="auto"/>
        <w:rPr>
          <w:rFonts w:cs="Arial"/>
        </w:rPr>
      </w:pPr>
    </w:p>
    <w:p w14:paraId="77B391C5" w14:textId="281A439B" w:rsidR="00641026" w:rsidRPr="005B5418" w:rsidRDefault="00641026" w:rsidP="0043633B">
      <w:pPr>
        <w:tabs>
          <w:tab w:val="left" w:pos="2266"/>
        </w:tabs>
        <w:rPr>
          <w:rFonts w:cs="Arial"/>
        </w:rPr>
        <w:sectPr w:rsidR="00641026" w:rsidRPr="005B5418" w:rsidSect="00571B6D">
          <w:pgSz w:w="12240" w:h="15840" w:code="1"/>
          <w:pgMar w:top="1440" w:right="1440" w:bottom="1440" w:left="1440" w:header="720" w:footer="720" w:gutter="0"/>
          <w:cols w:space="708"/>
          <w:docGrid w:linePitch="326"/>
        </w:sectPr>
      </w:pPr>
    </w:p>
    <w:p w14:paraId="3F0E61EA" w14:textId="77777777" w:rsidR="00371E29" w:rsidRPr="005B5418" w:rsidRDefault="00371E29" w:rsidP="003B61E9">
      <w:pPr>
        <w:pStyle w:val="Heading3"/>
        <w:spacing w:line="240" w:lineRule="auto"/>
      </w:pPr>
      <w:bookmarkStart w:id="270" w:name="_Section_II.4_–"/>
      <w:bookmarkStart w:id="271" w:name="_Ref384814377"/>
      <w:bookmarkStart w:id="272" w:name="_Toc394667944"/>
      <w:bookmarkStart w:id="273" w:name="_Toc491078376"/>
      <w:bookmarkStart w:id="274" w:name="_Toc8724395"/>
      <w:bookmarkStart w:id="275" w:name="_Toc18571197"/>
      <w:bookmarkEnd w:id="270"/>
      <w:r w:rsidRPr="005B5418">
        <w:lastRenderedPageBreak/>
        <w:t>Section II.4 – Other Information</w:t>
      </w:r>
      <w:bookmarkEnd w:id="271"/>
      <w:bookmarkEnd w:id="272"/>
      <w:bookmarkEnd w:id="273"/>
      <w:bookmarkEnd w:id="274"/>
      <w:bookmarkEnd w:id="275"/>
    </w:p>
    <w:p w14:paraId="25CF24A0" w14:textId="77777777" w:rsidR="00371E29" w:rsidRPr="005B5418" w:rsidRDefault="00371E29" w:rsidP="003B61E9">
      <w:pPr>
        <w:spacing w:after="240" w:line="240" w:lineRule="auto"/>
        <w:rPr>
          <w:rFonts w:ascii="Arial" w:hAnsi="Arial" w:cs="Arial"/>
        </w:rPr>
      </w:pPr>
      <w:r w:rsidRPr="005B5418">
        <w:rPr>
          <w:rFonts w:ascii="Arial" w:hAnsi="Arial" w:cs="Arial"/>
        </w:rPr>
        <w:t xml:space="preserve">The questions related to the unaudited other information (OI) requirements are presented under </w:t>
      </w:r>
      <w:r w:rsidR="00160865" w:rsidRPr="005B5418">
        <w:rPr>
          <w:rFonts w:ascii="Arial" w:hAnsi="Arial" w:cs="Arial"/>
        </w:rPr>
        <w:t>nine</w:t>
      </w:r>
      <w:r w:rsidRPr="005B5418">
        <w:rPr>
          <w:rFonts w:ascii="Arial" w:hAnsi="Arial" w:cs="Arial"/>
        </w:rPr>
        <w:t xml:space="preserve"> captions. The question numbers related to each caption are identified below.</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B3227F" w:rsidRPr="005B5418" w14:paraId="67F941F4" w14:textId="77777777" w:rsidTr="008F4F70">
        <w:tc>
          <w:tcPr>
            <w:tcW w:w="7560" w:type="dxa"/>
          </w:tcPr>
          <w:p w14:paraId="16BCE711" w14:textId="77777777" w:rsidR="00B3227F" w:rsidRPr="005B5418" w:rsidRDefault="00B3227F" w:rsidP="008F4F70">
            <w:pPr>
              <w:pStyle w:val="Heading4"/>
              <w:spacing w:line="240" w:lineRule="auto"/>
              <w:jc w:val="left"/>
              <w:rPr>
                <w:b/>
                <w:u w:val="none"/>
              </w:rPr>
            </w:pPr>
            <w:r w:rsidRPr="005B5418">
              <w:rPr>
                <w:b/>
                <w:u w:val="none"/>
              </w:rPr>
              <w:t>II.4 – Other Information</w:t>
            </w:r>
          </w:p>
        </w:tc>
      </w:tr>
      <w:tr w:rsidR="00B3227F" w:rsidRPr="005B5418" w14:paraId="7A17F8FD" w14:textId="77777777" w:rsidTr="0061279F">
        <w:tc>
          <w:tcPr>
            <w:tcW w:w="7560" w:type="dxa"/>
            <w:shd w:val="clear" w:color="auto" w:fill="auto"/>
            <w:vAlign w:val="center"/>
          </w:tcPr>
          <w:p w14:paraId="6064121E" w14:textId="54F37210" w:rsidR="00B3227F" w:rsidRPr="005B5418" w:rsidRDefault="00B3227F" w:rsidP="0061279F">
            <w:pPr>
              <w:pStyle w:val="Table-Cell-Indent"/>
              <w:ind w:left="1034" w:hanging="674"/>
            </w:pPr>
            <w:r w:rsidRPr="005B5418">
              <w:fldChar w:fldCharType="begin"/>
            </w:r>
            <w:r w:rsidRPr="005B5418">
              <w:instrText xml:space="preserve"> REF _Ref495498416 \h  \* MERGEFORMAT </w:instrText>
            </w:r>
            <w:r w:rsidRPr="005B5418">
              <w:fldChar w:fldCharType="separate"/>
            </w:r>
            <w:r w:rsidR="00B22634" w:rsidRPr="005B5418">
              <w:t xml:space="preserve">II.4.1 </w:t>
            </w:r>
            <w:r w:rsidR="000D3200" w:rsidRPr="005B5418">
              <w:t xml:space="preserve">  </w:t>
            </w:r>
            <w:r w:rsidR="00AD0CAB" w:rsidRPr="005B5418">
              <w:t xml:space="preserve">Summary of Financial Statement Audit and Management Assurances </w:t>
            </w:r>
            <w:r w:rsidRPr="005B5418">
              <w:fldChar w:fldCharType="end"/>
            </w:r>
          </w:p>
        </w:tc>
      </w:tr>
      <w:tr w:rsidR="00B3227F" w:rsidRPr="005B5418" w14:paraId="20AEF5DF" w14:textId="77777777" w:rsidTr="0061279F">
        <w:tc>
          <w:tcPr>
            <w:tcW w:w="7560" w:type="dxa"/>
            <w:shd w:val="clear" w:color="auto" w:fill="auto"/>
            <w:vAlign w:val="center"/>
          </w:tcPr>
          <w:p w14:paraId="04B7F7ED" w14:textId="61009903" w:rsidR="00B3227F" w:rsidRPr="005B5418" w:rsidRDefault="00B3227F" w:rsidP="00C05D38">
            <w:pPr>
              <w:pStyle w:val="Table-Cell-Indent"/>
            </w:pPr>
            <w:r w:rsidRPr="005B5418">
              <w:fldChar w:fldCharType="begin"/>
            </w:r>
            <w:r w:rsidRPr="005B5418">
              <w:instrText xml:space="preserve"> REF _Ref8657581 \h  \* MERGEFORMAT </w:instrText>
            </w:r>
            <w:r w:rsidRPr="005B5418">
              <w:fldChar w:fldCharType="separate"/>
            </w:r>
            <w:r w:rsidR="00B22634" w:rsidRPr="005B5418">
              <w:t>II.4.2</w:t>
            </w:r>
            <w:r w:rsidR="000D3200" w:rsidRPr="005B5418">
              <w:t xml:space="preserve">   </w:t>
            </w:r>
            <w:r w:rsidR="00AD0CAB" w:rsidRPr="005B5418">
              <w:t xml:space="preserve">Revenue Forgone </w:t>
            </w:r>
            <w:r w:rsidRPr="005B5418">
              <w:fldChar w:fldCharType="end"/>
            </w:r>
          </w:p>
        </w:tc>
      </w:tr>
      <w:tr w:rsidR="00B3227F" w:rsidRPr="005B5418" w14:paraId="770EBC7A" w14:textId="77777777" w:rsidTr="0061279F">
        <w:tc>
          <w:tcPr>
            <w:tcW w:w="7560" w:type="dxa"/>
            <w:shd w:val="clear" w:color="auto" w:fill="auto"/>
            <w:vAlign w:val="center"/>
          </w:tcPr>
          <w:p w14:paraId="731B3D62" w14:textId="5FADD3B8" w:rsidR="00B3227F" w:rsidRPr="005B5418" w:rsidRDefault="00B3227F" w:rsidP="00C7296F">
            <w:pPr>
              <w:pStyle w:val="Table-Cell-Indent"/>
            </w:pPr>
            <w:r w:rsidRPr="005B5418">
              <w:fldChar w:fldCharType="begin"/>
            </w:r>
            <w:r w:rsidRPr="005B5418">
              <w:instrText xml:space="preserve"> REF _Ref8657623 \h  \* MERGEFORMAT </w:instrText>
            </w:r>
            <w:r w:rsidRPr="005B5418">
              <w:fldChar w:fldCharType="separate"/>
            </w:r>
            <w:r w:rsidR="00B22634" w:rsidRPr="005B5418">
              <w:t xml:space="preserve">II.4.3 </w:t>
            </w:r>
            <w:r w:rsidR="000D3200" w:rsidRPr="005B5418">
              <w:t xml:space="preserve">  </w:t>
            </w:r>
            <w:r w:rsidR="00AD0CAB" w:rsidRPr="005B5418">
              <w:t>Tax Burden</w:t>
            </w:r>
            <w:r w:rsidR="00E43D1F" w:rsidRPr="005B5418">
              <w:t>,</w:t>
            </w:r>
            <w:r w:rsidR="0053370C">
              <w:t xml:space="preserve"> </w:t>
            </w:r>
            <w:r w:rsidR="00AD0CAB" w:rsidRPr="005B5418">
              <w:t>Tax Gap</w:t>
            </w:r>
            <w:r w:rsidR="00E43D1F" w:rsidRPr="005B5418">
              <w:t>,</w:t>
            </w:r>
            <w:r w:rsidR="00AD0CAB" w:rsidRPr="005B5418">
              <w:t xml:space="preserve"> and Tax Expenditures</w:t>
            </w:r>
            <w:r w:rsidRPr="005B5418">
              <w:fldChar w:fldCharType="end"/>
            </w:r>
          </w:p>
        </w:tc>
      </w:tr>
      <w:tr w:rsidR="00B3227F" w:rsidRPr="005B5418" w14:paraId="3A4961E4" w14:textId="77777777" w:rsidTr="0061279F">
        <w:tc>
          <w:tcPr>
            <w:tcW w:w="7560" w:type="dxa"/>
            <w:shd w:val="clear" w:color="auto" w:fill="auto"/>
            <w:vAlign w:val="center"/>
          </w:tcPr>
          <w:p w14:paraId="0B619979" w14:textId="27368B2A" w:rsidR="00B3227F" w:rsidRPr="005B5418" w:rsidRDefault="00B3227F" w:rsidP="00C7296F">
            <w:pPr>
              <w:pStyle w:val="Table-Cell-Indent"/>
              <w:ind w:left="1034" w:hanging="674"/>
            </w:pPr>
            <w:r w:rsidRPr="005B5418">
              <w:fldChar w:fldCharType="begin"/>
            </w:r>
            <w:r w:rsidRPr="005B5418">
              <w:instrText xml:space="preserve"> REF _Ref8657628 \h  \* MERGEFORMAT </w:instrText>
            </w:r>
            <w:r w:rsidRPr="005B5418">
              <w:fldChar w:fldCharType="separate"/>
            </w:r>
            <w:r w:rsidR="00B22634" w:rsidRPr="005B5418">
              <w:t xml:space="preserve">II.4.4 </w:t>
            </w:r>
            <w:r w:rsidR="000D3200" w:rsidRPr="005B5418">
              <w:t xml:space="preserve">  </w:t>
            </w:r>
            <w:r w:rsidR="00AD0CAB" w:rsidRPr="005B5418">
              <w:t>Management and Performance Challenges</w:t>
            </w:r>
            <w:r w:rsidRPr="005B5418">
              <w:fldChar w:fldCharType="end"/>
            </w:r>
          </w:p>
        </w:tc>
      </w:tr>
      <w:tr w:rsidR="00B3227F" w:rsidRPr="005B5418" w14:paraId="4582E97E" w14:textId="77777777" w:rsidTr="00B3227F">
        <w:tc>
          <w:tcPr>
            <w:tcW w:w="7560" w:type="dxa"/>
            <w:vAlign w:val="center"/>
          </w:tcPr>
          <w:p w14:paraId="2C3D44BE" w14:textId="74CA8F54" w:rsidR="00B3227F" w:rsidRPr="005B5418" w:rsidRDefault="00B3227F" w:rsidP="003B61E9">
            <w:pPr>
              <w:pStyle w:val="Table-Cell-Indent"/>
            </w:pPr>
            <w:r w:rsidRPr="005B5418">
              <w:fldChar w:fldCharType="begin"/>
            </w:r>
            <w:r w:rsidRPr="005B5418">
              <w:instrText xml:space="preserve"> REF _Ref8657637 \h  \* MERGEFORMAT </w:instrText>
            </w:r>
            <w:r w:rsidRPr="005B5418">
              <w:fldChar w:fldCharType="separate"/>
            </w:r>
            <w:r w:rsidR="00B22634" w:rsidRPr="005B5418">
              <w:t xml:space="preserve">II.4.5 </w:t>
            </w:r>
            <w:r w:rsidR="000D3200" w:rsidRPr="005B5418">
              <w:t xml:space="preserve">  </w:t>
            </w:r>
            <w:r w:rsidR="00B22634" w:rsidRPr="005B5418">
              <w:t>Payment Integrity</w:t>
            </w:r>
            <w:r w:rsidRPr="005B5418">
              <w:fldChar w:fldCharType="end"/>
            </w:r>
            <w:r w:rsidR="0020191C" w:rsidRPr="005B5418">
              <w:t xml:space="preserve"> Information Act Reporting</w:t>
            </w:r>
          </w:p>
        </w:tc>
      </w:tr>
      <w:tr w:rsidR="00B3227F" w:rsidRPr="005B5418" w14:paraId="39D6F441" w14:textId="77777777" w:rsidTr="00B3227F">
        <w:tc>
          <w:tcPr>
            <w:tcW w:w="7560" w:type="dxa"/>
            <w:vAlign w:val="center"/>
          </w:tcPr>
          <w:p w14:paraId="4A4450A7" w14:textId="3DF4F4E7" w:rsidR="00B3227F" w:rsidRPr="005B5418" w:rsidRDefault="00B3227F" w:rsidP="001205F2">
            <w:pPr>
              <w:pStyle w:val="Table-Cell-Indent"/>
            </w:pPr>
            <w:r w:rsidRPr="005B5418">
              <w:fldChar w:fldCharType="begin"/>
            </w:r>
            <w:r w:rsidRPr="005B5418">
              <w:instrText xml:space="preserve"> REF _Ref8657650 \h  \* MERGEFORMAT </w:instrText>
            </w:r>
            <w:r w:rsidRPr="005B5418">
              <w:fldChar w:fldCharType="separate"/>
            </w:r>
            <w:r w:rsidR="00B22634" w:rsidRPr="005B5418">
              <w:t xml:space="preserve">II.4.6 </w:t>
            </w:r>
            <w:r w:rsidR="000D3200" w:rsidRPr="005B5418">
              <w:t xml:space="preserve">  </w:t>
            </w:r>
            <w:r w:rsidR="00B22634" w:rsidRPr="005B5418">
              <w:t>Other Agency-</w:t>
            </w:r>
            <w:r w:rsidR="001205F2" w:rsidRPr="005B5418">
              <w:t xml:space="preserve">Specific </w:t>
            </w:r>
            <w:r w:rsidR="00B22634" w:rsidRPr="005B5418">
              <w:t>Statutorily Required</w:t>
            </w:r>
            <w:r w:rsidR="00B22634" w:rsidRPr="005B5418">
              <w:rPr>
                <w:b/>
              </w:rPr>
              <w:t xml:space="preserve"> </w:t>
            </w:r>
            <w:r w:rsidR="00B22634" w:rsidRPr="005B5418">
              <w:t>Reports</w:t>
            </w:r>
            <w:r w:rsidRPr="005B5418">
              <w:fldChar w:fldCharType="end"/>
            </w:r>
          </w:p>
        </w:tc>
      </w:tr>
      <w:tr w:rsidR="00B3227F" w:rsidRPr="005B5418" w14:paraId="73E60B79" w14:textId="77777777" w:rsidTr="00B3227F">
        <w:tc>
          <w:tcPr>
            <w:tcW w:w="7560" w:type="dxa"/>
            <w:vAlign w:val="center"/>
          </w:tcPr>
          <w:p w14:paraId="06653670" w14:textId="036A5019" w:rsidR="00B3227F" w:rsidRPr="005B5418" w:rsidRDefault="00B3227F" w:rsidP="000D3200">
            <w:pPr>
              <w:pStyle w:val="Table-Cell-Indent"/>
              <w:ind w:left="1034" w:hanging="674"/>
            </w:pPr>
            <w:r w:rsidRPr="005B5418">
              <w:fldChar w:fldCharType="begin"/>
            </w:r>
            <w:r w:rsidRPr="005B5418">
              <w:instrText xml:space="preserve"> REF _Ref8657662 \h  \* MERGEFORMAT </w:instrText>
            </w:r>
            <w:r w:rsidRPr="005B5418">
              <w:fldChar w:fldCharType="separate"/>
            </w:r>
            <w:r w:rsidR="00B22634" w:rsidRPr="005B5418">
              <w:t>II.4.</w:t>
            </w:r>
            <w:r w:rsidR="00792043" w:rsidRPr="005B5418">
              <w:t xml:space="preserve">7 </w:t>
            </w:r>
            <w:r w:rsidR="000D3200" w:rsidRPr="005B5418">
              <w:t xml:space="preserve">  </w:t>
            </w:r>
            <w:r w:rsidR="00B22634" w:rsidRPr="005B5418">
              <w:t>Civil Monetary Penalties Adjustment for Inflation</w:t>
            </w:r>
            <w:r w:rsidRPr="005B5418">
              <w:fldChar w:fldCharType="end"/>
            </w:r>
          </w:p>
        </w:tc>
      </w:tr>
      <w:tr w:rsidR="00B3227F" w:rsidRPr="005B5418" w14:paraId="203D076F" w14:textId="77777777" w:rsidTr="00B3227F">
        <w:tc>
          <w:tcPr>
            <w:tcW w:w="7560" w:type="dxa"/>
            <w:vAlign w:val="center"/>
          </w:tcPr>
          <w:p w14:paraId="5B532847" w14:textId="5B27A83B" w:rsidR="00B3227F" w:rsidRPr="005B5418" w:rsidRDefault="00B3227F" w:rsidP="003B61E9">
            <w:pPr>
              <w:pStyle w:val="Table-Cell-Indent"/>
            </w:pPr>
            <w:r w:rsidRPr="005B5418">
              <w:fldChar w:fldCharType="begin"/>
            </w:r>
            <w:r w:rsidRPr="005B5418">
              <w:instrText xml:space="preserve"> REF _Ref495490131 \h  \* MERGEFORMAT </w:instrText>
            </w:r>
            <w:r w:rsidRPr="005B5418">
              <w:fldChar w:fldCharType="separate"/>
            </w:r>
            <w:r w:rsidR="00B22634" w:rsidRPr="005B5418">
              <w:t>II.4.</w:t>
            </w:r>
            <w:r w:rsidR="00792043" w:rsidRPr="005B5418">
              <w:t>8</w:t>
            </w:r>
            <w:r w:rsidR="00A57D0B" w:rsidRPr="005B5418">
              <w:t xml:space="preserve"> </w:t>
            </w:r>
            <w:r w:rsidR="000D3200" w:rsidRPr="005B5418">
              <w:t xml:space="preserve">  </w:t>
            </w:r>
            <w:r w:rsidR="00B22634" w:rsidRPr="005B5418">
              <w:t>Biennial Review of User Fees</w:t>
            </w:r>
            <w:r w:rsidRPr="005B5418">
              <w:fldChar w:fldCharType="end"/>
            </w:r>
          </w:p>
        </w:tc>
      </w:tr>
      <w:tr w:rsidR="003D1B56" w:rsidRPr="005B5418" w14:paraId="3661D6C7" w14:textId="77777777" w:rsidTr="00B3227F">
        <w:tc>
          <w:tcPr>
            <w:tcW w:w="7560" w:type="dxa"/>
            <w:vAlign w:val="center"/>
          </w:tcPr>
          <w:p w14:paraId="1928340F" w14:textId="5C7D1E59" w:rsidR="003D1B56" w:rsidRPr="005B5418" w:rsidRDefault="00A96D5A" w:rsidP="003B61E9">
            <w:pPr>
              <w:pStyle w:val="Table-Cell-Indent"/>
            </w:pPr>
            <w:r w:rsidRPr="005B5418">
              <w:fldChar w:fldCharType="begin"/>
            </w:r>
            <w:r w:rsidRPr="005B5418">
              <w:instrText xml:space="preserve"> REF _Ref106956354 \h  \* MERGEFORMAT </w:instrText>
            </w:r>
            <w:r w:rsidRPr="005B5418">
              <w:fldChar w:fldCharType="separate"/>
            </w:r>
            <w:r w:rsidRPr="005B5418">
              <w:t>II.4.9   Grants Programs</w:t>
            </w:r>
            <w:r w:rsidRPr="005B5418">
              <w:fldChar w:fldCharType="end"/>
            </w:r>
          </w:p>
        </w:tc>
      </w:tr>
      <w:tr w:rsidR="000D3200" w:rsidRPr="005B5418" w14:paraId="74785348" w14:textId="77777777" w:rsidTr="00B3227F">
        <w:tc>
          <w:tcPr>
            <w:tcW w:w="7560" w:type="dxa"/>
            <w:vAlign w:val="center"/>
          </w:tcPr>
          <w:p w14:paraId="4E141BB8" w14:textId="2AA01A34" w:rsidR="000D3200" w:rsidRPr="005B5418" w:rsidRDefault="00A52884" w:rsidP="00792043">
            <w:pPr>
              <w:pStyle w:val="Table-Cell-Indent"/>
            </w:pPr>
            <w:r w:rsidRPr="005B5418">
              <w:fldChar w:fldCharType="begin"/>
            </w:r>
            <w:r w:rsidRPr="005B5418">
              <w:instrText xml:space="preserve"> REF _Ref106957203 \h  \* MERGEFORMAT </w:instrText>
            </w:r>
            <w:r w:rsidRPr="005B5418">
              <w:fldChar w:fldCharType="separate"/>
            </w:r>
            <w:r w:rsidRPr="005B5418">
              <w:t>II.4.</w:t>
            </w:r>
            <w:r w:rsidR="003860CA" w:rsidRPr="005B5418">
              <w:t xml:space="preserve">10 </w:t>
            </w:r>
            <w:r w:rsidRPr="005B5418">
              <w:t>Agency Audit Resolution Reports</w:t>
            </w:r>
            <w:r w:rsidRPr="005B5418">
              <w:fldChar w:fldCharType="end"/>
            </w:r>
            <w:r w:rsidR="00813073" w:rsidRPr="005B5418">
              <w:t xml:space="preserve"> </w:t>
            </w:r>
          </w:p>
        </w:tc>
      </w:tr>
      <w:tr w:rsidR="00813073" w:rsidRPr="005B5418" w14:paraId="108BE31E" w14:textId="77777777" w:rsidTr="00B3227F">
        <w:tc>
          <w:tcPr>
            <w:tcW w:w="7560" w:type="dxa"/>
            <w:vAlign w:val="center"/>
          </w:tcPr>
          <w:p w14:paraId="68012F99" w14:textId="5B1A06FE" w:rsidR="00813073" w:rsidRPr="005B5418" w:rsidRDefault="00813073" w:rsidP="00792043">
            <w:pPr>
              <w:pStyle w:val="Table-Cell-Indent"/>
            </w:pPr>
            <w:hyperlink w:anchor="_II.4.12_Financial_Reporting-Related" w:history="1">
              <w:r w:rsidRPr="005B5418">
                <w:t>II.4.</w:t>
              </w:r>
              <w:r w:rsidR="003860CA" w:rsidRPr="005B5418">
                <w:t xml:space="preserve">11 </w:t>
              </w:r>
              <w:r w:rsidRPr="005B5418">
                <w:t>Financial Reporting-Related Legislation</w:t>
              </w:r>
            </w:hyperlink>
          </w:p>
        </w:tc>
      </w:tr>
      <w:tr w:rsidR="00813073" w:rsidRPr="005B5418" w14:paraId="421D385E" w14:textId="77777777" w:rsidTr="00B3227F">
        <w:tc>
          <w:tcPr>
            <w:tcW w:w="7560" w:type="dxa"/>
            <w:vAlign w:val="center"/>
          </w:tcPr>
          <w:p w14:paraId="7B4C887E" w14:textId="46DA97A9" w:rsidR="00813073" w:rsidRPr="005B5418" w:rsidRDefault="00813073" w:rsidP="00792043">
            <w:pPr>
              <w:pStyle w:val="Table-Cell-Indent"/>
              <w:rPr>
                <w:bCs/>
              </w:rPr>
            </w:pPr>
            <w:hyperlink w:anchor="_II.4.13_Optional_Federal" w:history="1">
              <w:r w:rsidRPr="005B5418">
                <w:t>II.4.</w:t>
              </w:r>
              <w:r w:rsidR="003860CA" w:rsidRPr="005B5418">
                <w:t xml:space="preserve">12 </w:t>
              </w:r>
              <w:r w:rsidRPr="005B5418">
                <w:t>Federal Entity Trading Partner Information</w:t>
              </w:r>
            </w:hyperlink>
          </w:p>
        </w:tc>
      </w:tr>
    </w:tbl>
    <w:p w14:paraId="2F726CA2" w14:textId="77777777" w:rsidR="00371E29" w:rsidRPr="005B5418" w:rsidRDefault="00371E29" w:rsidP="003B61E9">
      <w:pPr>
        <w:spacing w:line="240" w:lineRule="auto"/>
        <w:rPr>
          <w:rFonts w:cs="Arial"/>
        </w:rPr>
      </w:pPr>
    </w:p>
    <w:p w14:paraId="53BE46D0" w14:textId="77777777" w:rsidR="00371E29" w:rsidRPr="005B5418" w:rsidRDefault="00371E29"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371E29" w:rsidRPr="005B5418" w14:paraId="0D338A75" w14:textId="77777777" w:rsidTr="00962434">
        <w:tc>
          <w:tcPr>
            <w:tcW w:w="5400" w:type="dxa"/>
          </w:tcPr>
          <w:p w14:paraId="45AF69BC" w14:textId="52151DA9" w:rsidR="00371E29" w:rsidRPr="005B5418" w:rsidRDefault="00371E29" w:rsidP="00C05D38">
            <w:pPr>
              <w:pStyle w:val="Heading4"/>
              <w:spacing w:before="60" w:after="60" w:line="240" w:lineRule="auto"/>
              <w:jc w:val="left"/>
              <w:rPr>
                <w:b/>
                <w:u w:val="none"/>
              </w:rPr>
            </w:pPr>
            <w:bookmarkStart w:id="276" w:name="_II.4.1_Revenue_Foregone"/>
            <w:bookmarkStart w:id="277" w:name="_Ref495498416"/>
            <w:bookmarkEnd w:id="276"/>
            <w:r w:rsidRPr="005B5418">
              <w:rPr>
                <w:b/>
                <w:u w:val="none"/>
              </w:rPr>
              <w:lastRenderedPageBreak/>
              <w:t xml:space="preserve">II.4.1 </w:t>
            </w:r>
            <w:r w:rsidR="00C05D38" w:rsidRPr="005B5418">
              <w:rPr>
                <w:b/>
                <w:u w:val="none"/>
              </w:rPr>
              <w:t>Summary of Financial Statement Audit and Management Assurances</w:t>
            </w:r>
            <w:bookmarkEnd w:id="277"/>
          </w:p>
        </w:tc>
        <w:tc>
          <w:tcPr>
            <w:tcW w:w="965" w:type="dxa"/>
          </w:tcPr>
          <w:p w14:paraId="757838C5" w14:textId="77777777" w:rsidR="00371E29" w:rsidRPr="005B5418" w:rsidRDefault="00371E29" w:rsidP="007E68E2">
            <w:pPr>
              <w:pStyle w:val="TableCellCenter"/>
              <w:jc w:val="left"/>
            </w:pPr>
            <w:r w:rsidRPr="005B5418">
              <w:t>Yes, No, or N/A</w:t>
            </w:r>
          </w:p>
        </w:tc>
        <w:tc>
          <w:tcPr>
            <w:tcW w:w="3211" w:type="dxa"/>
          </w:tcPr>
          <w:p w14:paraId="2026D7DA" w14:textId="77ECA50E" w:rsidR="00371E29" w:rsidRPr="005B5418" w:rsidRDefault="00371E29" w:rsidP="004874CD">
            <w:pPr>
              <w:pStyle w:val="TableCellCenter"/>
              <w:jc w:val="left"/>
            </w:pPr>
            <w:r w:rsidRPr="005B5418">
              <w:t xml:space="preserve">Explanation </w:t>
            </w:r>
            <w:r w:rsidR="004874CD" w:rsidRPr="005B5418">
              <w:t xml:space="preserve">and </w:t>
            </w:r>
            <w:r w:rsidRPr="005B5418">
              <w:t>Reference</w:t>
            </w:r>
          </w:p>
        </w:tc>
      </w:tr>
      <w:tr w:rsidR="00C05D38" w:rsidRPr="005B5418" w14:paraId="6C08C649" w14:textId="77777777" w:rsidTr="0061279F">
        <w:trPr>
          <w:trHeight w:val="1547"/>
        </w:trPr>
        <w:tc>
          <w:tcPr>
            <w:tcW w:w="5400" w:type="dxa"/>
          </w:tcPr>
          <w:p w14:paraId="2B4F14E5" w14:textId="1D9B23A0" w:rsidR="00C05D38" w:rsidRPr="005B5418" w:rsidRDefault="00C05D38" w:rsidP="00E1723C">
            <w:pPr>
              <w:pStyle w:val="FAM-Table-outline"/>
              <w:widowControl/>
              <w:numPr>
                <w:ilvl w:val="0"/>
                <w:numId w:val="38"/>
              </w:numPr>
              <w:tabs>
                <w:tab w:val="num" w:pos="792"/>
              </w:tabs>
              <w:adjustRightInd/>
              <w:spacing w:line="240" w:lineRule="auto"/>
              <w:textAlignment w:val="auto"/>
            </w:pPr>
            <w:r w:rsidRPr="005B5418">
              <w:t>Does the entity present tables that summarize the financial statement audit (table 1) and management assurances (table 2) containing each material weakness listed using a unique and short name?</w:t>
            </w:r>
            <w:r w:rsidRPr="005B5418">
              <w:rPr>
                <w:rStyle w:val="FootnoteReference"/>
              </w:rPr>
              <w:footnoteReference w:id="282"/>
            </w:r>
            <w:r w:rsidRPr="005B5418">
              <w:t xml:space="preserve"> (A-136, section II.4.1) </w:t>
            </w:r>
          </w:p>
        </w:tc>
        <w:tc>
          <w:tcPr>
            <w:tcW w:w="965" w:type="dxa"/>
          </w:tcPr>
          <w:p w14:paraId="13E15D20" w14:textId="77777777" w:rsidR="00C05D38" w:rsidRPr="005B5418" w:rsidRDefault="00C05D38" w:rsidP="00C05D38">
            <w:pPr>
              <w:pStyle w:val="Table-Cell-CenterBoldBefore6ptAfter6pt"/>
              <w:rPr>
                <w:lang w:val="pt-BR"/>
              </w:rPr>
            </w:pPr>
          </w:p>
        </w:tc>
        <w:tc>
          <w:tcPr>
            <w:tcW w:w="3211" w:type="dxa"/>
          </w:tcPr>
          <w:p w14:paraId="47BE567D" w14:textId="77777777" w:rsidR="00C05D38" w:rsidRPr="005B5418" w:rsidRDefault="00C05D38" w:rsidP="00C05D38">
            <w:pPr>
              <w:spacing w:line="240" w:lineRule="auto"/>
              <w:rPr>
                <w:lang w:val="pt-BR"/>
              </w:rPr>
            </w:pPr>
          </w:p>
        </w:tc>
      </w:tr>
      <w:tr w:rsidR="00C05D38" w:rsidRPr="005B5418" w14:paraId="1383CD3A" w14:textId="77777777" w:rsidTr="0061279F">
        <w:trPr>
          <w:trHeight w:val="1259"/>
        </w:trPr>
        <w:tc>
          <w:tcPr>
            <w:tcW w:w="5400" w:type="dxa"/>
          </w:tcPr>
          <w:p w14:paraId="178E0650" w14:textId="31E35844" w:rsidR="00C05D38" w:rsidRPr="005B5418" w:rsidRDefault="00C05D38" w:rsidP="00C7296F">
            <w:pPr>
              <w:pStyle w:val="FAM-Table-outline"/>
              <w:widowControl/>
              <w:numPr>
                <w:ilvl w:val="0"/>
                <w:numId w:val="38"/>
              </w:numPr>
              <w:tabs>
                <w:tab w:val="num" w:pos="792"/>
              </w:tabs>
              <w:adjustRightInd/>
              <w:spacing w:line="240" w:lineRule="auto"/>
              <w:textAlignment w:val="auto"/>
            </w:pPr>
            <w:r w:rsidRPr="005B5418">
              <w:t>Does the entity present the information in the tables consistent with the management assurance statement and the independent auditor’s report? (A-136, section II.4.1)</w:t>
            </w:r>
          </w:p>
        </w:tc>
        <w:tc>
          <w:tcPr>
            <w:tcW w:w="965" w:type="dxa"/>
          </w:tcPr>
          <w:p w14:paraId="3E94F5D7" w14:textId="77777777" w:rsidR="00C05D38" w:rsidRPr="005B5418" w:rsidRDefault="00C05D38" w:rsidP="00C05D38">
            <w:pPr>
              <w:pStyle w:val="Table-Cell-CenterBoldBefore6ptAfter6pt"/>
              <w:rPr>
                <w:lang w:val="pt-BR"/>
              </w:rPr>
            </w:pPr>
          </w:p>
        </w:tc>
        <w:tc>
          <w:tcPr>
            <w:tcW w:w="3211" w:type="dxa"/>
          </w:tcPr>
          <w:p w14:paraId="73A81D95" w14:textId="77777777" w:rsidR="00C05D38" w:rsidRPr="005B5418" w:rsidRDefault="00C05D38" w:rsidP="00C05D38">
            <w:pPr>
              <w:spacing w:line="240" w:lineRule="auto"/>
              <w:rPr>
                <w:lang w:val="pt-BR"/>
              </w:rPr>
            </w:pPr>
          </w:p>
        </w:tc>
      </w:tr>
      <w:tr w:rsidR="00C05D38" w:rsidRPr="005B5418" w14:paraId="3E467017" w14:textId="77777777" w:rsidTr="007A7A92">
        <w:trPr>
          <w:trHeight w:val="1250"/>
        </w:trPr>
        <w:tc>
          <w:tcPr>
            <w:tcW w:w="5400" w:type="dxa"/>
          </w:tcPr>
          <w:p w14:paraId="7BDE17CF" w14:textId="6BE81348" w:rsidR="00C05D38" w:rsidRPr="005B5418" w:rsidRDefault="00C05D38" w:rsidP="00C7296F">
            <w:pPr>
              <w:pStyle w:val="FAM-Table-outline"/>
              <w:widowControl/>
              <w:numPr>
                <w:ilvl w:val="0"/>
                <w:numId w:val="38"/>
              </w:numPr>
              <w:tabs>
                <w:tab w:val="num" w:pos="792"/>
              </w:tabs>
              <w:adjustRightInd/>
              <w:spacing w:line="240" w:lineRule="auto"/>
              <w:textAlignment w:val="auto"/>
            </w:pPr>
            <w:r w:rsidRPr="005B5418">
              <w:t>When management does not agree with the auditor, does management explain why it does not agree and how the disagreement will be addressed? (A-136, section II.4.1)</w:t>
            </w:r>
          </w:p>
        </w:tc>
        <w:tc>
          <w:tcPr>
            <w:tcW w:w="965" w:type="dxa"/>
          </w:tcPr>
          <w:p w14:paraId="12445457" w14:textId="77777777" w:rsidR="00C05D38" w:rsidRPr="005B5418" w:rsidRDefault="00C05D38" w:rsidP="00C05D38">
            <w:pPr>
              <w:pStyle w:val="Table-Cell-CenterBoldBefore6ptAfter6pt"/>
              <w:rPr>
                <w:lang w:val="pt-BR"/>
              </w:rPr>
            </w:pPr>
          </w:p>
        </w:tc>
        <w:tc>
          <w:tcPr>
            <w:tcW w:w="3211" w:type="dxa"/>
          </w:tcPr>
          <w:p w14:paraId="6264560F" w14:textId="77777777" w:rsidR="00C05D38" w:rsidRPr="005B5418" w:rsidRDefault="00C05D38" w:rsidP="00C05D38">
            <w:pPr>
              <w:spacing w:line="240" w:lineRule="auto"/>
              <w:rPr>
                <w:lang w:val="pt-BR"/>
              </w:rPr>
            </w:pPr>
          </w:p>
        </w:tc>
      </w:tr>
    </w:tbl>
    <w:p w14:paraId="040172EF" w14:textId="6773EC03" w:rsidR="008624C2" w:rsidRPr="005B5418" w:rsidRDefault="008624C2"/>
    <w:p w14:paraId="653212E4" w14:textId="77777777" w:rsidR="008624C2" w:rsidRPr="005B5418" w:rsidRDefault="008624C2">
      <w:r w:rsidRPr="005B5418">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371E29" w:rsidRPr="005B5418" w14:paraId="1C287C50" w14:textId="77777777" w:rsidTr="00962434">
        <w:tc>
          <w:tcPr>
            <w:tcW w:w="5400" w:type="dxa"/>
          </w:tcPr>
          <w:p w14:paraId="1BC07449" w14:textId="6A20ECF5" w:rsidR="00371E29" w:rsidRPr="005B5418" w:rsidRDefault="00371E29" w:rsidP="00C05D38">
            <w:pPr>
              <w:pStyle w:val="Heading4"/>
              <w:spacing w:before="60" w:after="60" w:line="240" w:lineRule="auto"/>
              <w:jc w:val="left"/>
              <w:rPr>
                <w:b/>
                <w:u w:val="none"/>
              </w:rPr>
            </w:pPr>
            <w:bookmarkStart w:id="278" w:name="_II.4.2_Tax_Burden/Tax"/>
            <w:bookmarkStart w:id="279" w:name="_Ref8657581"/>
            <w:bookmarkEnd w:id="278"/>
            <w:r w:rsidRPr="005B5418">
              <w:rPr>
                <w:b/>
                <w:u w:val="none"/>
              </w:rPr>
              <w:lastRenderedPageBreak/>
              <w:t xml:space="preserve">II.4.2 </w:t>
            </w:r>
            <w:r w:rsidR="00C05D38" w:rsidRPr="005B5418">
              <w:rPr>
                <w:b/>
                <w:u w:val="none"/>
              </w:rPr>
              <w:t>Revenue Forgone</w:t>
            </w:r>
            <w:bookmarkEnd w:id="279"/>
          </w:p>
        </w:tc>
        <w:tc>
          <w:tcPr>
            <w:tcW w:w="965" w:type="dxa"/>
          </w:tcPr>
          <w:p w14:paraId="4139CCA4" w14:textId="77777777" w:rsidR="00371E29" w:rsidRPr="005B5418" w:rsidRDefault="00371E29" w:rsidP="007E68E2">
            <w:pPr>
              <w:pStyle w:val="TableCellCenter"/>
              <w:jc w:val="left"/>
            </w:pPr>
            <w:r w:rsidRPr="005B5418">
              <w:t>Yes, No, or N/A</w:t>
            </w:r>
          </w:p>
        </w:tc>
        <w:tc>
          <w:tcPr>
            <w:tcW w:w="3211" w:type="dxa"/>
          </w:tcPr>
          <w:p w14:paraId="616C8B4A" w14:textId="6B8F9941" w:rsidR="00371E29" w:rsidRPr="005B5418" w:rsidRDefault="00371E29" w:rsidP="00C77AC4">
            <w:pPr>
              <w:pStyle w:val="TableCellCenter"/>
              <w:jc w:val="left"/>
            </w:pPr>
            <w:r w:rsidRPr="005B5418">
              <w:t xml:space="preserve">Explanation </w:t>
            </w:r>
            <w:r w:rsidR="00C77AC4" w:rsidRPr="005B5418">
              <w:t xml:space="preserve">and </w:t>
            </w:r>
            <w:r w:rsidRPr="005B5418">
              <w:t>Reference</w:t>
            </w:r>
          </w:p>
        </w:tc>
      </w:tr>
      <w:tr w:rsidR="00C05D38" w:rsidRPr="005B5418" w14:paraId="070FF76A" w14:textId="77777777" w:rsidTr="00BA222D">
        <w:trPr>
          <w:trHeight w:val="2537"/>
        </w:trPr>
        <w:tc>
          <w:tcPr>
            <w:tcW w:w="5400" w:type="dxa"/>
          </w:tcPr>
          <w:p w14:paraId="766417B3" w14:textId="0415C7AD" w:rsidR="00C05D38" w:rsidRPr="005B5418" w:rsidRDefault="00C05D38" w:rsidP="00C7296F">
            <w:pPr>
              <w:pStyle w:val="FAM-Table-outline"/>
              <w:widowControl/>
              <w:numPr>
                <w:ilvl w:val="0"/>
                <w:numId w:val="39"/>
              </w:numPr>
              <w:adjustRightInd/>
              <w:spacing w:line="240" w:lineRule="auto"/>
              <w:textAlignment w:val="auto"/>
            </w:pPr>
            <w:r w:rsidRPr="005B5418">
              <w:t xml:space="preserve">If the entity discloses differences between the price it charges in exchange transactions and the full cost or market price, does the entity provide an estimated amount of revenue foregone and explain to what extent the quantity demanded was assumed to change as a result of a difference in price? </w:t>
            </w:r>
            <w:r w:rsidR="003C1F63" w:rsidRPr="005B5418">
              <w:t>(</w:t>
            </w:r>
            <w:r w:rsidRPr="005B5418">
              <w:t>A-136, section II.4.</w:t>
            </w:r>
            <w:r w:rsidR="00C7296F" w:rsidRPr="005B5418">
              <w:t>2</w:t>
            </w:r>
            <w:r w:rsidRPr="005B5418">
              <w:t>)</w:t>
            </w:r>
          </w:p>
        </w:tc>
        <w:tc>
          <w:tcPr>
            <w:tcW w:w="965" w:type="dxa"/>
          </w:tcPr>
          <w:p w14:paraId="78EE2AB4" w14:textId="77777777" w:rsidR="00C05D38" w:rsidRPr="005B5418" w:rsidRDefault="00C05D38" w:rsidP="003B61E9">
            <w:pPr>
              <w:pStyle w:val="Table-Cell-CenterBoldBefore6ptAfter6pt"/>
              <w:rPr>
                <w:lang w:val="pt-BR"/>
              </w:rPr>
            </w:pPr>
          </w:p>
        </w:tc>
        <w:tc>
          <w:tcPr>
            <w:tcW w:w="3211" w:type="dxa"/>
          </w:tcPr>
          <w:p w14:paraId="63E9452F" w14:textId="77777777" w:rsidR="00C05D38" w:rsidRPr="005B5418" w:rsidRDefault="00C05D38" w:rsidP="003B61E9">
            <w:pPr>
              <w:spacing w:line="240" w:lineRule="auto"/>
              <w:rPr>
                <w:lang w:val="pt-BR"/>
              </w:rPr>
            </w:pPr>
          </w:p>
        </w:tc>
      </w:tr>
    </w:tbl>
    <w:p w14:paraId="5C4C506B" w14:textId="23683211" w:rsidR="008624C2" w:rsidRPr="005B5418" w:rsidRDefault="008624C2"/>
    <w:p w14:paraId="6F5583F3" w14:textId="77777777" w:rsidR="008624C2" w:rsidRPr="005B5418" w:rsidRDefault="008624C2">
      <w:r w:rsidRPr="005B5418">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371E29" w:rsidRPr="005B5418" w14:paraId="1F1F5DB2" w14:textId="77777777" w:rsidTr="00962434">
        <w:tc>
          <w:tcPr>
            <w:tcW w:w="5400" w:type="dxa"/>
          </w:tcPr>
          <w:p w14:paraId="7D04EDCE" w14:textId="4AF8FAAC" w:rsidR="00371E29" w:rsidRPr="005B5418" w:rsidRDefault="00371E29" w:rsidP="00C7296F">
            <w:pPr>
              <w:pStyle w:val="Heading4"/>
              <w:spacing w:before="60" w:after="60" w:line="240" w:lineRule="auto"/>
              <w:jc w:val="left"/>
              <w:rPr>
                <w:b/>
                <w:u w:val="none"/>
              </w:rPr>
            </w:pPr>
            <w:bookmarkStart w:id="280" w:name="_II.4.3_Management_and"/>
            <w:bookmarkStart w:id="281" w:name="_Ref8657623"/>
            <w:bookmarkEnd w:id="280"/>
            <w:r w:rsidRPr="005B5418">
              <w:rPr>
                <w:b/>
                <w:u w:val="none"/>
              </w:rPr>
              <w:lastRenderedPageBreak/>
              <w:t xml:space="preserve">II.4.3 </w:t>
            </w:r>
            <w:r w:rsidR="00C05D38" w:rsidRPr="005B5418">
              <w:rPr>
                <w:b/>
                <w:u w:val="none"/>
              </w:rPr>
              <w:t>Tax Burden</w:t>
            </w:r>
            <w:r w:rsidR="00040C2C" w:rsidRPr="005B5418">
              <w:rPr>
                <w:b/>
                <w:u w:val="none"/>
              </w:rPr>
              <w:t xml:space="preserve">, </w:t>
            </w:r>
            <w:r w:rsidR="00C05D38" w:rsidRPr="005B5418">
              <w:rPr>
                <w:b/>
                <w:u w:val="none"/>
              </w:rPr>
              <w:t>Tax Gap</w:t>
            </w:r>
            <w:r w:rsidR="00040C2C" w:rsidRPr="005B5418">
              <w:rPr>
                <w:b/>
                <w:u w:val="none"/>
              </w:rPr>
              <w:t>,</w:t>
            </w:r>
            <w:r w:rsidR="00C05D38" w:rsidRPr="005B5418">
              <w:rPr>
                <w:b/>
                <w:u w:val="none"/>
              </w:rPr>
              <w:t xml:space="preserve"> and Tax Expenditures</w:t>
            </w:r>
            <w:bookmarkEnd w:id="281"/>
          </w:p>
        </w:tc>
        <w:tc>
          <w:tcPr>
            <w:tcW w:w="965" w:type="dxa"/>
          </w:tcPr>
          <w:p w14:paraId="412400E1" w14:textId="77777777" w:rsidR="00371E29" w:rsidRPr="005B5418" w:rsidRDefault="00371E29" w:rsidP="007E68E2">
            <w:pPr>
              <w:pStyle w:val="TableCellCenter"/>
              <w:jc w:val="left"/>
            </w:pPr>
            <w:r w:rsidRPr="005B5418">
              <w:t>Yes, No, or N/A</w:t>
            </w:r>
          </w:p>
        </w:tc>
        <w:tc>
          <w:tcPr>
            <w:tcW w:w="3211" w:type="dxa"/>
          </w:tcPr>
          <w:p w14:paraId="1D429A1F" w14:textId="56B27806" w:rsidR="00371E29" w:rsidRPr="005B5418" w:rsidRDefault="00371E29" w:rsidP="007E68E2">
            <w:pPr>
              <w:pStyle w:val="TableCellCenter"/>
              <w:jc w:val="left"/>
            </w:pPr>
            <w:r w:rsidRPr="005B5418">
              <w:t xml:space="preserve">Explanation </w:t>
            </w:r>
            <w:r w:rsidR="002C69C4" w:rsidRPr="005B5418">
              <w:t>and</w:t>
            </w:r>
            <w:r w:rsidRPr="005B5418">
              <w:t xml:space="preserve"> Reference</w:t>
            </w:r>
          </w:p>
        </w:tc>
      </w:tr>
      <w:tr w:rsidR="00C7296F" w:rsidRPr="005B5418" w14:paraId="5DE0C035" w14:textId="77777777" w:rsidTr="00962434">
        <w:trPr>
          <w:trHeight w:val="3347"/>
        </w:trPr>
        <w:tc>
          <w:tcPr>
            <w:tcW w:w="5400" w:type="dxa"/>
          </w:tcPr>
          <w:p w14:paraId="1D63C3FB" w14:textId="700043D9" w:rsidR="00C7296F" w:rsidRPr="005B5418" w:rsidRDefault="00C7296F" w:rsidP="0091674B">
            <w:pPr>
              <w:pStyle w:val="FAM-Table-outline"/>
              <w:widowControl/>
              <w:numPr>
                <w:ilvl w:val="0"/>
                <w:numId w:val="107"/>
              </w:numPr>
              <w:adjustRightInd/>
              <w:spacing w:line="240" w:lineRule="auto"/>
              <w:textAlignment w:val="auto"/>
            </w:pPr>
            <w:r w:rsidRPr="005B5418">
              <w:t xml:space="preserve">Does the </w:t>
            </w:r>
            <w:r w:rsidR="00674784" w:rsidRPr="005B5418">
              <w:t>tax-</w:t>
            </w:r>
            <w:r w:rsidRPr="005B5418">
              <w:t>collecting entity present</w:t>
            </w:r>
          </w:p>
          <w:p w14:paraId="17622F61" w14:textId="77777777" w:rsidR="00C7296F" w:rsidRPr="005B5418" w:rsidRDefault="00C7296F" w:rsidP="0091674B">
            <w:pPr>
              <w:pStyle w:val="FAM-Table-outline2"/>
              <w:spacing w:line="240" w:lineRule="auto"/>
              <w:ind w:left="1210" w:hanging="525"/>
            </w:pPr>
            <w:r w:rsidRPr="005B5418">
              <w:t xml:space="preserve">a perspective on the income tax burden, such as a summary of the latest available information on the income tax and on related income, deductions, exemptions, and credits, for individuals by income level and for corporations by value of assets; </w:t>
            </w:r>
          </w:p>
          <w:p w14:paraId="2CC062BF" w14:textId="172A8823" w:rsidR="00C7296F" w:rsidRPr="005B5418" w:rsidRDefault="00C7296F" w:rsidP="0091674B">
            <w:pPr>
              <w:pStyle w:val="FAM-Table-outline2"/>
              <w:spacing w:line="240" w:lineRule="auto"/>
              <w:ind w:left="1210" w:hanging="525"/>
            </w:pPr>
            <w:r w:rsidRPr="005B5418">
              <w:t>available information on the size of the tax gap, including any relevant estimates of the annual tax gap that become available as a result of federal surveys or studies; and</w:t>
            </w:r>
          </w:p>
          <w:p w14:paraId="4A2E7835" w14:textId="77C6F326" w:rsidR="00C7296F" w:rsidRPr="005B5418" w:rsidRDefault="00E1723C" w:rsidP="0091674B">
            <w:pPr>
              <w:pStyle w:val="FAM-Table-outline2"/>
              <w:spacing w:line="240" w:lineRule="auto"/>
              <w:ind w:left="1210" w:hanging="525"/>
            </w:pPr>
            <w:r w:rsidRPr="005B5418">
              <w:t>information on tax expenditures relevant to the performance of the entity’s programs</w:t>
            </w:r>
            <w:r w:rsidR="008E2700" w:rsidRPr="005B5418">
              <w:t>, but should be qualified and explained appropriately to help the reader assess the possible impact of specific tax expenditures on the success of the related programs</w:t>
            </w:r>
            <w:r w:rsidRPr="005B5418">
              <w:t>? (SFFAS 7, paras. 69.1–69.3)</w:t>
            </w:r>
          </w:p>
        </w:tc>
        <w:tc>
          <w:tcPr>
            <w:tcW w:w="965" w:type="dxa"/>
          </w:tcPr>
          <w:p w14:paraId="73C65886" w14:textId="77777777" w:rsidR="00C7296F" w:rsidRPr="005B5418" w:rsidRDefault="00C7296F" w:rsidP="00C7296F">
            <w:pPr>
              <w:pStyle w:val="Table-Cell-CenterBoldBefore6ptAfter6pt"/>
            </w:pPr>
          </w:p>
        </w:tc>
        <w:tc>
          <w:tcPr>
            <w:tcW w:w="3211" w:type="dxa"/>
          </w:tcPr>
          <w:p w14:paraId="1B3F13A1" w14:textId="77777777" w:rsidR="00C7296F" w:rsidRPr="005B5418" w:rsidRDefault="00C7296F" w:rsidP="00C7296F">
            <w:pPr>
              <w:spacing w:line="240" w:lineRule="auto"/>
            </w:pPr>
          </w:p>
        </w:tc>
      </w:tr>
    </w:tbl>
    <w:p w14:paraId="71759EDC" w14:textId="7953E5AE" w:rsidR="008624C2" w:rsidRPr="005B5418" w:rsidRDefault="008624C2"/>
    <w:p w14:paraId="229F4CBB" w14:textId="77777777" w:rsidR="008624C2" w:rsidRPr="005B5418" w:rsidRDefault="008624C2">
      <w:r w:rsidRPr="005B5418">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371E29" w:rsidRPr="005B5418" w14:paraId="13F9F052" w14:textId="77777777" w:rsidTr="00962434">
        <w:tc>
          <w:tcPr>
            <w:tcW w:w="5400" w:type="dxa"/>
          </w:tcPr>
          <w:p w14:paraId="618F879A" w14:textId="318CEF4E" w:rsidR="00371E29" w:rsidRPr="005B5418" w:rsidRDefault="00371E29" w:rsidP="00C7296F">
            <w:pPr>
              <w:pStyle w:val="Heading4"/>
              <w:spacing w:before="60" w:after="60" w:line="240" w:lineRule="auto"/>
              <w:jc w:val="left"/>
              <w:rPr>
                <w:b/>
                <w:u w:val="none"/>
              </w:rPr>
            </w:pPr>
            <w:bookmarkStart w:id="282" w:name="_II.4.4_Summary_of"/>
            <w:bookmarkStart w:id="283" w:name="_Ref8657628"/>
            <w:bookmarkEnd w:id="282"/>
            <w:r w:rsidRPr="005B5418">
              <w:rPr>
                <w:b/>
                <w:u w:val="none"/>
              </w:rPr>
              <w:lastRenderedPageBreak/>
              <w:t xml:space="preserve">II.4.4 </w:t>
            </w:r>
            <w:r w:rsidR="00C7296F" w:rsidRPr="005B5418">
              <w:rPr>
                <w:b/>
                <w:u w:val="none"/>
              </w:rPr>
              <w:t>Management and Performance Challenges</w:t>
            </w:r>
            <w:bookmarkEnd w:id="283"/>
          </w:p>
        </w:tc>
        <w:tc>
          <w:tcPr>
            <w:tcW w:w="965" w:type="dxa"/>
          </w:tcPr>
          <w:p w14:paraId="5A5217E1" w14:textId="77777777" w:rsidR="00371E29" w:rsidRPr="005B5418" w:rsidRDefault="00371E29" w:rsidP="007E68E2">
            <w:pPr>
              <w:pStyle w:val="TableCellCenter"/>
              <w:jc w:val="left"/>
            </w:pPr>
            <w:r w:rsidRPr="005B5418">
              <w:t>Yes, No, or N/A</w:t>
            </w:r>
          </w:p>
        </w:tc>
        <w:tc>
          <w:tcPr>
            <w:tcW w:w="3211" w:type="dxa"/>
          </w:tcPr>
          <w:p w14:paraId="1A6AF306" w14:textId="63AE9DD2" w:rsidR="00371E29" w:rsidRPr="005B5418" w:rsidRDefault="00371E29" w:rsidP="007E68E2">
            <w:pPr>
              <w:pStyle w:val="TableCellCenter"/>
              <w:jc w:val="left"/>
            </w:pPr>
            <w:r w:rsidRPr="005B5418">
              <w:t xml:space="preserve">Explanation </w:t>
            </w:r>
            <w:r w:rsidR="0094188B" w:rsidRPr="005B5418">
              <w:t>and</w:t>
            </w:r>
            <w:r w:rsidRPr="005B5418">
              <w:t xml:space="preserve"> Reference</w:t>
            </w:r>
          </w:p>
        </w:tc>
      </w:tr>
      <w:tr w:rsidR="00C7296F" w:rsidRPr="005B5418" w14:paraId="5C114332" w14:textId="77777777" w:rsidTr="00962434">
        <w:trPr>
          <w:trHeight w:val="1250"/>
        </w:trPr>
        <w:tc>
          <w:tcPr>
            <w:tcW w:w="5400" w:type="dxa"/>
          </w:tcPr>
          <w:p w14:paraId="739F0826" w14:textId="7BF16A77" w:rsidR="00C7296F" w:rsidRPr="005B5418" w:rsidRDefault="00C7296F" w:rsidP="0091674B">
            <w:pPr>
              <w:pStyle w:val="FAM-Table-outline"/>
              <w:widowControl/>
              <w:numPr>
                <w:ilvl w:val="0"/>
                <w:numId w:val="106"/>
              </w:numPr>
              <w:adjustRightInd/>
              <w:spacing w:line="240" w:lineRule="auto"/>
              <w:textAlignment w:val="auto"/>
            </w:pPr>
            <w:r w:rsidRPr="005B5418">
              <w:t>Does the entity’s PAR or AFR include</w:t>
            </w:r>
            <w:r w:rsidR="004B6C54" w:rsidRPr="005B5418">
              <w:t xml:space="preserve"> </w:t>
            </w:r>
            <w:r w:rsidR="004B6C54" w:rsidRPr="005B5418">
              <w:rPr>
                <w:color w:val="auto"/>
              </w:rPr>
              <w:t>a statement</w:t>
            </w:r>
            <w:r w:rsidR="004B6C54" w:rsidRPr="005B5418">
              <w:rPr>
                <w:rStyle w:val="FootnoteReference"/>
              </w:rPr>
              <w:footnoteReference w:id="283"/>
            </w:r>
            <w:r w:rsidR="004B6C54" w:rsidRPr="005B5418">
              <w:rPr>
                <w:color w:val="auto"/>
              </w:rPr>
              <w:t xml:space="preserve"> prepared by the entity’s Inspector General (IG) summarizing what the IG considers to be the most serious management and performance challenges facing the entity and assessing the entity’s progress in addressing those challenges</w:t>
            </w:r>
            <w:r w:rsidR="0053370C">
              <w:rPr>
                <w:color w:val="auto"/>
              </w:rPr>
              <w:t>?</w:t>
            </w:r>
            <w:r w:rsidR="004B6C54" w:rsidRPr="005B5418">
              <w:rPr>
                <w:rStyle w:val="FootnoteReference"/>
                <w:color w:val="auto"/>
              </w:rPr>
              <w:footnoteReference w:id="284"/>
            </w:r>
          </w:p>
          <w:p w14:paraId="370882DB" w14:textId="39887DD0" w:rsidR="00C7296F" w:rsidRPr="005425ED" w:rsidRDefault="00C7296F" w:rsidP="005425ED">
            <w:pPr>
              <w:pStyle w:val="FAM-Table-outline2"/>
              <w:numPr>
                <w:ilvl w:val="0"/>
                <w:numId w:val="0"/>
              </w:numPr>
              <w:spacing w:line="240" w:lineRule="auto"/>
              <w:ind w:left="1620"/>
              <w:rPr>
                <w:color w:val="auto"/>
              </w:rPr>
            </w:pPr>
          </w:p>
          <w:p w14:paraId="66C59D13" w14:textId="32DB9EAA" w:rsidR="00C7296F" w:rsidRPr="005B5418" w:rsidDel="00C05D38" w:rsidRDefault="00C7296F" w:rsidP="005425ED">
            <w:pPr>
              <w:pStyle w:val="FAM-Table-outline2"/>
              <w:numPr>
                <w:ilvl w:val="0"/>
                <w:numId w:val="0"/>
              </w:numPr>
              <w:spacing w:line="240" w:lineRule="auto"/>
              <w:ind w:left="1045"/>
            </w:pPr>
            <w:r w:rsidRPr="005425ED">
              <w:rPr>
                <w:color w:val="auto"/>
              </w:rPr>
              <w:t xml:space="preserve"> (A-136, section II.4.</w:t>
            </w:r>
            <w:r w:rsidR="00E1723C" w:rsidRPr="005425ED">
              <w:rPr>
                <w:color w:val="auto"/>
              </w:rPr>
              <w:t>4</w:t>
            </w:r>
            <w:r w:rsidRPr="005425ED">
              <w:rPr>
                <w:color w:val="auto"/>
              </w:rPr>
              <w:t>)</w:t>
            </w:r>
          </w:p>
        </w:tc>
        <w:tc>
          <w:tcPr>
            <w:tcW w:w="965" w:type="dxa"/>
          </w:tcPr>
          <w:p w14:paraId="4627BD04" w14:textId="77777777" w:rsidR="00C7296F" w:rsidRPr="005B5418" w:rsidRDefault="00C7296F" w:rsidP="003B61E9">
            <w:pPr>
              <w:pStyle w:val="Table-Cell-CenterBoldBefore6ptAfter6pt"/>
            </w:pPr>
          </w:p>
        </w:tc>
        <w:tc>
          <w:tcPr>
            <w:tcW w:w="3211" w:type="dxa"/>
          </w:tcPr>
          <w:p w14:paraId="7D8B177E" w14:textId="77777777" w:rsidR="00C7296F" w:rsidRPr="005B5418" w:rsidRDefault="00C7296F" w:rsidP="003B61E9">
            <w:pPr>
              <w:spacing w:line="240" w:lineRule="auto"/>
            </w:pPr>
          </w:p>
        </w:tc>
      </w:tr>
    </w:tbl>
    <w:p w14:paraId="3A603F51" w14:textId="655E484C" w:rsidR="008624C2" w:rsidRPr="005B5418" w:rsidRDefault="008624C2" w:rsidP="003B61E9">
      <w:pPr>
        <w:spacing w:line="240" w:lineRule="auto"/>
        <w:rPr>
          <w:rFonts w:cs="Arial"/>
        </w:rPr>
      </w:pPr>
    </w:p>
    <w:p w14:paraId="6D0867FE" w14:textId="77777777" w:rsidR="008624C2" w:rsidRPr="005B5418" w:rsidRDefault="008624C2">
      <w:pPr>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371E29" w:rsidRPr="005B5418" w14:paraId="594D51F1" w14:textId="77777777" w:rsidTr="0003094F">
        <w:trPr>
          <w:tblHeader/>
        </w:trPr>
        <w:tc>
          <w:tcPr>
            <w:tcW w:w="5400" w:type="dxa"/>
          </w:tcPr>
          <w:p w14:paraId="1969D062" w14:textId="77777777" w:rsidR="00371E29" w:rsidRPr="005B5418" w:rsidRDefault="00371E29" w:rsidP="008848DA">
            <w:pPr>
              <w:pStyle w:val="Heading4"/>
              <w:spacing w:before="60" w:after="60" w:line="240" w:lineRule="auto"/>
              <w:jc w:val="left"/>
              <w:rPr>
                <w:b/>
                <w:u w:val="none"/>
              </w:rPr>
            </w:pPr>
            <w:bookmarkStart w:id="284" w:name="_II.4.5_Payment_Integrity"/>
            <w:bookmarkStart w:id="285" w:name="_Ref8657637"/>
            <w:bookmarkEnd w:id="284"/>
            <w:r w:rsidRPr="005B5418">
              <w:rPr>
                <w:b/>
                <w:u w:val="none"/>
              </w:rPr>
              <w:lastRenderedPageBreak/>
              <w:t>II.4.5 Payment Integrity</w:t>
            </w:r>
            <w:bookmarkEnd w:id="285"/>
            <w:r w:rsidRPr="005B5418">
              <w:rPr>
                <w:b/>
                <w:u w:val="none"/>
              </w:rPr>
              <w:t xml:space="preserve"> </w:t>
            </w:r>
            <w:r w:rsidR="00F453B5" w:rsidRPr="005B5418">
              <w:rPr>
                <w:b/>
                <w:u w:val="none"/>
              </w:rPr>
              <w:t>Information Act Reporting</w:t>
            </w:r>
          </w:p>
        </w:tc>
        <w:tc>
          <w:tcPr>
            <w:tcW w:w="965" w:type="dxa"/>
          </w:tcPr>
          <w:p w14:paraId="0B6BFDCC" w14:textId="77777777" w:rsidR="00371E29" w:rsidRPr="005B5418" w:rsidRDefault="00371E29" w:rsidP="008848DA">
            <w:pPr>
              <w:pStyle w:val="TableCellCenter"/>
              <w:spacing w:before="60" w:after="60"/>
              <w:jc w:val="left"/>
            </w:pPr>
            <w:r w:rsidRPr="005B5418">
              <w:t>Yes, No, or N/A</w:t>
            </w:r>
          </w:p>
        </w:tc>
        <w:tc>
          <w:tcPr>
            <w:tcW w:w="3211" w:type="dxa"/>
          </w:tcPr>
          <w:p w14:paraId="48F42572" w14:textId="7A1AC68D" w:rsidR="00371E29" w:rsidRPr="005B5418" w:rsidRDefault="00371E29" w:rsidP="008848DA">
            <w:pPr>
              <w:pStyle w:val="TableCellCenter"/>
              <w:spacing w:before="60" w:after="60"/>
              <w:jc w:val="left"/>
            </w:pPr>
            <w:r w:rsidRPr="005B5418">
              <w:t xml:space="preserve">Explanation </w:t>
            </w:r>
            <w:r w:rsidR="00DB003D" w:rsidRPr="005B5418">
              <w:t>and</w:t>
            </w:r>
            <w:r w:rsidRPr="005B5418">
              <w:t xml:space="preserve"> Reference</w:t>
            </w:r>
          </w:p>
        </w:tc>
      </w:tr>
      <w:tr w:rsidR="00371E29" w:rsidRPr="005B5418" w14:paraId="78D95B48" w14:textId="77777777" w:rsidTr="00A80DFB">
        <w:trPr>
          <w:trHeight w:val="8531"/>
        </w:trPr>
        <w:tc>
          <w:tcPr>
            <w:tcW w:w="9576" w:type="dxa"/>
            <w:gridSpan w:val="3"/>
          </w:tcPr>
          <w:p w14:paraId="36DBE643" w14:textId="1BA7FD91" w:rsidR="00AA4B29" w:rsidRPr="005B5418" w:rsidRDefault="00AA4B29" w:rsidP="00FE612E">
            <w:pPr>
              <w:pStyle w:val="note-body-2em"/>
              <w:spacing w:beforeLines="60" w:before="144" w:beforeAutospacing="0" w:afterLines="60" w:after="144" w:afterAutospacing="0"/>
              <w:rPr>
                <w:rFonts w:ascii="Arial" w:hAnsi="Arial" w:cs="Arial"/>
                <w:color w:val="000000"/>
                <w:sz w:val="22"/>
                <w:szCs w:val="22"/>
              </w:rPr>
            </w:pPr>
            <w:r w:rsidRPr="005B5418">
              <w:rPr>
                <w:rFonts w:ascii="Arial" w:hAnsi="Arial" w:cs="Arial"/>
                <w:spacing w:val="-1"/>
                <w:sz w:val="22"/>
                <w:szCs w:val="22"/>
              </w:rPr>
              <w:t xml:space="preserve">Each </w:t>
            </w:r>
            <w:r w:rsidR="00C94B31" w:rsidRPr="005B5418">
              <w:rPr>
                <w:rFonts w:ascii="Arial" w:hAnsi="Arial" w:cs="Arial"/>
                <w:spacing w:val="-1"/>
                <w:sz w:val="22"/>
                <w:szCs w:val="22"/>
              </w:rPr>
              <w:t xml:space="preserve">executive branch </w:t>
            </w:r>
            <w:r w:rsidRPr="005B5418">
              <w:rPr>
                <w:rFonts w:ascii="Arial" w:hAnsi="Arial" w:cs="Arial"/>
                <w:spacing w:val="-1"/>
                <w:sz w:val="22"/>
                <w:szCs w:val="22"/>
              </w:rPr>
              <w:t xml:space="preserve">agency must complete the Annual Data Call issued by OMB and provide a link to </w:t>
            </w:r>
            <w:hyperlink r:id="rId15" w:history="1">
              <w:r w:rsidR="009654F9" w:rsidRPr="005B5418">
                <w:rPr>
                  <w:rStyle w:val="Hyperlink"/>
                  <w:rFonts w:ascii="Arial" w:hAnsi="Arial" w:cs="Arial"/>
                  <w:sz w:val="22"/>
                  <w:szCs w:val="22"/>
                </w:rPr>
                <w:t>PaymentAccuracy.gov</w:t>
              </w:r>
            </w:hyperlink>
            <w:r w:rsidRPr="005B5418">
              <w:rPr>
                <w:rFonts w:ascii="Arial" w:hAnsi="Arial" w:cs="Arial"/>
                <w:spacing w:val="-1"/>
                <w:sz w:val="22"/>
                <w:szCs w:val="22"/>
              </w:rPr>
              <w:t xml:space="preserve"> in their AFR or PAR. The Data Call helps to fulfill reporting requirements under the </w:t>
            </w:r>
            <w:r w:rsidRPr="005B5418">
              <w:rPr>
                <w:rFonts w:ascii="Arial" w:hAnsi="Arial" w:cs="Arial"/>
                <w:sz w:val="22"/>
                <w:szCs w:val="22"/>
              </w:rPr>
              <w:t>Payment Integrity Information Act of 2019 (Pub. L. No. 116-117</w:t>
            </w:r>
            <w:r w:rsidR="002E5569" w:rsidRPr="005B5418">
              <w:rPr>
                <w:rFonts w:ascii="Arial" w:hAnsi="Arial" w:cs="Arial"/>
                <w:sz w:val="22"/>
                <w:szCs w:val="22"/>
              </w:rPr>
              <w:t xml:space="preserve">, 134 Stat. 113 (Mar. 2, 2020), </w:t>
            </w:r>
            <w:r w:rsidR="002E5569" w:rsidRPr="005B5418">
              <w:rPr>
                <w:rFonts w:ascii="Arial" w:hAnsi="Arial" w:cs="Arial"/>
                <w:i/>
                <w:iCs/>
                <w:sz w:val="22"/>
                <w:szCs w:val="22"/>
              </w:rPr>
              <w:t>codified at</w:t>
            </w:r>
            <w:r w:rsidR="002E5569" w:rsidRPr="005B5418">
              <w:rPr>
                <w:rFonts w:ascii="Arial" w:hAnsi="Arial" w:cs="Arial"/>
                <w:sz w:val="22"/>
                <w:szCs w:val="22"/>
              </w:rPr>
              <w:t xml:space="preserve"> 31 U.S.C. §§ 3351-58</w:t>
            </w:r>
            <w:r w:rsidRPr="005B5418">
              <w:rPr>
                <w:rFonts w:ascii="Arial" w:hAnsi="Arial" w:cs="Arial"/>
                <w:sz w:val="22"/>
                <w:szCs w:val="22"/>
              </w:rPr>
              <w:t xml:space="preserve">) </w:t>
            </w:r>
            <w:r w:rsidRPr="005B5418">
              <w:rPr>
                <w:rFonts w:ascii="Arial" w:hAnsi="Arial" w:cs="Arial"/>
                <w:spacing w:val="-1"/>
                <w:sz w:val="22"/>
                <w:szCs w:val="22"/>
              </w:rPr>
              <w:t xml:space="preserve">and provides the public with comprehensive improper payment data and information on </w:t>
            </w:r>
            <w:hyperlink r:id="rId16" w:history="1">
              <w:r w:rsidRPr="005B5418">
                <w:rPr>
                  <w:rStyle w:val="Hyperlink"/>
                  <w:rFonts w:ascii="Arial" w:hAnsi="Arial" w:cs="Arial"/>
                  <w:sz w:val="22"/>
                  <w:szCs w:val="22"/>
                </w:rPr>
                <w:t>PaymentAccuracy.gov</w:t>
              </w:r>
            </w:hyperlink>
            <w:r w:rsidRPr="005B5418">
              <w:rPr>
                <w:rFonts w:ascii="Arial" w:hAnsi="Arial" w:cs="Arial"/>
                <w:spacing w:val="-1"/>
                <w:sz w:val="22"/>
                <w:szCs w:val="22"/>
              </w:rPr>
              <w:t xml:space="preserve">. </w:t>
            </w:r>
          </w:p>
          <w:p w14:paraId="5DB50041" w14:textId="71495262" w:rsidR="00AA4B29" w:rsidRPr="005B5418" w:rsidRDefault="00DE26A6" w:rsidP="00FE612E">
            <w:pPr>
              <w:pStyle w:val="note-body-2em"/>
              <w:spacing w:beforeLines="60" w:before="144" w:beforeAutospacing="0" w:afterLines="60" w:after="144" w:afterAutospacing="0"/>
              <w:rPr>
                <w:rFonts w:ascii="Arial" w:hAnsi="Arial" w:cs="Arial"/>
                <w:sz w:val="22"/>
                <w:szCs w:val="22"/>
              </w:rPr>
            </w:pPr>
            <w:r w:rsidRPr="005B5418">
              <w:rPr>
                <w:rFonts w:ascii="Arial" w:hAnsi="Arial" w:cs="Arial"/>
                <w:sz w:val="22"/>
                <w:szCs w:val="22"/>
              </w:rPr>
              <w:t xml:space="preserve">By </w:t>
            </w:r>
            <w:r w:rsidR="0086479B" w:rsidRPr="005B5418">
              <w:rPr>
                <w:rFonts w:ascii="Arial" w:hAnsi="Arial" w:cs="Arial"/>
                <w:sz w:val="22"/>
                <w:szCs w:val="22"/>
              </w:rPr>
              <w:t xml:space="preserve">July </w:t>
            </w:r>
            <w:r w:rsidRPr="005B5418">
              <w:rPr>
                <w:rFonts w:ascii="Arial" w:hAnsi="Arial" w:cs="Arial"/>
                <w:sz w:val="22"/>
                <w:szCs w:val="22"/>
              </w:rPr>
              <w:t>1, e</w:t>
            </w:r>
            <w:r w:rsidR="00AA4B29" w:rsidRPr="005B5418">
              <w:rPr>
                <w:rFonts w:ascii="Arial" w:hAnsi="Arial" w:cs="Arial"/>
                <w:sz w:val="22"/>
                <w:szCs w:val="22"/>
              </w:rPr>
              <w:t xml:space="preserve">ach </w:t>
            </w:r>
            <w:r w:rsidR="00C94B31" w:rsidRPr="005B5418">
              <w:rPr>
                <w:rFonts w:ascii="Arial" w:hAnsi="Arial" w:cs="Arial"/>
                <w:sz w:val="22"/>
                <w:szCs w:val="22"/>
              </w:rPr>
              <w:t xml:space="preserve">executive branch </w:t>
            </w:r>
            <w:r w:rsidR="00AA4B29" w:rsidRPr="005B5418">
              <w:rPr>
                <w:rFonts w:ascii="Arial" w:hAnsi="Arial" w:cs="Arial"/>
                <w:sz w:val="22"/>
                <w:szCs w:val="22"/>
              </w:rPr>
              <w:t xml:space="preserve">agency </w:t>
            </w:r>
            <w:r w:rsidRPr="005B5418">
              <w:rPr>
                <w:rFonts w:ascii="Arial" w:hAnsi="Arial" w:cs="Arial"/>
                <w:sz w:val="22"/>
                <w:szCs w:val="22"/>
              </w:rPr>
              <w:t>must email</w:t>
            </w:r>
            <w:r w:rsidR="00AA4B29" w:rsidRPr="005B5418">
              <w:rPr>
                <w:rFonts w:ascii="Arial" w:hAnsi="Arial" w:cs="Arial"/>
                <w:sz w:val="22"/>
                <w:szCs w:val="22"/>
              </w:rPr>
              <w:t xml:space="preserve"> </w:t>
            </w:r>
            <w:hyperlink r:id="rId17" w:history="1">
              <w:r w:rsidR="00AA4B29" w:rsidRPr="005B5418">
                <w:rPr>
                  <w:rStyle w:val="Hyperlink"/>
                  <w:rFonts w:ascii="Arial" w:hAnsi="Arial" w:cs="Arial"/>
                  <w:spacing w:val="-1"/>
                  <w:sz w:val="22"/>
                  <w:szCs w:val="22"/>
                </w:rPr>
                <w:t>PaymentIntegrity@omb.eop.gov</w:t>
              </w:r>
            </w:hyperlink>
            <w:r w:rsidR="00AA4B29" w:rsidRPr="005B5418">
              <w:rPr>
                <w:rFonts w:ascii="Arial" w:hAnsi="Arial" w:cs="Arial"/>
                <w:sz w:val="22"/>
                <w:szCs w:val="22"/>
              </w:rPr>
              <w:t xml:space="preserve"> </w:t>
            </w:r>
            <w:r w:rsidRPr="005B5418">
              <w:rPr>
                <w:rFonts w:ascii="Arial" w:hAnsi="Arial" w:cs="Arial"/>
                <w:sz w:val="22"/>
                <w:szCs w:val="22"/>
              </w:rPr>
              <w:t>with two points</w:t>
            </w:r>
            <w:r w:rsidR="00E13681" w:rsidRPr="005B5418">
              <w:rPr>
                <w:rFonts w:ascii="Arial" w:hAnsi="Arial" w:cs="Arial"/>
                <w:sz w:val="22"/>
                <w:szCs w:val="22"/>
              </w:rPr>
              <w:t xml:space="preserve"> of contact</w:t>
            </w:r>
            <w:r w:rsidR="0086479B" w:rsidRPr="005B5418">
              <w:rPr>
                <w:rFonts w:ascii="Arial" w:hAnsi="Arial" w:cs="Arial"/>
                <w:sz w:val="22"/>
                <w:szCs w:val="22"/>
              </w:rPr>
              <w:t>.</w:t>
            </w:r>
            <w:r w:rsidRPr="005B5418">
              <w:rPr>
                <w:rFonts w:ascii="Arial" w:hAnsi="Arial" w:cs="Arial"/>
                <w:sz w:val="22"/>
                <w:szCs w:val="22"/>
              </w:rPr>
              <w:t xml:space="preserve"> </w:t>
            </w:r>
            <w:r w:rsidR="001E25F6" w:rsidRPr="005B5418">
              <w:rPr>
                <w:rFonts w:ascii="Arial" w:hAnsi="Arial" w:cs="Arial"/>
                <w:sz w:val="22"/>
                <w:szCs w:val="22"/>
              </w:rPr>
              <w:t>These contacts are responsible for determining</w:t>
            </w:r>
            <w:r w:rsidR="00AA4B29" w:rsidRPr="005B5418">
              <w:rPr>
                <w:rFonts w:ascii="Arial" w:hAnsi="Arial" w:cs="Arial"/>
                <w:sz w:val="22"/>
                <w:szCs w:val="22"/>
              </w:rPr>
              <w:t xml:space="preserve"> which requirements are applicable</w:t>
            </w:r>
            <w:r w:rsidR="001E25F6" w:rsidRPr="005B5418">
              <w:rPr>
                <w:rFonts w:ascii="Arial" w:hAnsi="Arial" w:cs="Arial"/>
                <w:sz w:val="22"/>
                <w:szCs w:val="22"/>
              </w:rPr>
              <w:t xml:space="preserve"> and submitting the required information</w:t>
            </w:r>
            <w:r w:rsidR="0086479B" w:rsidRPr="005B5418">
              <w:rPr>
                <w:rFonts w:ascii="Arial" w:hAnsi="Arial" w:cs="Arial"/>
                <w:sz w:val="22"/>
                <w:szCs w:val="22"/>
              </w:rPr>
              <w:t xml:space="preserve"> in accordance with the Annual Data Call guidance (</w:t>
            </w:r>
            <w:hyperlink r:id="rId18" w:history="1">
              <w:r w:rsidR="007E51E6" w:rsidRPr="000D5827">
                <w:rPr>
                  <w:rStyle w:val="Hyperlink"/>
                </w:rPr>
                <w:t>https://community-dc.max.gov/x/8f43kg</w:t>
              </w:r>
            </w:hyperlink>
            <w:hyperlink w:history="1"/>
            <w:r w:rsidR="0086479B" w:rsidRPr="005B5418">
              <w:rPr>
                <w:rFonts w:ascii="Arial" w:hAnsi="Arial" w:cs="Arial"/>
                <w:sz w:val="22"/>
                <w:szCs w:val="22"/>
              </w:rPr>
              <w:t xml:space="preserve">). </w:t>
            </w:r>
          </w:p>
          <w:p w14:paraId="002AB6B5" w14:textId="00A0DD71" w:rsidR="00AA4B29" w:rsidRPr="005B5418" w:rsidRDefault="001E25F6" w:rsidP="00FE612E">
            <w:pPr>
              <w:pStyle w:val="note-body-2em"/>
              <w:spacing w:beforeLines="60" w:before="144" w:beforeAutospacing="0" w:afterLines="60" w:after="144" w:afterAutospacing="0"/>
              <w:rPr>
                <w:rFonts w:ascii="Arial" w:hAnsi="Arial" w:cs="Arial"/>
                <w:sz w:val="22"/>
                <w:szCs w:val="22"/>
              </w:rPr>
            </w:pPr>
            <w:r w:rsidRPr="005B5418">
              <w:rPr>
                <w:rFonts w:ascii="Arial" w:hAnsi="Arial" w:cs="Arial"/>
                <w:sz w:val="22"/>
                <w:szCs w:val="22"/>
              </w:rPr>
              <w:t xml:space="preserve">A </w:t>
            </w:r>
            <w:r w:rsidR="00AA4B29" w:rsidRPr="005B5418">
              <w:rPr>
                <w:rFonts w:ascii="Arial" w:hAnsi="Arial" w:cs="Arial"/>
                <w:sz w:val="22"/>
                <w:szCs w:val="22"/>
              </w:rPr>
              <w:t>recovery audit</w:t>
            </w:r>
            <w:r w:rsidRPr="005B5418">
              <w:rPr>
                <w:rFonts w:ascii="Arial" w:hAnsi="Arial" w:cs="Arial"/>
                <w:sz w:val="22"/>
                <w:szCs w:val="22"/>
              </w:rPr>
              <w:t xml:space="preserve"> is </w:t>
            </w:r>
            <w:r w:rsidR="00AA4B29" w:rsidRPr="005B5418">
              <w:rPr>
                <w:rFonts w:ascii="Arial" w:hAnsi="Arial" w:cs="Arial"/>
                <w:sz w:val="22"/>
                <w:szCs w:val="22"/>
              </w:rPr>
              <w:t xml:space="preserve">a review and analysis of an </w:t>
            </w:r>
            <w:r w:rsidR="0075673D" w:rsidRPr="005B5418">
              <w:rPr>
                <w:rFonts w:ascii="Arial" w:hAnsi="Arial" w:cs="Arial"/>
                <w:sz w:val="22"/>
                <w:szCs w:val="22"/>
              </w:rPr>
              <w:t xml:space="preserve">agency’s </w:t>
            </w:r>
            <w:r w:rsidR="00AA4B29" w:rsidRPr="005B5418">
              <w:rPr>
                <w:rFonts w:ascii="Arial" w:hAnsi="Arial" w:cs="Arial"/>
                <w:sz w:val="22"/>
                <w:szCs w:val="22"/>
              </w:rPr>
              <w:t xml:space="preserve">or program’s accounting and financial records, supporting documentation, and other pertinent information supporting its payments, </w:t>
            </w:r>
            <w:r w:rsidR="0075673D" w:rsidRPr="005B5418">
              <w:rPr>
                <w:rFonts w:ascii="Arial" w:hAnsi="Arial" w:cs="Arial"/>
                <w:sz w:val="22"/>
                <w:szCs w:val="22"/>
              </w:rPr>
              <w:t xml:space="preserve">which </w:t>
            </w:r>
            <w:r w:rsidR="00AA4B29" w:rsidRPr="005B5418">
              <w:rPr>
                <w:rFonts w:ascii="Arial" w:hAnsi="Arial" w:cs="Arial"/>
                <w:sz w:val="22"/>
                <w:szCs w:val="22"/>
              </w:rPr>
              <w:t>is specifically designed to identify overpayments</w:t>
            </w:r>
            <w:r w:rsidRPr="005B5418">
              <w:rPr>
                <w:rFonts w:ascii="Arial" w:hAnsi="Arial" w:cs="Arial"/>
                <w:sz w:val="22"/>
                <w:szCs w:val="22"/>
              </w:rPr>
              <w:t>.</w:t>
            </w:r>
            <w:r w:rsidR="00AA4B29" w:rsidRPr="005B5418">
              <w:rPr>
                <w:rFonts w:ascii="Arial" w:hAnsi="Arial" w:cs="Arial"/>
                <w:sz w:val="22"/>
                <w:szCs w:val="22"/>
              </w:rPr>
              <w:t xml:space="preserve"> </w:t>
            </w:r>
            <w:r w:rsidRPr="005B5418">
              <w:rPr>
                <w:rFonts w:ascii="Arial" w:hAnsi="Arial" w:cs="Arial"/>
                <w:sz w:val="22"/>
                <w:szCs w:val="22"/>
              </w:rPr>
              <w:t xml:space="preserve">If an Executive Branch agency </w:t>
            </w:r>
            <w:r w:rsidR="00AA4B29" w:rsidRPr="005B5418">
              <w:rPr>
                <w:rFonts w:ascii="Arial" w:hAnsi="Arial" w:cs="Arial"/>
                <w:sz w:val="22"/>
                <w:szCs w:val="22"/>
              </w:rPr>
              <w:t xml:space="preserve">has received recommendations from </w:t>
            </w:r>
            <w:r w:rsidR="0075673D" w:rsidRPr="005B5418">
              <w:rPr>
                <w:rFonts w:ascii="Arial" w:hAnsi="Arial" w:cs="Arial"/>
                <w:sz w:val="22"/>
                <w:szCs w:val="22"/>
              </w:rPr>
              <w:t xml:space="preserve">its </w:t>
            </w:r>
            <w:r w:rsidR="00AA4B29" w:rsidRPr="005B5418">
              <w:rPr>
                <w:rFonts w:ascii="Arial" w:hAnsi="Arial" w:cs="Arial"/>
                <w:sz w:val="22"/>
                <w:szCs w:val="22"/>
              </w:rPr>
              <w:t xml:space="preserve">recovery audit contractor regarding actions that can be taken to prevent overpayments, the Executive Branch agency should report in </w:t>
            </w:r>
            <w:r w:rsidR="0075673D" w:rsidRPr="005B5418">
              <w:rPr>
                <w:rFonts w:ascii="Arial" w:hAnsi="Arial" w:cs="Arial"/>
                <w:sz w:val="22"/>
                <w:szCs w:val="22"/>
              </w:rPr>
              <w:t xml:space="preserve">its </w:t>
            </w:r>
            <w:r w:rsidR="00AA4B29" w:rsidRPr="005B5418">
              <w:rPr>
                <w:rFonts w:ascii="Arial" w:hAnsi="Arial" w:cs="Arial"/>
                <w:sz w:val="22"/>
                <w:szCs w:val="22"/>
              </w:rPr>
              <w:t>AFR or PAR</w:t>
            </w:r>
            <w:r w:rsidR="00D271CE" w:rsidRPr="005B5418">
              <w:rPr>
                <w:rFonts w:ascii="Arial" w:hAnsi="Arial" w:cs="Arial"/>
                <w:sz w:val="22"/>
                <w:szCs w:val="22"/>
              </w:rPr>
              <w:t xml:space="preserve"> the</w:t>
            </w:r>
            <w:r w:rsidRPr="005B5418">
              <w:rPr>
                <w:rFonts w:ascii="Arial" w:hAnsi="Arial" w:cs="Arial"/>
                <w:sz w:val="22"/>
                <w:szCs w:val="22"/>
              </w:rPr>
              <w:t xml:space="preserve"> actions taken in response to the recommendations</w:t>
            </w:r>
            <w:r w:rsidR="00AA4B29" w:rsidRPr="005B5418">
              <w:rPr>
                <w:rFonts w:ascii="Arial" w:hAnsi="Arial" w:cs="Arial"/>
                <w:sz w:val="22"/>
                <w:szCs w:val="22"/>
              </w:rPr>
              <w:t>.</w:t>
            </w:r>
          </w:p>
          <w:p w14:paraId="5322B47F" w14:textId="55ED7BF4" w:rsidR="00AA4B29" w:rsidRPr="005B5418" w:rsidRDefault="0075673D" w:rsidP="00FE612E">
            <w:pPr>
              <w:pStyle w:val="note-body-2em"/>
              <w:spacing w:beforeLines="60" w:before="144" w:beforeAutospacing="0" w:afterLines="60" w:after="144" w:afterAutospacing="0"/>
              <w:rPr>
                <w:rFonts w:ascii="Arial" w:hAnsi="Arial" w:cs="Arial"/>
                <w:sz w:val="22"/>
                <w:szCs w:val="22"/>
              </w:rPr>
            </w:pPr>
            <w:r w:rsidRPr="005B5418">
              <w:rPr>
                <w:rFonts w:ascii="Arial" w:hAnsi="Arial" w:cs="Arial"/>
                <w:sz w:val="22"/>
                <w:szCs w:val="22"/>
              </w:rPr>
              <w:t>A</w:t>
            </w:r>
            <w:r w:rsidR="00D271CE" w:rsidRPr="005B5418">
              <w:rPr>
                <w:rFonts w:ascii="Arial" w:hAnsi="Arial" w:cs="Arial"/>
                <w:sz w:val="22"/>
                <w:szCs w:val="22"/>
              </w:rPr>
              <w:t xml:space="preserve">ll </w:t>
            </w:r>
            <w:r w:rsidR="00AE73BF" w:rsidRPr="005B5418">
              <w:rPr>
                <w:rFonts w:ascii="Arial" w:hAnsi="Arial" w:cs="Arial"/>
                <w:sz w:val="22"/>
                <w:szCs w:val="22"/>
              </w:rPr>
              <w:t xml:space="preserve">executive branch </w:t>
            </w:r>
            <w:r w:rsidR="00D271CE" w:rsidRPr="005B5418">
              <w:rPr>
                <w:rFonts w:ascii="Arial" w:hAnsi="Arial" w:cs="Arial"/>
                <w:sz w:val="22"/>
                <w:szCs w:val="22"/>
              </w:rPr>
              <w:t xml:space="preserve">agencies </w:t>
            </w:r>
            <w:r w:rsidR="00023496" w:rsidRPr="005B5418">
              <w:rPr>
                <w:rFonts w:ascii="Arial" w:hAnsi="Arial" w:cs="Arial"/>
                <w:sz w:val="22"/>
                <w:szCs w:val="22"/>
              </w:rPr>
              <w:t xml:space="preserve">that report improper payments as a part of the Annual Data Call under </w:t>
            </w:r>
            <w:r w:rsidR="00C94B31" w:rsidRPr="005B5418">
              <w:rPr>
                <w:rFonts w:ascii="Arial" w:hAnsi="Arial" w:cs="Arial"/>
                <w:sz w:val="22"/>
                <w:szCs w:val="22"/>
              </w:rPr>
              <w:t>p</w:t>
            </w:r>
            <w:r w:rsidR="00023496" w:rsidRPr="005B5418">
              <w:rPr>
                <w:rFonts w:ascii="Arial" w:hAnsi="Arial" w:cs="Arial"/>
                <w:sz w:val="22"/>
                <w:szCs w:val="22"/>
              </w:rPr>
              <w:t xml:space="preserve">hase 2 of OMB Memorandum M-21-19, </w:t>
            </w:r>
            <w:r w:rsidR="00023496" w:rsidRPr="005B5418">
              <w:rPr>
                <w:rFonts w:ascii="Arial" w:hAnsi="Arial" w:cs="Arial"/>
                <w:i/>
                <w:iCs/>
                <w:sz w:val="22"/>
                <w:szCs w:val="22"/>
              </w:rPr>
              <w:t>Transmittal of Appendix C to OMB Circular A-123, Requirements for Payment Integrity Improvement</w:t>
            </w:r>
            <w:r w:rsidR="00023496" w:rsidRPr="005B5418">
              <w:rPr>
                <w:rFonts w:ascii="Arial" w:hAnsi="Arial" w:cs="Arial"/>
                <w:sz w:val="22"/>
                <w:szCs w:val="22"/>
              </w:rPr>
              <w:t xml:space="preserve">, </w:t>
            </w:r>
            <w:r w:rsidR="0086479B" w:rsidRPr="005B5418">
              <w:rPr>
                <w:rFonts w:ascii="Arial" w:hAnsi="Arial" w:cs="Arial"/>
                <w:sz w:val="22"/>
                <w:szCs w:val="22"/>
              </w:rPr>
              <w:t>must</w:t>
            </w:r>
            <w:r w:rsidR="00D271CE" w:rsidRPr="005B5418">
              <w:rPr>
                <w:rFonts w:ascii="Arial" w:hAnsi="Arial" w:cs="Arial"/>
                <w:sz w:val="22"/>
                <w:szCs w:val="22"/>
              </w:rPr>
              <w:t xml:space="preserve"> provide in their AFR</w:t>
            </w:r>
            <w:r w:rsidRPr="005B5418">
              <w:rPr>
                <w:rFonts w:ascii="Arial" w:hAnsi="Arial" w:cs="Arial"/>
                <w:sz w:val="22"/>
                <w:szCs w:val="22"/>
              </w:rPr>
              <w:t>s</w:t>
            </w:r>
            <w:r w:rsidR="00D271CE" w:rsidRPr="005B5418">
              <w:rPr>
                <w:rFonts w:ascii="Arial" w:hAnsi="Arial" w:cs="Arial"/>
                <w:sz w:val="22"/>
                <w:szCs w:val="22"/>
              </w:rPr>
              <w:t xml:space="preserve"> or PAR</w:t>
            </w:r>
            <w:r w:rsidRPr="005B5418">
              <w:rPr>
                <w:rFonts w:ascii="Arial" w:hAnsi="Arial" w:cs="Arial"/>
                <w:sz w:val="22"/>
                <w:szCs w:val="22"/>
              </w:rPr>
              <w:t>s</w:t>
            </w:r>
            <w:r w:rsidR="0086479B" w:rsidRPr="005B5418">
              <w:rPr>
                <w:rFonts w:ascii="Arial" w:hAnsi="Arial" w:cs="Arial"/>
                <w:sz w:val="22"/>
                <w:szCs w:val="22"/>
              </w:rPr>
              <w:t xml:space="preserve"> </w:t>
            </w:r>
            <w:r w:rsidR="00023496" w:rsidRPr="005B5418">
              <w:rPr>
                <w:rFonts w:ascii="Arial" w:hAnsi="Arial" w:cs="Arial"/>
                <w:sz w:val="22"/>
                <w:szCs w:val="22"/>
              </w:rPr>
              <w:t>a</w:t>
            </w:r>
            <w:r w:rsidR="0086479B" w:rsidRPr="005B5418">
              <w:rPr>
                <w:rFonts w:ascii="Arial" w:hAnsi="Arial" w:cs="Arial"/>
                <w:sz w:val="22"/>
                <w:szCs w:val="22"/>
              </w:rPr>
              <w:t xml:space="preserve"> summary of their payment integrity activities and results.</w:t>
            </w:r>
            <w:r w:rsidR="00AA4B29" w:rsidRPr="005B5418">
              <w:rPr>
                <w:rFonts w:ascii="Arial" w:hAnsi="Arial" w:cs="Arial"/>
                <w:sz w:val="22"/>
                <w:szCs w:val="22"/>
              </w:rPr>
              <w:t xml:space="preserve"> </w:t>
            </w:r>
          </w:p>
          <w:p w14:paraId="5B281E1A" w14:textId="224AE39F" w:rsidR="00AA4309" w:rsidRPr="005B5418" w:rsidRDefault="00AA4309" w:rsidP="00FE612E">
            <w:pPr>
              <w:pStyle w:val="note-body-2em"/>
              <w:spacing w:beforeLines="60" w:before="144" w:beforeAutospacing="0" w:afterLines="60" w:after="144" w:afterAutospacing="0"/>
              <w:rPr>
                <w:rFonts w:ascii="Arial" w:hAnsi="Arial" w:cs="Arial"/>
                <w:sz w:val="22"/>
                <w:szCs w:val="22"/>
              </w:rPr>
            </w:pPr>
            <w:r w:rsidRPr="005B5418">
              <w:rPr>
                <w:rFonts w:ascii="Arial" w:hAnsi="Arial" w:cs="Arial"/>
                <w:sz w:val="22"/>
                <w:szCs w:val="22"/>
              </w:rPr>
              <w:t>The summary should include</w:t>
            </w:r>
            <w:r w:rsidR="00D271CE" w:rsidRPr="005B5418">
              <w:rPr>
                <w:rFonts w:ascii="Arial" w:hAnsi="Arial" w:cs="Arial"/>
                <w:sz w:val="22"/>
                <w:szCs w:val="22"/>
              </w:rPr>
              <w:t>, in plain language</w:t>
            </w:r>
            <w:r w:rsidR="0075673D" w:rsidRPr="005B5418">
              <w:rPr>
                <w:rFonts w:ascii="Arial" w:hAnsi="Arial" w:cs="Arial"/>
                <w:sz w:val="22"/>
                <w:szCs w:val="22"/>
              </w:rPr>
              <w:t>, the following</w:t>
            </w:r>
            <w:r w:rsidRPr="005B5418">
              <w:rPr>
                <w:rFonts w:ascii="Arial" w:hAnsi="Arial" w:cs="Arial"/>
                <w:sz w:val="22"/>
                <w:szCs w:val="22"/>
              </w:rPr>
              <w:t xml:space="preserve">:  </w:t>
            </w:r>
          </w:p>
          <w:p w14:paraId="7E88DA8F" w14:textId="7BF0422B" w:rsidR="00AA4309" w:rsidRPr="005B5418" w:rsidRDefault="00D271CE" w:rsidP="0091674B">
            <w:pPr>
              <w:pStyle w:val="note-body-2em"/>
              <w:numPr>
                <w:ilvl w:val="0"/>
                <w:numId w:val="112"/>
              </w:numPr>
              <w:spacing w:beforeLines="60" w:before="144" w:beforeAutospacing="0" w:afterLines="60" w:after="144" w:afterAutospacing="0"/>
              <w:rPr>
                <w:rFonts w:ascii="Arial" w:hAnsi="Arial" w:cs="Arial"/>
                <w:color w:val="000000"/>
                <w:sz w:val="22"/>
                <w:szCs w:val="22"/>
              </w:rPr>
            </w:pPr>
            <w:r w:rsidRPr="005B5418">
              <w:rPr>
                <w:rFonts w:ascii="Arial" w:hAnsi="Arial" w:cs="Arial"/>
                <w:color w:val="000000"/>
                <w:sz w:val="22"/>
                <w:szCs w:val="22"/>
              </w:rPr>
              <w:t xml:space="preserve">A </w:t>
            </w:r>
            <w:r w:rsidR="00AA4309" w:rsidRPr="005B5418">
              <w:rPr>
                <w:rFonts w:ascii="Arial" w:hAnsi="Arial" w:cs="Arial"/>
                <w:color w:val="000000"/>
                <w:sz w:val="22"/>
                <w:szCs w:val="22"/>
              </w:rPr>
              <w:t>description of improper payments made by the agency</w:t>
            </w:r>
            <w:r w:rsidR="009654F9" w:rsidRPr="005B5418">
              <w:rPr>
                <w:rFonts w:ascii="Arial" w:hAnsi="Arial" w:cs="Arial"/>
                <w:color w:val="000000"/>
                <w:sz w:val="22"/>
                <w:szCs w:val="22"/>
              </w:rPr>
              <w:t>,</w:t>
            </w:r>
            <w:r w:rsidR="00AA4309" w:rsidRPr="005B5418">
              <w:rPr>
                <w:rFonts w:ascii="Arial" w:hAnsi="Arial" w:cs="Arial"/>
                <w:color w:val="000000"/>
                <w:sz w:val="22"/>
                <w:szCs w:val="22"/>
              </w:rPr>
              <w:t xml:space="preserve"> an estimate of the improper payment amount and rate</w:t>
            </w:r>
            <w:r w:rsidR="009654F9" w:rsidRPr="005B5418">
              <w:rPr>
                <w:rFonts w:ascii="Arial" w:hAnsi="Arial" w:cs="Arial"/>
                <w:color w:val="000000"/>
                <w:sz w:val="22"/>
                <w:szCs w:val="22"/>
              </w:rPr>
              <w:t>,</w:t>
            </w:r>
            <w:r w:rsidR="00AA4309" w:rsidRPr="005B5418">
              <w:rPr>
                <w:rFonts w:ascii="Arial" w:hAnsi="Arial" w:cs="Arial"/>
                <w:color w:val="000000"/>
                <w:sz w:val="22"/>
                <w:szCs w:val="22"/>
              </w:rPr>
              <w:t xml:space="preserve"> an explanation of the causes of improper payments</w:t>
            </w:r>
            <w:r w:rsidR="009654F9" w:rsidRPr="005B5418">
              <w:rPr>
                <w:rFonts w:ascii="Arial" w:hAnsi="Arial" w:cs="Arial"/>
                <w:color w:val="000000"/>
                <w:sz w:val="22"/>
                <w:szCs w:val="22"/>
              </w:rPr>
              <w:t>,</w:t>
            </w:r>
            <w:r w:rsidR="00AA4309" w:rsidRPr="005B5418">
              <w:rPr>
                <w:rFonts w:ascii="Arial" w:hAnsi="Arial" w:cs="Arial"/>
                <w:color w:val="000000"/>
                <w:sz w:val="22"/>
                <w:szCs w:val="22"/>
              </w:rPr>
              <w:t xml:space="preserve"> and any major actions taken or planned to mitigate those causes. </w:t>
            </w:r>
          </w:p>
          <w:p w14:paraId="6335A46C" w14:textId="4B275E56" w:rsidR="00AA4309" w:rsidRPr="005B5418" w:rsidRDefault="00AA4309" w:rsidP="0091674B">
            <w:pPr>
              <w:pStyle w:val="note-body-2em"/>
              <w:numPr>
                <w:ilvl w:val="0"/>
                <w:numId w:val="112"/>
              </w:numPr>
              <w:spacing w:beforeLines="60" w:before="144" w:beforeAutospacing="0" w:afterLines="60" w:after="144" w:afterAutospacing="0"/>
              <w:rPr>
                <w:rFonts w:ascii="Arial" w:hAnsi="Arial" w:cs="Arial"/>
                <w:color w:val="000000"/>
                <w:sz w:val="22"/>
                <w:szCs w:val="22"/>
              </w:rPr>
            </w:pPr>
            <w:r w:rsidRPr="005B5418">
              <w:rPr>
                <w:rFonts w:ascii="Arial" w:hAnsi="Arial" w:cs="Arial"/>
                <w:color w:val="000000"/>
                <w:sz w:val="22"/>
                <w:szCs w:val="22"/>
              </w:rPr>
              <w:t xml:space="preserve">An explanation for changes in payment integrity methodologies, </w:t>
            </w:r>
            <w:r w:rsidR="00D63E8B" w:rsidRPr="005B5418">
              <w:rPr>
                <w:rFonts w:ascii="Arial" w:hAnsi="Arial" w:cs="Arial"/>
                <w:color w:val="000000"/>
                <w:sz w:val="22"/>
                <w:szCs w:val="22"/>
              </w:rPr>
              <w:t>mitigation strategies, corrective actions,</w:t>
            </w:r>
            <w:r w:rsidRPr="005B5418">
              <w:rPr>
                <w:rFonts w:ascii="Arial" w:hAnsi="Arial" w:cs="Arial"/>
                <w:color w:val="000000"/>
                <w:sz w:val="22"/>
                <w:szCs w:val="22"/>
              </w:rPr>
              <w:t xml:space="preserve"> or results that occurred during the reporting period.</w:t>
            </w:r>
          </w:p>
          <w:p w14:paraId="087FBCC9" w14:textId="69363D4A" w:rsidR="00E3073F" w:rsidRPr="005425ED" w:rsidRDefault="00D271CE" w:rsidP="0091674B">
            <w:pPr>
              <w:pStyle w:val="note-body-2em"/>
              <w:numPr>
                <w:ilvl w:val="0"/>
                <w:numId w:val="112"/>
              </w:numPr>
              <w:spacing w:beforeLines="60" w:before="144" w:beforeAutospacing="0" w:afterLines="60" w:after="144" w:afterAutospacing="0"/>
              <w:rPr>
                <w:rStyle w:val="Hyperlink"/>
                <w:rFonts w:ascii="Arial" w:eastAsia="Times New Roman" w:hAnsi="Arial" w:cs="Arial"/>
                <w:color w:val="auto"/>
                <w:spacing w:val="-1"/>
                <w:sz w:val="22"/>
                <w:szCs w:val="22"/>
                <w:u w:val="none"/>
              </w:rPr>
            </w:pPr>
            <w:r w:rsidRPr="005B5418">
              <w:rPr>
                <w:rFonts w:ascii="Arial" w:hAnsi="Arial" w:cs="Arial"/>
                <w:spacing w:val="-1"/>
                <w:sz w:val="22"/>
                <w:szCs w:val="22"/>
              </w:rPr>
              <w:t>References to supporting data on</w:t>
            </w:r>
            <w:r w:rsidR="00AA4309" w:rsidRPr="005B5418">
              <w:rPr>
                <w:rFonts w:ascii="Arial" w:hAnsi="Arial" w:cs="Arial"/>
                <w:spacing w:val="-1"/>
                <w:sz w:val="22"/>
                <w:szCs w:val="22"/>
              </w:rPr>
              <w:t xml:space="preserve"> </w:t>
            </w:r>
            <w:hyperlink r:id="rId19" w:history="1">
              <w:r w:rsidR="00AA4309" w:rsidRPr="005B5418">
                <w:rPr>
                  <w:rStyle w:val="Hyperlink"/>
                  <w:rFonts w:ascii="Arial" w:hAnsi="Arial" w:cs="Arial"/>
                  <w:sz w:val="22"/>
                  <w:szCs w:val="22"/>
                </w:rPr>
                <w:t>PaymentAccuracy.gov</w:t>
              </w:r>
            </w:hyperlink>
            <w:r w:rsidR="00AA4309" w:rsidRPr="005B5418">
              <w:rPr>
                <w:rStyle w:val="Hyperlink"/>
                <w:rFonts w:ascii="Arial" w:hAnsi="Arial" w:cs="Arial"/>
                <w:sz w:val="22"/>
                <w:szCs w:val="22"/>
              </w:rPr>
              <w:t xml:space="preserve">. </w:t>
            </w:r>
            <w:r w:rsidR="00AA4309" w:rsidRPr="005B5418">
              <w:rPr>
                <w:rStyle w:val="Hyperlink"/>
                <w:rFonts w:ascii="Arial" w:hAnsi="Arial" w:cs="Arial"/>
                <w:color w:val="auto"/>
                <w:sz w:val="22"/>
                <w:szCs w:val="22"/>
                <w:u w:val="none"/>
              </w:rPr>
              <w:t>The summary</w:t>
            </w:r>
            <w:r w:rsidR="00AA4309" w:rsidRPr="005B5418">
              <w:rPr>
                <w:rFonts w:ascii="Arial" w:hAnsi="Arial" w:cs="Arial"/>
                <w:spacing w:val="-1"/>
                <w:sz w:val="22"/>
                <w:szCs w:val="22"/>
              </w:rPr>
              <w:t xml:space="preserve"> </w:t>
            </w:r>
            <w:r w:rsidR="00AA4309" w:rsidRPr="005B5418">
              <w:rPr>
                <w:rFonts w:ascii="Arial" w:hAnsi="Arial" w:cs="Arial"/>
                <w:color w:val="000000"/>
                <w:sz w:val="22"/>
                <w:szCs w:val="22"/>
              </w:rPr>
              <w:t xml:space="preserve">should not be in conflict with data that </w:t>
            </w:r>
            <w:r w:rsidR="0075673D" w:rsidRPr="005B5418">
              <w:rPr>
                <w:rFonts w:ascii="Arial" w:hAnsi="Arial" w:cs="Arial"/>
                <w:color w:val="000000"/>
                <w:sz w:val="22"/>
                <w:szCs w:val="22"/>
              </w:rPr>
              <w:t xml:space="preserve">are </w:t>
            </w:r>
            <w:r w:rsidR="00AA4309" w:rsidRPr="005B5418">
              <w:rPr>
                <w:rFonts w:ascii="Arial" w:hAnsi="Arial" w:cs="Arial"/>
                <w:color w:val="000000"/>
                <w:sz w:val="22"/>
                <w:szCs w:val="22"/>
              </w:rPr>
              <w:t>available on</w:t>
            </w:r>
            <w:r w:rsidR="00AA4309" w:rsidRPr="005B5418">
              <w:rPr>
                <w:rFonts w:ascii="Arial" w:hAnsi="Arial" w:cs="Arial"/>
                <w:spacing w:val="-1"/>
                <w:sz w:val="22"/>
                <w:szCs w:val="22"/>
              </w:rPr>
              <w:t xml:space="preserve"> </w:t>
            </w:r>
            <w:hyperlink r:id="rId20" w:history="1">
              <w:r w:rsidR="00AA4309" w:rsidRPr="005B5418">
                <w:rPr>
                  <w:rStyle w:val="Hyperlink"/>
                  <w:rFonts w:ascii="Arial" w:hAnsi="Arial" w:cs="Arial"/>
                  <w:sz w:val="22"/>
                  <w:szCs w:val="22"/>
                </w:rPr>
                <w:t>PaymentAccuracy.gov</w:t>
              </w:r>
            </w:hyperlink>
            <w:r w:rsidR="00AA4309" w:rsidRPr="005B5418">
              <w:rPr>
                <w:rStyle w:val="Hyperlink"/>
                <w:rFonts w:ascii="Arial" w:hAnsi="Arial" w:cs="Arial"/>
                <w:sz w:val="22"/>
                <w:szCs w:val="22"/>
              </w:rPr>
              <w:t xml:space="preserve">, </w:t>
            </w:r>
            <w:r w:rsidR="00AA4309" w:rsidRPr="005B5418">
              <w:rPr>
                <w:rStyle w:val="Hyperlink"/>
                <w:rFonts w:ascii="Arial" w:hAnsi="Arial" w:cs="Arial"/>
                <w:color w:val="auto"/>
                <w:sz w:val="22"/>
                <w:szCs w:val="22"/>
                <w:u w:val="none"/>
              </w:rPr>
              <w:t>which is intended to be the complete source for all qualitative and quantitative payment integrity information, including contextual information</w:t>
            </w:r>
            <w:r w:rsidR="009E51A4" w:rsidRPr="005B5418">
              <w:rPr>
                <w:rStyle w:val="Hyperlink"/>
                <w:rFonts w:ascii="Arial" w:hAnsi="Arial" w:cs="Arial"/>
                <w:color w:val="auto"/>
                <w:sz w:val="22"/>
                <w:szCs w:val="22"/>
                <w:u w:val="none"/>
              </w:rPr>
              <w:t>.</w:t>
            </w:r>
            <w:r w:rsidR="003023C2" w:rsidRPr="005B5418">
              <w:rPr>
                <w:rStyle w:val="Hyperlink"/>
                <w:rFonts w:ascii="Arial" w:hAnsi="Arial" w:cs="Arial"/>
                <w:color w:val="auto"/>
                <w:sz w:val="22"/>
                <w:szCs w:val="22"/>
                <w:u w:val="none"/>
              </w:rPr>
              <w:t xml:space="preserve"> </w:t>
            </w:r>
          </w:p>
          <w:p w14:paraId="36A929B6" w14:textId="25375ED8" w:rsidR="003331C9" w:rsidRPr="005B5418" w:rsidRDefault="003331C9" w:rsidP="005425ED">
            <w:pPr>
              <w:pStyle w:val="note-body-2em"/>
              <w:spacing w:beforeLines="60" w:before="144" w:beforeAutospacing="0" w:afterLines="60" w:after="144" w:afterAutospacing="0"/>
              <w:rPr>
                <w:rStyle w:val="Hyperlink"/>
                <w:rFonts w:ascii="Arial" w:eastAsia="Times New Roman" w:hAnsi="Arial" w:cs="Arial"/>
                <w:color w:val="auto"/>
                <w:spacing w:val="-1"/>
                <w:sz w:val="22"/>
                <w:szCs w:val="22"/>
                <w:u w:val="none"/>
              </w:rPr>
            </w:pPr>
            <w:r w:rsidRPr="005B5418">
              <w:rPr>
                <w:rStyle w:val="Hyperlink"/>
                <w:rFonts w:ascii="Arial" w:eastAsia="Times New Roman" w:hAnsi="Arial" w:cs="Arial"/>
                <w:color w:val="auto"/>
                <w:spacing w:val="-1"/>
                <w:sz w:val="22"/>
                <w:szCs w:val="22"/>
                <w:u w:val="none"/>
              </w:rPr>
              <w:t>Agencies found to be noncompliant with the Payment Integrity Information Act of 2019 criteria should state in their AFR</w:t>
            </w:r>
            <w:r w:rsidR="0053370C">
              <w:rPr>
                <w:rStyle w:val="Hyperlink"/>
                <w:rFonts w:ascii="Arial" w:eastAsia="Times New Roman" w:hAnsi="Arial" w:cs="Arial"/>
                <w:color w:val="auto"/>
                <w:spacing w:val="-1"/>
                <w:sz w:val="22"/>
                <w:szCs w:val="22"/>
                <w:u w:val="none"/>
              </w:rPr>
              <w:t>s</w:t>
            </w:r>
            <w:r w:rsidRPr="005B5418">
              <w:rPr>
                <w:rStyle w:val="Hyperlink"/>
                <w:rFonts w:ascii="Arial" w:eastAsia="Times New Roman" w:hAnsi="Arial" w:cs="Arial"/>
                <w:color w:val="auto"/>
                <w:spacing w:val="-1"/>
                <w:sz w:val="22"/>
                <w:szCs w:val="22"/>
                <w:u w:val="none"/>
              </w:rPr>
              <w:t xml:space="preserve"> or PAR</w:t>
            </w:r>
            <w:r w:rsidR="0053370C">
              <w:rPr>
                <w:rStyle w:val="Hyperlink"/>
                <w:rFonts w:ascii="Arial" w:eastAsia="Times New Roman" w:hAnsi="Arial" w:cs="Arial"/>
                <w:color w:val="auto"/>
                <w:spacing w:val="-1"/>
                <w:sz w:val="22"/>
                <w:szCs w:val="22"/>
                <w:u w:val="none"/>
              </w:rPr>
              <w:t>s</w:t>
            </w:r>
            <w:r w:rsidRPr="005B5418">
              <w:rPr>
                <w:rStyle w:val="Hyperlink"/>
                <w:rFonts w:ascii="Arial" w:eastAsia="Times New Roman" w:hAnsi="Arial" w:cs="Arial"/>
                <w:color w:val="auto"/>
                <w:spacing w:val="-1"/>
                <w:sz w:val="22"/>
                <w:szCs w:val="22"/>
                <w:u w:val="none"/>
              </w:rPr>
              <w:t xml:space="preserve"> that agency plans to come into compliance are available on </w:t>
            </w:r>
            <w:hyperlink r:id="rId21" w:history="1">
              <w:r w:rsidR="000D5827" w:rsidRPr="005425ED">
                <w:rPr>
                  <w:rStyle w:val="Hyperlink"/>
                  <w:rFonts w:ascii="Arial" w:hAnsi="Arial" w:cs="Arial"/>
                  <w:sz w:val="22"/>
                  <w:szCs w:val="22"/>
                </w:rPr>
                <w:t>PaymentAccuracy</w:t>
              </w:r>
              <w:r w:rsidRPr="005425ED">
                <w:rPr>
                  <w:rStyle w:val="Hyperlink"/>
                  <w:rFonts w:ascii="Arial" w:hAnsi="Arial" w:cs="Arial"/>
                  <w:sz w:val="22"/>
                  <w:szCs w:val="22"/>
                </w:rPr>
                <w:t>.gov</w:t>
              </w:r>
            </w:hyperlink>
            <w:r w:rsidRPr="005B5418">
              <w:rPr>
                <w:rStyle w:val="Hyperlink"/>
                <w:rFonts w:ascii="Arial" w:eastAsia="Times New Roman" w:hAnsi="Arial" w:cs="Arial"/>
                <w:color w:val="auto"/>
                <w:spacing w:val="-1"/>
                <w:sz w:val="22"/>
                <w:szCs w:val="22"/>
                <w:u w:val="none"/>
              </w:rPr>
              <w:t>.</w:t>
            </w:r>
          </w:p>
          <w:p w14:paraId="4BAC9415" w14:textId="0A2DF16F" w:rsidR="00E3073F" w:rsidRPr="005B5418" w:rsidRDefault="003023C2" w:rsidP="00365B43">
            <w:pPr>
              <w:pStyle w:val="note-body-2em"/>
              <w:spacing w:beforeLines="60" w:before="144" w:beforeAutospacing="0" w:afterLines="60" w:after="144" w:afterAutospacing="0"/>
              <w:rPr>
                <w:rStyle w:val="Hyperlink"/>
                <w:rFonts w:ascii="Arial" w:hAnsi="Arial" w:cs="Arial"/>
                <w:color w:val="auto"/>
                <w:sz w:val="22"/>
                <w:szCs w:val="22"/>
                <w:u w:val="none"/>
              </w:rPr>
            </w:pPr>
            <w:r w:rsidRPr="005B5418">
              <w:rPr>
                <w:rStyle w:val="Hyperlink"/>
                <w:rFonts w:ascii="Arial" w:hAnsi="Arial" w:cs="Arial"/>
                <w:color w:val="auto"/>
                <w:sz w:val="22"/>
                <w:szCs w:val="22"/>
                <w:u w:val="none"/>
              </w:rPr>
              <w:t>(A-136, section II.4.5)</w:t>
            </w:r>
          </w:p>
          <w:p w14:paraId="1F93D803" w14:textId="77777777" w:rsidR="00E3073F" w:rsidRPr="005B5418" w:rsidRDefault="00E3073F" w:rsidP="00365B43">
            <w:pPr>
              <w:pStyle w:val="note-body-2em"/>
              <w:spacing w:beforeLines="60" w:before="144" w:beforeAutospacing="0" w:afterLines="60" w:after="144" w:afterAutospacing="0"/>
              <w:rPr>
                <w:rFonts w:ascii="Arial" w:eastAsia="Arial Unicode MS" w:hAnsi="Arial" w:cs="Arial"/>
                <w:sz w:val="22"/>
                <w:szCs w:val="22"/>
              </w:rPr>
            </w:pPr>
          </w:p>
          <w:p w14:paraId="73860E23" w14:textId="01A6CB90" w:rsidR="00AA4309" w:rsidRPr="005B5418" w:rsidRDefault="00AA4309" w:rsidP="00062302">
            <w:pPr>
              <w:pStyle w:val="BodyText"/>
              <w:spacing w:beforeLines="60" w:before="144" w:afterLines="60" w:after="144" w:line="240" w:lineRule="auto"/>
              <w:jc w:val="left"/>
              <w:rPr>
                <w:sz w:val="22"/>
                <w:szCs w:val="22"/>
              </w:rPr>
            </w:pPr>
          </w:p>
        </w:tc>
      </w:tr>
      <w:tr w:rsidR="00622443" w:rsidRPr="005B5418" w14:paraId="777B1BCE" w14:textId="77777777" w:rsidTr="0091674B">
        <w:trPr>
          <w:trHeight w:val="1421"/>
        </w:trPr>
        <w:tc>
          <w:tcPr>
            <w:tcW w:w="5400" w:type="dxa"/>
          </w:tcPr>
          <w:p w14:paraId="458FE20D" w14:textId="3E562D0B" w:rsidR="00622443" w:rsidRPr="005B5418" w:rsidRDefault="00622443" w:rsidP="008576FA">
            <w:pPr>
              <w:pStyle w:val="FAM-Table-outline"/>
              <w:widowControl/>
              <w:numPr>
                <w:ilvl w:val="0"/>
                <w:numId w:val="66"/>
              </w:numPr>
              <w:tabs>
                <w:tab w:val="num" w:pos="1512"/>
              </w:tabs>
              <w:adjustRightInd/>
              <w:spacing w:line="240" w:lineRule="auto"/>
              <w:textAlignment w:val="auto"/>
            </w:pPr>
            <w:r w:rsidRPr="005B5418">
              <w:lastRenderedPageBreak/>
              <w:t>Is this topic applicable to the</w:t>
            </w:r>
            <w:r w:rsidR="00A80DFB" w:rsidRPr="005B5418">
              <w:t xml:space="preserve"> reporting entity</w:t>
            </w:r>
            <w:r w:rsidRPr="005B5418">
              <w:t>? (Answer Y if applicable, N/A if not applicable, or N/S if not significant. If N/A or N/S, skip to the next topic</w:t>
            </w:r>
            <w:r w:rsidR="00DB592A" w:rsidRPr="005B5418">
              <w:t>.</w:t>
            </w:r>
            <w:r w:rsidRPr="005B5418">
              <w:t>)</w:t>
            </w:r>
          </w:p>
        </w:tc>
        <w:tc>
          <w:tcPr>
            <w:tcW w:w="965" w:type="dxa"/>
          </w:tcPr>
          <w:p w14:paraId="3BDFE12B" w14:textId="77777777" w:rsidR="00622443" w:rsidRPr="005B5418" w:rsidRDefault="00622443" w:rsidP="008848DA">
            <w:pPr>
              <w:pStyle w:val="Table-Cell-CenterBoldBefore6ptAfter6pt"/>
              <w:spacing w:before="60" w:after="60"/>
            </w:pPr>
          </w:p>
        </w:tc>
        <w:tc>
          <w:tcPr>
            <w:tcW w:w="3211" w:type="dxa"/>
          </w:tcPr>
          <w:p w14:paraId="16CDFD4C" w14:textId="77777777" w:rsidR="00622443" w:rsidRPr="005B5418" w:rsidRDefault="00622443" w:rsidP="008848DA">
            <w:pPr>
              <w:spacing w:before="60" w:after="60" w:line="240" w:lineRule="auto"/>
            </w:pPr>
          </w:p>
        </w:tc>
      </w:tr>
      <w:tr w:rsidR="00B22634" w:rsidRPr="005B5418" w14:paraId="5AFF8130" w14:textId="77777777" w:rsidTr="0003094F">
        <w:trPr>
          <w:trHeight w:val="1178"/>
        </w:trPr>
        <w:tc>
          <w:tcPr>
            <w:tcW w:w="5400" w:type="dxa"/>
          </w:tcPr>
          <w:p w14:paraId="48E6ADD0" w14:textId="25F1899D" w:rsidR="00B22634" w:rsidRPr="005B5418" w:rsidRDefault="00B22634" w:rsidP="00A80DFB">
            <w:pPr>
              <w:pStyle w:val="FAM-Table-outline"/>
              <w:widowControl/>
              <w:numPr>
                <w:ilvl w:val="0"/>
                <w:numId w:val="66"/>
              </w:numPr>
              <w:tabs>
                <w:tab w:val="num" w:pos="1512"/>
              </w:tabs>
              <w:adjustRightInd/>
              <w:spacing w:line="240" w:lineRule="auto"/>
              <w:textAlignment w:val="auto"/>
            </w:pPr>
            <w:r w:rsidRPr="005B5418">
              <w:rPr>
                <w:szCs w:val="22"/>
              </w:rPr>
              <w:t xml:space="preserve">Does the entity </w:t>
            </w:r>
            <w:r w:rsidR="00480510" w:rsidRPr="005B5418">
              <w:rPr>
                <w:szCs w:val="22"/>
              </w:rPr>
              <w:t xml:space="preserve">complete the annual data call issued by OMB </w:t>
            </w:r>
            <w:r w:rsidRPr="005B5418">
              <w:rPr>
                <w:szCs w:val="22"/>
              </w:rPr>
              <w:t>concerning the Payment Integrity Information Act</w:t>
            </w:r>
            <w:r w:rsidRPr="005B5418">
              <w:rPr>
                <w:spacing w:val="-1"/>
                <w:szCs w:val="22"/>
              </w:rPr>
              <w:t xml:space="preserve"> </w:t>
            </w:r>
            <w:r w:rsidR="007E2206" w:rsidRPr="005B5418">
              <w:rPr>
                <w:spacing w:val="-1"/>
                <w:szCs w:val="22"/>
              </w:rPr>
              <w:t>of 2019</w:t>
            </w:r>
            <w:r w:rsidR="00480510" w:rsidRPr="005B5418">
              <w:rPr>
                <w:spacing w:val="-1"/>
                <w:szCs w:val="22"/>
              </w:rPr>
              <w:t xml:space="preserve">? </w:t>
            </w:r>
            <w:r w:rsidRPr="005B5418">
              <w:rPr>
                <w:szCs w:val="22"/>
              </w:rPr>
              <w:t>(A-136, section II.4.5)</w:t>
            </w:r>
          </w:p>
        </w:tc>
        <w:tc>
          <w:tcPr>
            <w:tcW w:w="965" w:type="dxa"/>
          </w:tcPr>
          <w:p w14:paraId="54A6E7B1" w14:textId="77777777" w:rsidR="00B22634" w:rsidRPr="005B5418" w:rsidRDefault="00B22634" w:rsidP="008848DA">
            <w:pPr>
              <w:pStyle w:val="Table-Cell-CenterBoldBefore6ptAfter6pt"/>
              <w:spacing w:before="60" w:after="60"/>
            </w:pPr>
          </w:p>
        </w:tc>
        <w:tc>
          <w:tcPr>
            <w:tcW w:w="3211" w:type="dxa"/>
          </w:tcPr>
          <w:p w14:paraId="2213570E" w14:textId="77777777" w:rsidR="00B22634" w:rsidRPr="005B5418" w:rsidRDefault="00B22634" w:rsidP="008848DA">
            <w:pPr>
              <w:spacing w:before="60" w:after="60" w:line="240" w:lineRule="auto"/>
            </w:pPr>
          </w:p>
        </w:tc>
      </w:tr>
      <w:tr w:rsidR="00B22634" w:rsidRPr="005B5418" w14:paraId="42628375" w14:textId="77777777" w:rsidTr="0003094F">
        <w:trPr>
          <w:trHeight w:val="1178"/>
        </w:trPr>
        <w:tc>
          <w:tcPr>
            <w:tcW w:w="5400" w:type="dxa"/>
          </w:tcPr>
          <w:p w14:paraId="170BE4C2" w14:textId="79B6341C" w:rsidR="00B22634" w:rsidRPr="005B5418" w:rsidRDefault="00B22634" w:rsidP="00D04379">
            <w:pPr>
              <w:pStyle w:val="FAM-Table-outline"/>
              <w:widowControl/>
              <w:numPr>
                <w:ilvl w:val="0"/>
                <w:numId w:val="66"/>
              </w:numPr>
              <w:tabs>
                <w:tab w:val="num" w:pos="1512"/>
              </w:tabs>
              <w:adjustRightInd/>
              <w:spacing w:line="240" w:lineRule="auto"/>
              <w:textAlignment w:val="auto"/>
            </w:pPr>
            <w:r w:rsidRPr="005B5418">
              <w:rPr>
                <w:spacing w:val="-1"/>
                <w:szCs w:val="22"/>
              </w:rPr>
              <w:t xml:space="preserve">If an agency provides information to OMB for paymentaccuracy.gov, does the agency include </w:t>
            </w:r>
            <w:r w:rsidR="00D04379" w:rsidRPr="005B5418">
              <w:rPr>
                <w:rFonts w:cs="Arial"/>
                <w:spacing w:val="-1"/>
                <w:szCs w:val="22"/>
              </w:rPr>
              <w:t xml:space="preserve">references to supporting data on </w:t>
            </w:r>
            <w:hyperlink r:id="rId22" w:history="1">
              <w:r w:rsidR="00D04379" w:rsidRPr="005B5418">
                <w:rPr>
                  <w:rStyle w:val="Hyperlink"/>
                  <w:rFonts w:cs="Arial"/>
                  <w:szCs w:val="22"/>
                </w:rPr>
                <w:t>PaymentAccuracy.gov</w:t>
              </w:r>
            </w:hyperlink>
            <w:r w:rsidR="00D04379" w:rsidRPr="005B5418">
              <w:rPr>
                <w:rStyle w:val="Hyperlink"/>
                <w:rFonts w:cs="Arial"/>
                <w:szCs w:val="22"/>
              </w:rPr>
              <w:t xml:space="preserve"> </w:t>
            </w:r>
            <w:r w:rsidRPr="005B5418">
              <w:rPr>
                <w:spacing w:val="-1"/>
                <w:szCs w:val="22"/>
              </w:rPr>
              <w:t xml:space="preserve">in </w:t>
            </w:r>
            <w:r w:rsidR="00B17F4C" w:rsidRPr="005B5418">
              <w:rPr>
                <w:spacing w:val="-1"/>
                <w:szCs w:val="22"/>
              </w:rPr>
              <w:t xml:space="preserve">its </w:t>
            </w:r>
            <w:r w:rsidRPr="005B5418">
              <w:rPr>
                <w:spacing w:val="-1"/>
                <w:szCs w:val="22"/>
              </w:rPr>
              <w:t>AFR or PAR? (A-136, section II.4.5)</w:t>
            </w:r>
          </w:p>
        </w:tc>
        <w:tc>
          <w:tcPr>
            <w:tcW w:w="965" w:type="dxa"/>
          </w:tcPr>
          <w:p w14:paraId="3E53A38B" w14:textId="77777777" w:rsidR="00B22634" w:rsidRPr="005B5418" w:rsidRDefault="00B22634" w:rsidP="008848DA">
            <w:pPr>
              <w:pStyle w:val="Table-Cell-CenterBoldBefore6ptAfter6pt"/>
              <w:spacing w:before="60" w:after="60"/>
            </w:pPr>
          </w:p>
        </w:tc>
        <w:tc>
          <w:tcPr>
            <w:tcW w:w="3211" w:type="dxa"/>
          </w:tcPr>
          <w:p w14:paraId="29B5E6C3" w14:textId="77777777" w:rsidR="00B22634" w:rsidRPr="005B5418" w:rsidRDefault="00B22634" w:rsidP="008848DA">
            <w:pPr>
              <w:spacing w:before="60" w:after="60" w:line="240" w:lineRule="auto"/>
            </w:pPr>
          </w:p>
        </w:tc>
      </w:tr>
      <w:tr w:rsidR="00B22634" w:rsidRPr="005B5418" w14:paraId="253764D9" w14:textId="77777777" w:rsidTr="00E65E96">
        <w:trPr>
          <w:trHeight w:val="1205"/>
        </w:trPr>
        <w:tc>
          <w:tcPr>
            <w:tcW w:w="5400" w:type="dxa"/>
          </w:tcPr>
          <w:p w14:paraId="5859F752" w14:textId="43A7FBA5" w:rsidR="00F02DD9" w:rsidRPr="005B5418" w:rsidRDefault="00B22634" w:rsidP="00825C76">
            <w:pPr>
              <w:pStyle w:val="FAM-Table-outline"/>
              <w:widowControl/>
              <w:numPr>
                <w:ilvl w:val="0"/>
                <w:numId w:val="66"/>
              </w:numPr>
              <w:tabs>
                <w:tab w:val="num" w:pos="1512"/>
              </w:tabs>
              <w:adjustRightInd/>
              <w:spacing w:line="240" w:lineRule="auto"/>
              <w:textAlignment w:val="auto"/>
              <w:rPr>
                <w:spacing w:val="-1"/>
                <w:szCs w:val="22"/>
              </w:rPr>
            </w:pPr>
            <w:r w:rsidRPr="005B5418">
              <w:rPr>
                <w:szCs w:val="22"/>
              </w:rPr>
              <w:t xml:space="preserve">Does the entity include all information required by the Payment Integrity Information Act </w:t>
            </w:r>
            <w:r w:rsidR="007E2206" w:rsidRPr="005B5418">
              <w:rPr>
                <w:szCs w:val="22"/>
              </w:rPr>
              <w:t xml:space="preserve">of 2019 </w:t>
            </w:r>
            <w:r w:rsidRPr="005B5418">
              <w:rPr>
                <w:szCs w:val="22"/>
              </w:rPr>
              <w:t>in the information accompanying the financial statements (e.g., MD&amp;A or OI and/or paymentaccuracy.gov)?</w:t>
            </w:r>
            <w:r w:rsidR="00F02DD9" w:rsidRPr="005B5418">
              <w:rPr>
                <w:szCs w:val="22"/>
              </w:rPr>
              <w:t xml:space="preserve">   </w:t>
            </w:r>
          </w:p>
        </w:tc>
        <w:tc>
          <w:tcPr>
            <w:tcW w:w="965" w:type="dxa"/>
          </w:tcPr>
          <w:p w14:paraId="0E71DA23" w14:textId="77777777" w:rsidR="00B22634" w:rsidRPr="005B5418" w:rsidRDefault="00B22634" w:rsidP="008848DA">
            <w:pPr>
              <w:pStyle w:val="Table-Cell-CenterBoldBefore6ptAfter6pt"/>
              <w:spacing w:before="60" w:after="60"/>
            </w:pPr>
          </w:p>
        </w:tc>
        <w:tc>
          <w:tcPr>
            <w:tcW w:w="3211" w:type="dxa"/>
          </w:tcPr>
          <w:p w14:paraId="40CA1FEC" w14:textId="77777777" w:rsidR="00B22634" w:rsidRPr="005B5418" w:rsidRDefault="00B22634" w:rsidP="008848DA">
            <w:pPr>
              <w:spacing w:before="60" w:after="60" w:line="240" w:lineRule="auto"/>
            </w:pPr>
          </w:p>
        </w:tc>
      </w:tr>
      <w:tr w:rsidR="001E27C1" w:rsidRPr="005B5418" w14:paraId="369C8CDA" w14:textId="77777777" w:rsidTr="0003094F">
        <w:trPr>
          <w:trHeight w:val="1178"/>
        </w:trPr>
        <w:tc>
          <w:tcPr>
            <w:tcW w:w="5400" w:type="dxa"/>
          </w:tcPr>
          <w:p w14:paraId="59249094" w14:textId="668410C6" w:rsidR="001E27C1" w:rsidRPr="005B5418" w:rsidRDefault="001E27C1" w:rsidP="00A80DFB">
            <w:pPr>
              <w:pStyle w:val="FAM-Table-outline"/>
              <w:widowControl/>
              <w:numPr>
                <w:ilvl w:val="0"/>
                <w:numId w:val="66"/>
              </w:numPr>
              <w:tabs>
                <w:tab w:val="num" w:pos="1512"/>
              </w:tabs>
              <w:adjustRightInd/>
              <w:spacing w:line="240" w:lineRule="auto"/>
              <w:textAlignment w:val="auto"/>
              <w:rPr>
                <w:szCs w:val="22"/>
              </w:rPr>
            </w:pPr>
            <w:r w:rsidRPr="005B5418">
              <w:rPr>
                <w:szCs w:val="22"/>
              </w:rPr>
              <w:t xml:space="preserve">If an agency </w:t>
            </w:r>
            <w:r w:rsidR="00461F5D" w:rsidRPr="005B5418">
              <w:rPr>
                <w:szCs w:val="22"/>
              </w:rPr>
              <w:t>performs</w:t>
            </w:r>
            <w:r w:rsidRPr="005B5418">
              <w:rPr>
                <w:szCs w:val="22"/>
              </w:rPr>
              <w:t xml:space="preserve"> recovery audit</w:t>
            </w:r>
            <w:r w:rsidR="00461F5D" w:rsidRPr="005B5418">
              <w:rPr>
                <w:szCs w:val="22"/>
              </w:rPr>
              <w:t>s</w:t>
            </w:r>
            <w:r w:rsidR="00461F5D" w:rsidRPr="005B5418">
              <w:rPr>
                <w:rStyle w:val="FootnoteReference"/>
                <w:szCs w:val="22"/>
              </w:rPr>
              <w:footnoteReference w:id="285"/>
            </w:r>
            <w:r w:rsidR="00A80DFB" w:rsidRPr="005B5418">
              <w:rPr>
                <w:szCs w:val="22"/>
              </w:rPr>
              <w:t xml:space="preserve"> </w:t>
            </w:r>
            <w:r w:rsidRPr="005B5418">
              <w:rPr>
                <w:szCs w:val="22"/>
              </w:rPr>
              <w:t xml:space="preserve">and has received recommendations from their </w:t>
            </w:r>
            <w:r w:rsidR="00F05472" w:rsidRPr="005B5418">
              <w:rPr>
                <w:szCs w:val="22"/>
              </w:rPr>
              <w:t xml:space="preserve">recovery </w:t>
            </w:r>
            <w:r w:rsidRPr="005B5418">
              <w:rPr>
                <w:szCs w:val="22"/>
              </w:rPr>
              <w:t>audit</w:t>
            </w:r>
            <w:r w:rsidR="00461F5D" w:rsidRPr="005B5418">
              <w:rPr>
                <w:szCs w:val="22"/>
              </w:rPr>
              <w:t xml:space="preserve"> contract</w:t>
            </w:r>
            <w:r w:rsidRPr="005B5418">
              <w:rPr>
                <w:szCs w:val="22"/>
              </w:rPr>
              <w:t>or</w:t>
            </w:r>
            <w:r w:rsidR="004A40DA" w:rsidRPr="005B5418">
              <w:rPr>
                <w:szCs w:val="22"/>
              </w:rPr>
              <w:t xml:space="preserve"> regarding actions that can be taken to prevent overpayments</w:t>
            </w:r>
            <w:r w:rsidRPr="005B5418">
              <w:rPr>
                <w:szCs w:val="22"/>
              </w:rPr>
              <w:t xml:space="preserve">, does the </w:t>
            </w:r>
            <w:r w:rsidR="00461F5D" w:rsidRPr="005B5418">
              <w:rPr>
                <w:szCs w:val="22"/>
              </w:rPr>
              <w:t xml:space="preserve">agency </w:t>
            </w:r>
            <w:r w:rsidR="00BA079E" w:rsidRPr="005B5418">
              <w:rPr>
                <w:szCs w:val="22"/>
              </w:rPr>
              <w:t>report</w:t>
            </w:r>
            <w:r w:rsidR="00461F5D" w:rsidRPr="005B5418">
              <w:rPr>
                <w:szCs w:val="22"/>
              </w:rPr>
              <w:t xml:space="preserve"> on the </w:t>
            </w:r>
            <w:r w:rsidRPr="005B5418">
              <w:rPr>
                <w:szCs w:val="22"/>
              </w:rPr>
              <w:t>actions taken? (A-136, section II.4.5</w:t>
            </w:r>
            <w:r w:rsidR="00A80DFB" w:rsidRPr="005B5418">
              <w:rPr>
                <w:szCs w:val="22"/>
              </w:rPr>
              <w:t>)</w:t>
            </w:r>
          </w:p>
        </w:tc>
        <w:tc>
          <w:tcPr>
            <w:tcW w:w="965" w:type="dxa"/>
          </w:tcPr>
          <w:p w14:paraId="6ACB5CFF" w14:textId="77777777" w:rsidR="001E27C1" w:rsidRPr="005B5418" w:rsidRDefault="001E27C1" w:rsidP="008848DA">
            <w:pPr>
              <w:pStyle w:val="Table-Cell-CenterBoldBefore6ptAfter6pt"/>
              <w:spacing w:before="60" w:after="60"/>
            </w:pPr>
          </w:p>
        </w:tc>
        <w:tc>
          <w:tcPr>
            <w:tcW w:w="3211" w:type="dxa"/>
          </w:tcPr>
          <w:p w14:paraId="16BB9DAC" w14:textId="77777777" w:rsidR="001E27C1" w:rsidRPr="005B5418" w:rsidRDefault="001E27C1" w:rsidP="008848DA">
            <w:pPr>
              <w:spacing w:before="60" w:after="60" w:line="240" w:lineRule="auto"/>
            </w:pPr>
          </w:p>
        </w:tc>
      </w:tr>
      <w:tr w:rsidR="007E51E6" w:rsidRPr="005B5418" w14:paraId="68FB8DD1" w14:textId="77777777" w:rsidTr="0003094F">
        <w:trPr>
          <w:trHeight w:val="1178"/>
        </w:trPr>
        <w:tc>
          <w:tcPr>
            <w:tcW w:w="5400" w:type="dxa"/>
          </w:tcPr>
          <w:p w14:paraId="66E8F2D6" w14:textId="1A63057C" w:rsidR="007E51E6" w:rsidRPr="005B5418" w:rsidRDefault="007E51E6" w:rsidP="00A80DFB">
            <w:pPr>
              <w:pStyle w:val="FAM-Table-outline"/>
              <w:widowControl/>
              <w:numPr>
                <w:ilvl w:val="0"/>
                <w:numId w:val="66"/>
              </w:numPr>
              <w:tabs>
                <w:tab w:val="num" w:pos="1512"/>
              </w:tabs>
              <w:adjustRightInd/>
              <w:spacing w:line="240" w:lineRule="auto"/>
              <w:textAlignment w:val="auto"/>
              <w:rPr>
                <w:szCs w:val="22"/>
              </w:rPr>
            </w:pPr>
            <w:r w:rsidRPr="005B5418">
              <w:rPr>
                <w:szCs w:val="22"/>
              </w:rPr>
              <w:t>If an agency is found to be noncompliant with the Payment Integrity Information Act of 2019 criteria</w:t>
            </w:r>
            <w:r w:rsidR="0053370C">
              <w:rPr>
                <w:szCs w:val="22"/>
              </w:rPr>
              <w:t>,</w:t>
            </w:r>
            <w:r w:rsidRPr="005B5418">
              <w:rPr>
                <w:szCs w:val="22"/>
              </w:rPr>
              <w:t xml:space="preserve"> do</w:t>
            </w:r>
            <w:r w:rsidR="0053370C">
              <w:rPr>
                <w:szCs w:val="22"/>
              </w:rPr>
              <w:t>es</w:t>
            </w:r>
            <w:r w:rsidRPr="005B5418">
              <w:rPr>
                <w:szCs w:val="22"/>
              </w:rPr>
              <w:t xml:space="preserve"> </w:t>
            </w:r>
            <w:r w:rsidR="0053370C">
              <w:rPr>
                <w:szCs w:val="22"/>
              </w:rPr>
              <w:t>it</w:t>
            </w:r>
            <w:r w:rsidRPr="005B5418">
              <w:rPr>
                <w:szCs w:val="22"/>
              </w:rPr>
              <w:t xml:space="preserve"> state in </w:t>
            </w:r>
            <w:r w:rsidR="0053370C">
              <w:rPr>
                <w:szCs w:val="22"/>
              </w:rPr>
              <w:t>its</w:t>
            </w:r>
            <w:r w:rsidRPr="005B5418">
              <w:rPr>
                <w:szCs w:val="22"/>
              </w:rPr>
              <w:t xml:space="preserve"> AFR or PAR that agency plans to come into compliance are available on </w:t>
            </w:r>
            <w:hyperlink r:id="rId23" w:history="1">
              <w:r w:rsidRPr="005425ED">
                <w:rPr>
                  <w:rStyle w:val="Hyperlink"/>
                  <w:rFonts w:cs="Arial"/>
                </w:rPr>
                <w:t>PaymentAccuracy.gov</w:t>
              </w:r>
            </w:hyperlink>
            <w:r w:rsidRPr="005B5418">
              <w:rPr>
                <w:szCs w:val="22"/>
              </w:rPr>
              <w:t>? (A-136, section II.4.5)</w:t>
            </w:r>
          </w:p>
        </w:tc>
        <w:tc>
          <w:tcPr>
            <w:tcW w:w="965" w:type="dxa"/>
          </w:tcPr>
          <w:p w14:paraId="11B8D85B" w14:textId="77777777" w:rsidR="007E51E6" w:rsidRPr="005B5418" w:rsidRDefault="007E51E6" w:rsidP="008848DA">
            <w:pPr>
              <w:pStyle w:val="Table-Cell-CenterBoldBefore6ptAfter6pt"/>
              <w:spacing w:before="60" w:after="60"/>
            </w:pPr>
          </w:p>
        </w:tc>
        <w:tc>
          <w:tcPr>
            <w:tcW w:w="3211" w:type="dxa"/>
          </w:tcPr>
          <w:p w14:paraId="7B50E203" w14:textId="77777777" w:rsidR="007E51E6" w:rsidRPr="005B5418" w:rsidRDefault="007E51E6" w:rsidP="008848DA">
            <w:pPr>
              <w:spacing w:before="60" w:after="60" w:line="240" w:lineRule="auto"/>
            </w:pPr>
          </w:p>
        </w:tc>
      </w:tr>
    </w:tbl>
    <w:p w14:paraId="2ED457F8" w14:textId="3000D31C" w:rsidR="00371E29" w:rsidRPr="005B5418" w:rsidRDefault="00371E29" w:rsidP="003B61E9">
      <w:pPr>
        <w:spacing w:line="240" w:lineRule="auto"/>
        <w:rPr>
          <w:rFonts w:cs="Arial"/>
        </w:rPr>
      </w:pPr>
    </w:p>
    <w:p w14:paraId="2AAFA467" w14:textId="4B25812E" w:rsidR="00AA4B29" w:rsidRPr="005B5418" w:rsidRDefault="00AA4B29" w:rsidP="003B61E9">
      <w:pPr>
        <w:spacing w:line="240" w:lineRule="auto"/>
        <w:rPr>
          <w:rFonts w:cs="Arial"/>
        </w:rPr>
      </w:pPr>
    </w:p>
    <w:p w14:paraId="78D99F12" w14:textId="7E822C2B" w:rsidR="00A80DFB" w:rsidRPr="005B5418" w:rsidRDefault="00A80DFB" w:rsidP="003B61E9">
      <w:pPr>
        <w:spacing w:line="240" w:lineRule="auto"/>
        <w:rPr>
          <w:rFonts w:cs="Arial"/>
        </w:rPr>
      </w:pPr>
    </w:p>
    <w:p w14:paraId="0600E245" w14:textId="70E2E6DA" w:rsidR="00AA4309" w:rsidRPr="005B5418" w:rsidRDefault="00AA4309" w:rsidP="003B61E9">
      <w:pPr>
        <w:spacing w:line="240" w:lineRule="auto"/>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9915C3" w:rsidRPr="005B5418" w14:paraId="2A5C5A66" w14:textId="77777777" w:rsidTr="007E68E2">
        <w:trPr>
          <w:tblHeader/>
        </w:trPr>
        <w:tc>
          <w:tcPr>
            <w:tcW w:w="5400" w:type="dxa"/>
          </w:tcPr>
          <w:p w14:paraId="233F9798" w14:textId="160F415E" w:rsidR="009915C3" w:rsidRPr="005B5418" w:rsidRDefault="009915C3" w:rsidP="008848DA">
            <w:pPr>
              <w:pStyle w:val="Heading4"/>
              <w:spacing w:before="60" w:after="60" w:line="240" w:lineRule="auto"/>
              <w:jc w:val="left"/>
              <w:rPr>
                <w:b/>
                <w:u w:val="none"/>
              </w:rPr>
            </w:pPr>
            <w:bookmarkStart w:id="286" w:name="_II.4.6_Other_Agency-Specific"/>
            <w:bookmarkStart w:id="287" w:name="_Ref8657650"/>
            <w:bookmarkEnd w:id="286"/>
            <w:r w:rsidRPr="005B5418">
              <w:rPr>
                <w:b/>
                <w:u w:val="none"/>
              </w:rPr>
              <w:lastRenderedPageBreak/>
              <w:t>II.4.</w:t>
            </w:r>
            <w:r w:rsidR="008B471B" w:rsidRPr="005B5418">
              <w:rPr>
                <w:b/>
                <w:u w:val="none"/>
              </w:rPr>
              <w:t xml:space="preserve">6 </w:t>
            </w:r>
            <w:r w:rsidRPr="005B5418">
              <w:rPr>
                <w:b/>
                <w:u w:val="none"/>
              </w:rPr>
              <w:t>Other Agency-</w:t>
            </w:r>
            <w:r w:rsidR="00542130" w:rsidRPr="005B5418">
              <w:rPr>
                <w:b/>
                <w:u w:val="none"/>
              </w:rPr>
              <w:t xml:space="preserve">Specific </w:t>
            </w:r>
            <w:r w:rsidRPr="005B5418">
              <w:rPr>
                <w:b/>
                <w:u w:val="none"/>
              </w:rPr>
              <w:t>Statutorily Required Reports</w:t>
            </w:r>
            <w:bookmarkEnd w:id="287"/>
          </w:p>
        </w:tc>
        <w:tc>
          <w:tcPr>
            <w:tcW w:w="965" w:type="dxa"/>
          </w:tcPr>
          <w:p w14:paraId="59A7552B" w14:textId="77777777" w:rsidR="009915C3" w:rsidRPr="005B5418" w:rsidRDefault="009915C3" w:rsidP="008848DA">
            <w:pPr>
              <w:pStyle w:val="TableCellCenter"/>
              <w:spacing w:before="60" w:after="60"/>
              <w:jc w:val="left"/>
            </w:pPr>
            <w:r w:rsidRPr="005B5418">
              <w:t>Yes, No, or N/A</w:t>
            </w:r>
          </w:p>
        </w:tc>
        <w:tc>
          <w:tcPr>
            <w:tcW w:w="3211" w:type="dxa"/>
          </w:tcPr>
          <w:p w14:paraId="037B403F" w14:textId="14E2F231" w:rsidR="009915C3" w:rsidRPr="005B5418" w:rsidRDefault="009915C3" w:rsidP="008848DA">
            <w:pPr>
              <w:pStyle w:val="TableCellCenter"/>
              <w:spacing w:before="60" w:after="60"/>
              <w:jc w:val="left"/>
            </w:pPr>
            <w:r w:rsidRPr="005B5418">
              <w:t xml:space="preserve">Explanation </w:t>
            </w:r>
            <w:r w:rsidR="00542130" w:rsidRPr="005B5418">
              <w:t>and</w:t>
            </w:r>
            <w:r w:rsidRPr="005B5418">
              <w:t xml:space="preserve"> Reference</w:t>
            </w:r>
          </w:p>
        </w:tc>
      </w:tr>
      <w:tr w:rsidR="009915C3" w:rsidRPr="005B5418" w14:paraId="62B3C58C" w14:textId="77777777" w:rsidTr="007E68E2">
        <w:trPr>
          <w:trHeight w:val="1457"/>
        </w:trPr>
        <w:tc>
          <w:tcPr>
            <w:tcW w:w="5400" w:type="dxa"/>
          </w:tcPr>
          <w:p w14:paraId="3404C6A9" w14:textId="65631E97" w:rsidR="009915C3" w:rsidRPr="005B5418" w:rsidRDefault="009915C3" w:rsidP="00722A56">
            <w:pPr>
              <w:pStyle w:val="FAM-Table-outline"/>
              <w:widowControl/>
              <w:numPr>
                <w:ilvl w:val="0"/>
                <w:numId w:val="40"/>
              </w:numPr>
              <w:tabs>
                <w:tab w:val="num" w:pos="792"/>
              </w:tabs>
              <w:adjustRightInd/>
              <w:spacing w:line="240" w:lineRule="auto"/>
              <w:textAlignment w:val="auto"/>
            </w:pPr>
            <w:r w:rsidRPr="005B5418">
              <w:t xml:space="preserve">Does the entity disclose </w:t>
            </w:r>
            <w:r w:rsidR="00D363F1" w:rsidRPr="005B5418">
              <w:t xml:space="preserve">any </w:t>
            </w:r>
            <w:r w:rsidRPr="005B5418">
              <w:t xml:space="preserve">statutorily required reports pertaining to financial or performance management </w:t>
            </w:r>
            <w:r w:rsidR="00100217" w:rsidRPr="005B5418">
              <w:t>after</w:t>
            </w:r>
            <w:r w:rsidRPr="005B5418">
              <w:t xml:space="preserve"> consultation with OMB and Congress? (A-136, section II.4.</w:t>
            </w:r>
            <w:r w:rsidR="008B471B" w:rsidRPr="005B5418">
              <w:t>6</w:t>
            </w:r>
            <w:r w:rsidRPr="005B5418">
              <w:t>)</w:t>
            </w:r>
          </w:p>
        </w:tc>
        <w:tc>
          <w:tcPr>
            <w:tcW w:w="965" w:type="dxa"/>
          </w:tcPr>
          <w:p w14:paraId="3645FF70" w14:textId="77777777" w:rsidR="009915C3" w:rsidRPr="005B5418" w:rsidRDefault="009915C3" w:rsidP="008848DA">
            <w:pPr>
              <w:pStyle w:val="Table-Cell-CenterBoldBefore6ptAfter6pt"/>
              <w:spacing w:before="60" w:after="60"/>
            </w:pPr>
          </w:p>
        </w:tc>
        <w:tc>
          <w:tcPr>
            <w:tcW w:w="3211" w:type="dxa"/>
          </w:tcPr>
          <w:p w14:paraId="36652E73" w14:textId="77777777" w:rsidR="009915C3" w:rsidRPr="005B5418" w:rsidRDefault="009915C3" w:rsidP="008848DA">
            <w:pPr>
              <w:spacing w:before="60" w:after="60" w:line="240" w:lineRule="auto"/>
            </w:pPr>
          </w:p>
        </w:tc>
      </w:tr>
    </w:tbl>
    <w:p w14:paraId="78DF58A6" w14:textId="306E9B5E" w:rsidR="00725E82" w:rsidRPr="005B5418" w:rsidRDefault="00725E82"/>
    <w:p w14:paraId="1E4B297C" w14:textId="77777777" w:rsidR="00725E82" w:rsidRPr="005B5418" w:rsidRDefault="00725E82">
      <w:r w:rsidRPr="005B5418">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E2427E" w:rsidRPr="005B5418" w14:paraId="05E5F7CE" w14:textId="77777777" w:rsidTr="007E68E2">
        <w:trPr>
          <w:tblHeader/>
        </w:trPr>
        <w:tc>
          <w:tcPr>
            <w:tcW w:w="5400" w:type="dxa"/>
          </w:tcPr>
          <w:p w14:paraId="25AE688C" w14:textId="77777777" w:rsidR="00E2427E" w:rsidRPr="005B5418" w:rsidRDefault="00E2427E" w:rsidP="008848DA">
            <w:pPr>
              <w:pStyle w:val="Heading4"/>
              <w:spacing w:before="60" w:after="60" w:line="240" w:lineRule="auto"/>
              <w:jc w:val="left"/>
              <w:rPr>
                <w:b/>
                <w:szCs w:val="24"/>
                <w:u w:val="none"/>
              </w:rPr>
            </w:pPr>
            <w:bookmarkStart w:id="288" w:name="_II.4.7_Civil_Monetary"/>
            <w:bookmarkStart w:id="289" w:name="_Ref8657662"/>
            <w:bookmarkEnd w:id="288"/>
            <w:r w:rsidRPr="005B5418">
              <w:rPr>
                <w:b/>
                <w:szCs w:val="24"/>
                <w:u w:val="none"/>
              </w:rPr>
              <w:lastRenderedPageBreak/>
              <w:t>II.4.</w:t>
            </w:r>
            <w:r w:rsidR="00FD19DE" w:rsidRPr="005B5418">
              <w:rPr>
                <w:b/>
                <w:szCs w:val="24"/>
                <w:u w:val="none"/>
              </w:rPr>
              <w:t xml:space="preserve">7 </w:t>
            </w:r>
            <w:r w:rsidRPr="005B5418">
              <w:rPr>
                <w:b/>
                <w:szCs w:val="24"/>
                <w:u w:val="none"/>
              </w:rPr>
              <w:t>Civil Monetary Penalties Adjustment for Inflation</w:t>
            </w:r>
            <w:bookmarkEnd w:id="289"/>
          </w:p>
        </w:tc>
        <w:tc>
          <w:tcPr>
            <w:tcW w:w="965" w:type="dxa"/>
          </w:tcPr>
          <w:p w14:paraId="2EED90C9" w14:textId="77777777" w:rsidR="00E2427E" w:rsidRPr="005B5418" w:rsidRDefault="00E2427E" w:rsidP="008848DA">
            <w:pPr>
              <w:pStyle w:val="TableCellCenter"/>
              <w:spacing w:before="60" w:after="60"/>
              <w:jc w:val="left"/>
              <w:rPr>
                <w:szCs w:val="22"/>
              </w:rPr>
            </w:pPr>
            <w:r w:rsidRPr="005B5418">
              <w:rPr>
                <w:szCs w:val="22"/>
              </w:rPr>
              <w:t>Yes, No, or N/A</w:t>
            </w:r>
          </w:p>
        </w:tc>
        <w:tc>
          <w:tcPr>
            <w:tcW w:w="3211" w:type="dxa"/>
          </w:tcPr>
          <w:p w14:paraId="6AD84542" w14:textId="2C1C0CA2" w:rsidR="00E2427E" w:rsidRPr="005B5418" w:rsidRDefault="00E2427E" w:rsidP="008848DA">
            <w:pPr>
              <w:pStyle w:val="TableCellCenter"/>
              <w:spacing w:before="60" w:after="60"/>
              <w:jc w:val="left"/>
              <w:rPr>
                <w:szCs w:val="22"/>
              </w:rPr>
            </w:pPr>
            <w:r w:rsidRPr="005B5418">
              <w:rPr>
                <w:szCs w:val="22"/>
              </w:rPr>
              <w:t xml:space="preserve">Explanation </w:t>
            </w:r>
            <w:r w:rsidR="00542130" w:rsidRPr="005B5418">
              <w:rPr>
                <w:szCs w:val="22"/>
              </w:rPr>
              <w:t>and</w:t>
            </w:r>
            <w:r w:rsidRPr="005B5418">
              <w:rPr>
                <w:szCs w:val="22"/>
              </w:rPr>
              <w:t xml:space="preserve"> Reference</w:t>
            </w:r>
          </w:p>
        </w:tc>
      </w:tr>
      <w:tr w:rsidR="00E2427E" w:rsidRPr="005B5418" w14:paraId="245D3DE8" w14:textId="77777777" w:rsidTr="0038293D">
        <w:tc>
          <w:tcPr>
            <w:tcW w:w="9576" w:type="dxa"/>
            <w:gridSpan w:val="3"/>
          </w:tcPr>
          <w:p w14:paraId="62605301" w14:textId="44EDA7A4" w:rsidR="00E2427E" w:rsidRPr="005B5418" w:rsidRDefault="00E2427E" w:rsidP="008848DA">
            <w:pPr>
              <w:pStyle w:val="Table-Note"/>
              <w:spacing w:before="60" w:after="60" w:line="240" w:lineRule="auto"/>
              <w:ind w:left="-35"/>
              <w:jc w:val="left"/>
              <w:rPr>
                <w:i w:val="0"/>
                <w:sz w:val="22"/>
                <w:szCs w:val="22"/>
              </w:rPr>
            </w:pPr>
            <w:r w:rsidRPr="005B5418">
              <w:rPr>
                <w:i w:val="0"/>
                <w:sz w:val="22"/>
                <w:szCs w:val="22"/>
              </w:rPr>
              <w:t>Under the Federal Civil Penalties Inflation Adjustment Act Improvements Act of 2015, agencies must make annual inflation adjustments to civil monetary penalties and report on the adjustments in their AFR</w:t>
            </w:r>
            <w:r w:rsidR="00542130" w:rsidRPr="005B5418">
              <w:rPr>
                <w:i w:val="0"/>
                <w:sz w:val="22"/>
                <w:szCs w:val="22"/>
              </w:rPr>
              <w:t>s</w:t>
            </w:r>
            <w:r w:rsidRPr="005B5418">
              <w:rPr>
                <w:i w:val="0"/>
                <w:sz w:val="22"/>
                <w:szCs w:val="22"/>
              </w:rPr>
              <w:t xml:space="preserve"> or PAR</w:t>
            </w:r>
            <w:r w:rsidR="00542130" w:rsidRPr="005B5418">
              <w:rPr>
                <w:i w:val="0"/>
                <w:sz w:val="22"/>
                <w:szCs w:val="22"/>
              </w:rPr>
              <w:t>s</w:t>
            </w:r>
            <w:r w:rsidRPr="005B5418">
              <w:rPr>
                <w:i w:val="0"/>
                <w:sz w:val="22"/>
                <w:szCs w:val="22"/>
              </w:rPr>
              <w:t>. (A-136, section II.4.</w:t>
            </w:r>
            <w:r w:rsidR="00FD19DE" w:rsidRPr="005B5418">
              <w:rPr>
                <w:i w:val="0"/>
                <w:sz w:val="22"/>
                <w:szCs w:val="22"/>
              </w:rPr>
              <w:t>7</w:t>
            </w:r>
            <w:r w:rsidRPr="005B5418">
              <w:rPr>
                <w:i w:val="0"/>
                <w:sz w:val="22"/>
                <w:szCs w:val="22"/>
              </w:rPr>
              <w:t>)</w:t>
            </w:r>
          </w:p>
        </w:tc>
      </w:tr>
      <w:tr w:rsidR="00622443" w:rsidRPr="005B5418" w14:paraId="04062509" w14:textId="77777777" w:rsidTr="0038293D">
        <w:trPr>
          <w:trHeight w:val="1439"/>
        </w:trPr>
        <w:tc>
          <w:tcPr>
            <w:tcW w:w="5400" w:type="dxa"/>
          </w:tcPr>
          <w:p w14:paraId="281CC061" w14:textId="70C19E96" w:rsidR="00622443" w:rsidRPr="005B5418" w:rsidRDefault="00622443" w:rsidP="008576FA">
            <w:pPr>
              <w:pStyle w:val="FAM-Table-outline"/>
              <w:widowControl/>
              <w:numPr>
                <w:ilvl w:val="0"/>
                <w:numId w:val="41"/>
              </w:numPr>
              <w:adjustRightInd/>
              <w:spacing w:line="240" w:lineRule="auto"/>
              <w:textAlignment w:val="auto"/>
              <w:rPr>
                <w:szCs w:val="22"/>
              </w:rPr>
            </w:pPr>
            <w:r w:rsidRPr="005B5418">
              <w:rPr>
                <w:szCs w:val="22"/>
              </w:rPr>
              <w:t>Is this topic applicable to the</w:t>
            </w:r>
            <w:r w:rsidR="008576FA" w:rsidRPr="005B5418">
              <w:rPr>
                <w:szCs w:val="22"/>
              </w:rPr>
              <w:t xml:space="preserve"> reporting entity</w:t>
            </w:r>
            <w:r w:rsidRPr="005B5418">
              <w:rPr>
                <w:szCs w:val="22"/>
              </w:rPr>
              <w:t>? (Answer Y if applicable, N/A if not applicable, or N/S if not significant. If N/A or N/S, skip to the next topic</w:t>
            </w:r>
            <w:r w:rsidR="00542130" w:rsidRPr="005B5418">
              <w:rPr>
                <w:szCs w:val="22"/>
              </w:rPr>
              <w:t>.</w:t>
            </w:r>
            <w:r w:rsidRPr="005B5418">
              <w:rPr>
                <w:szCs w:val="22"/>
              </w:rPr>
              <w:t>)</w:t>
            </w:r>
          </w:p>
        </w:tc>
        <w:tc>
          <w:tcPr>
            <w:tcW w:w="965" w:type="dxa"/>
          </w:tcPr>
          <w:p w14:paraId="720D0D92" w14:textId="77777777" w:rsidR="00622443" w:rsidRPr="005B5418" w:rsidRDefault="00622443" w:rsidP="008848DA">
            <w:pPr>
              <w:pStyle w:val="Table-Cell-CenterBoldBefore6ptAfter6pt"/>
              <w:spacing w:before="60" w:after="60"/>
              <w:rPr>
                <w:szCs w:val="22"/>
              </w:rPr>
            </w:pPr>
          </w:p>
        </w:tc>
        <w:tc>
          <w:tcPr>
            <w:tcW w:w="3211" w:type="dxa"/>
          </w:tcPr>
          <w:p w14:paraId="79CE8D0D" w14:textId="77777777" w:rsidR="00622443" w:rsidRPr="005B5418" w:rsidRDefault="00622443" w:rsidP="008848DA">
            <w:pPr>
              <w:spacing w:before="60" w:after="60" w:line="240" w:lineRule="auto"/>
            </w:pPr>
          </w:p>
        </w:tc>
      </w:tr>
      <w:tr w:rsidR="00E2427E" w:rsidRPr="005B5418" w14:paraId="32AF302F" w14:textId="77777777" w:rsidTr="0038293D">
        <w:trPr>
          <w:trHeight w:val="1439"/>
        </w:trPr>
        <w:tc>
          <w:tcPr>
            <w:tcW w:w="5400" w:type="dxa"/>
          </w:tcPr>
          <w:p w14:paraId="7AC780BD" w14:textId="6CDE0A9E" w:rsidR="00E2427E" w:rsidRPr="005B5418" w:rsidRDefault="00E2427E" w:rsidP="00825C76">
            <w:pPr>
              <w:pStyle w:val="FAM-Table-outline"/>
              <w:widowControl/>
              <w:numPr>
                <w:ilvl w:val="0"/>
                <w:numId w:val="41"/>
              </w:numPr>
              <w:adjustRightInd/>
              <w:spacing w:line="240" w:lineRule="auto"/>
              <w:textAlignment w:val="auto"/>
              <w:rPr>
                <w:szCs w:val="22"/>
              </w:rPr>
            </w:pPr>
            <w:r w:rsidRPr="005B5418">
              <w:rPr>
                <w:szCs w:val="22"/>
              </w:rPr>
              <w:t xml:space="preserve">Does the entity include, as OI, information about civil monetary penalties within their jurisdiction and the annual inflation adjustments made under the </w:t>
            </w:r>
            <w:r w:rsidR="00542130" w:rsidRPr="005B5418">
              <w:rPr>
                <w:szCs w:val="22"/>
              </w:rPr>
              <w:t>Federal Civil Penalties Inflation Adjustment Act Improvements Act of 2015</w:t>
            </w:r>
            <w:r w:rsidR="0033242E" w:rsidRPr="005B5418">
              <w:rPr>
                <w:szCs w:val="22"/>
              </w:rPr>
              <w:t>?</w:t>
            </w:r>
            <w:r w:rsidRPr="005B5418">
              <w:rPr>
                <w:rStyle w:val="FootnoteReference"/>
                <w:szCs w:val="22"/>
              </w:rPr>
              <w:footnoteReference w:id="286"/>
            </w:r>
            <w:r w:rsidRPr="005B5418">
              <w:rPr>
                <w:szCs w:val="22"/>
              </w:rPr>
              <w:t xml:space="preserve"> (A-136, section II.4.</w:t>
            </w:r>
            <w:r w:rsidR="00FD19DE" w:rsidRPr="005B5418">
              <w:rPr>
                <w:szCs w:val="22"/>
              </w:rPr>
              <w:t>7</w:t>
            </w:r>
            <w:r w:rsidRPr="005B5418">
              <w:rPr>
                <w:szCs w:val="22"/>
              </w:rPr>
              <w:t>)</w:t>
            </w:r>
          </w:p>
        </w:tc>
        <w:tc>
          <w:tcPr>
            <w:tcW w:w="965" w:type="dxa"/>
          </w:tcPr>
          <w:p w14:paraId="52A2D4E2" w14:textId="77777777" w:rsidR="00E2427E" w:rsidRPr="005B5418" w:rsidRDefault="00E2427E" w:rsidP="008848DA">
            <w:pPr>
              <w:pStyle w:val="Table-Cell-CenterBoldBefore6ptAfter6pt"/>
              <w:spacing w:before="60" w:after="60"/>
              <w:rPr>
                <w:szCs w:val="22"/>
              </w:rPr>
            </w:pPr>
          </w:p>
        </w:tc>
        <w:tc>
          <w:tcPr>
            <w:tcW w:w="3211" w:type="dxa"/>
          </w:tcPr>
          <w:p w14:paraId="4BCDD69D" w14:textId="77777777" w:rsidR="00E2427E" w:rsidRPr="005B5418" w:rsidRDefault="00E2427E" w:rsidP="008848DA">
            <w:pPr>
              <w:spacing w:before="60" w:after="60" w:line="240" w:lineRule="auto"/>
            </w:pPr>
          </w:p>
        </w:tc>
      </w:tr>
      <w:tr w:rsidR="00E2427E" w:rsidRPr="005B5418" w14:paraId="388D5D6E" w14:textId="77777777" w:rsidTr="0038293D">
        <w:trPr>
          <w:trHeight w:val="2160"/>
        </w:trPr>
        <w:tc>
          <w:tcPr>
            <w:tcW w:w="5400" w:type="dxa"/>
          </w:tcPr>
          <w:p w14:paraId="05D84B2D" w14:textId="6BB8F99C" w:rsidR="00E2427E" w:rsidRPr="005B5418" w:rsidRDefault="00E2427E" w:rsidP="00825C76">
            <w:pPr>
              <w:pStyle w:val="FAM-Table-outline"/>
              <w:widowControl/>
              <w:numPr>
                <w:ilvl w:val="0"/>
                <w:numId w:val="41"/>
              </w:numPr>
              <w:adjustRightInd/>
              <w:spacing w:line="240" w:lineRule="auto"/>
              <w:textAlignment w:val="auto"/>
              <w:rPr>
                <w:szCs w:val="22"/>
              </w:rPr>
            </w:pPr>
            <w:r w:rsidRPr="005B5418">
              <w:rPr>
                <w:szCs w:val="22"/>
              </w:rPr>
              <w:t>Although not required</w:t>
            </w:r>
            <w:r w:rsidR="00BD6B67" w:rsidRPr="005B5418">
              <w:rPr>
                <w:szCs w:val="22"/>
              </w:rPr>
              <w:t xml:space="preserve"> to do so</w:t>
            </w:r>
            <w:r w:rsidRPr="005B5418">
              <w:rPr>
                <w:szCs w:val="22"/>
              </w:rPr>
              <w:t>, does the entity report information in a table</w:t>
            </w:r>
            <w:r w:rsidR="0086479B" w:rsidRPr="005B5418">
              <w:rPr>
                <w:rStyle w:val="FootnoteReference"/>
                <w:szCs w:val="22"/>
              </w:rPr>
              <w:footnoteReference w:id="287"/>
            </w:r>
            <w:r w:rsidRPr="005B5418">
              <w:rPr>
                <w:szCs w:val="22"/>
              </w:rPr>
              <w:t xml:space="preserve"> and include in the </w:t>
            </w:r>
            <w:r w:rsidR="00BD6B67" w:rsidRPr="005B5418">
              <w:rPr>
                <w:szCs w:val="22"/>
              </w:rPr>
              <w:t>OI</w:t>
            </w:r>
          </w:p>
          <w:p w14:paraId="55C8B77E" w14:textId="441CA621" w:rsidR="00E2427E" w:rsidRPr="005B5418" w:rsidRDefault="00E2427E" w:rsidP="0091674B">
            <w:pPr>
              <w:pStyle w:val="FAM-Table-outline2"/>
              <w:widowControl/>
              <w:numPr>
                <w:ilvl w:val="1"/>
                <w:numId w:val="41"/>
              </w:numPr>
              <w:adjustRightInd/>
              <w:spacing w:line="240" w:lineRule="auto"/>
              <w:ind w:left="1045" w:hanging="360"/>
              <w:textAlignment w:val="auto"/>
              <w:rPr>
                <w:szCs w:val="22"/>
              </w:rPr>
            </w:pPr>
            <w:r w:rsidRPr="005B5418">
              <w:rPr>
                <w:szCs w:val="22"/>
              </w:rPr>
              <w:t>name of penalty</w:t>
            </w:r>
            <w:r w:rsidR="00012A89" w:rsidRPr="005B5418">
              <w:rPr>
                <w:szCs w:val="22"/>
              </w:rPr>
              <w:t xml:space="preserve"> and description</w:t>
            </w:r>
            <w:r w:rsidR="00BD6B67" w:rsidRPr="005B5418">
              <w:rPr>
                <w:szCs w:val="22"/>
              </w:rPr>
              <w:t>,</w:t>
            </w:r>
          </w:p>
          <w:p w14:paraId="103434D1" w14:textId="6720D607" w:rsidR="00E2427E" w:rsidRPr="005B5418" w:rsidRDefault="00E2427E" w:rsidP="0091674B">
            <w:pPr>
              <w:pStyle w:val="FAM-Table-outline2"/>
              <w:widowControl/>
              <w:numPr>
                <w:ilvl w:val="1"/>
                <w:numId w:val="41"/>
              </w:numPr>
              <w:adjustRightInd/>
              <w:spacing w:line="240" w:lineRule="auto"/>
              <w:ind w:left="1045" w:hanging="360"/>
              <w:textAlignment w:val="auto"/>
              <w:rPr>
                <w:szCs w:val="22"/>
              </w:rPr>
            </w:pPr>
            <w:r w:rsidRPr="005B5418">
              <w:rPr>
                <w:szCs w:val="22"/>
              </w:rPr>
              <w:t>authority (statute)</w:t>
            </w:r>
            <w:r w:rsidR="00BD6B67" w:rsidRPr="005B5418">
              <w:rPr>
                <w:szCs w:val="22"/>
              </w:rPr>
              <w:t>,</w:t>
            </w:r>
          </w:p>
          <w:p w14:paraId="3DDAF9D0" w14:textId="30B27F9E" w:rsidR="00E2427E" w:rsidRPr="005B5418" w:rsidRDefault="00E2427E" w:rsidP="0091674B">
            <w:pPr>
              <w:pStyle w:val="FAM-Table-outline2"/>
              <w:widowControl/>
              <w:numPr>
                <w:ilvl w:val="1"/>
                <w:numId w:val="41"/>
              </w:numPr>
              <w:adjustRightInd/>
              <w:spacing w:line="240" w:lineRule="auto"/>
              <w:ind w:left="1045" w:hanging="360"/>
              <w:textAlignment w:val="auto"/>
              <w:rPr>
                <w:szCs w:val="22"/>
              </w:rPr>
            </w:pPr>
            <w:r w:rsidRPr="005B5418">
              <w:rPr>
                <w:szCs w:val="22"/>
              </w:rPr>
              <w:t>year enacted</w:t>
            </w:r>
            <w:r w:rsidR="00BD6B67" w:rsidRPr="005B5418">
              <w:rPr>
                <w:szCs w:val="22"/>
              </w:rPr>
              <w:t>,</w:t>
            </w:r>
          </w:p>
          <w:p w14:paraId="14AE69C5" w14:textId="55C5E682" w:rsidR="00E2427E" w:rsidRPr="005B5418" w:rsidRDefault="00E2427E" w:rsidP="0091674B">
            <w:pPr>
              <w:pStyle w:val="FAM-Table-outline2"/>
              <w:widowControl/>
              <w:numPr>
                <w:ilvl w:val="1"/>
                <w:numId w:val="41"/>
              </w:numPr>
              <w:adjustRightInd/>
              <w:spacing w:line="240" w:lineRule="auto"/>
              <w:ind w:left="1045" w:hanging="360"/>
              <w:textAlignment w:val="auto"/>
              <w:rPr>
                <w:szCs w:val="22"/>
              </w:rPr>
            </w:pPr>
            <w:r w:rsidRPr="005B5418">
              <w:rPr>
                <w:szCs w:val="22"/>
              </w:rPr>
              <w:t>latest year of adjustment</w:t>
            </w:r>
            <w:r w:rsidR="00BD6B67" w:rsidRPr="005B5418">
              <w:rPr>
                <w:szCs w:val="22"/>
              </w:rPr>
              <w:t>,</w:t>
            </w:r>
          </w:p>
          <w:p w14:paraId="021C6FCE" w14:textId="1C6E4B97" w:rsidR="00E2427E" w:rsidRPr="005B5418" w:rsidRDefault="00E2427E" w:rsidP="0091674B">
            <w:pPr>
              <w:pStyle w:val="FAM-Table-outline2"/>
              <w:widowControl/>
              <w:numPr>
                <w:ilvl w:val="1"/>
                <w:numId w:val="41"/>
              </w:numPr>
              <w:adjustRightInd/>
              <w:spacing w:line="240" w:lineRule="auto"/>
              <w:ind w:left="1045" w:hanging="360"/>
              <w:textAlignment w:val="auto"/>
              <w:rPr>
                <w:szCs w:val="22"/>
              </w:rPr>
            </w:pPr>
            <w:r w:rsidRPr="005B5418">
              <w:rPr>
                <w:szCs w:val="22"/>
              </w:rPr>
              <w:t>current penalty</w:t>
            </w:r>
            <w:r w:rsidR="00BD6B67" w:rsidRPr="005B5418">
              <w:rPr>
                <w:szCs w:val="22"/>
              </w:rPr>
              <w:t>,</w:t>
            </w:r>
            <w:r w:rsidRPr="005B5418">
              <w:rPr>
                <w:szCs w:val="22"/>
              </w:rPr>
              <w:t xml:space="preserve"> and</w:t>
            </w:r>
          </w:p>
          <w:p w14:paraId="17F9DF05" w14:textId="2E56A2CE" w:rsidR="00E2427E" w:rsidRPr="005B5418" w:rsidRDefault="00E2427E" w:rsidP="0091674B">
            <w:pPr>
              <w:pStyle w:val="FAM-Table-outline2"/>
              <w:widowControl/>
              <w:numPr>
                <w:ilvl w:val="1"/>
                <w:numId w:val="41"/>
              </w:numPr>
              <w:adjustRightInd/>
              <w:spacing w:line="240" w:lineRule="auto"/>
              <w:ind w:left="1045" w:hanging="360"/>
              <w:textAlignment w:val="auto"/>
              <w:rPr>
                <w:szCs w:val="22"/>
              </w:rPr>
            </w:pPr>
            <w:r w:rsidRPr="005B5418">
              <w:rPr>
                <w:szCs w:val="22"/>
              </w:rPr>
              <w:t>location for penalty update details?</w:t>
            </w:r>
            <w:r w:rsidRPr="005B5418">
              <w:rPr>
                <w:szCs w:val="22"/>
              </w:rPr>
              <w:br/>
              <w:t>(A-136, section II.4.</w:t>
            </w:r>
            <w:r w:rsidR="00FD19DE" w:rsidRPr="005B5418">
              <w:rPr>
                <w:szCs w:val="22"/>
              </w:rPr>
              <w:t>7</w:t>
            </w:r>
            <w:r w:rsidRPr="005B5418">
              <w:rPr>
                <w:szCs w:val="22"/>
              </w:rPr>
              <w:t>)</w:t>
            </w:r>
          </w:p>
        </w:tc>
        <w:tc>
          <w:tcPr>
            <w:tcW w:w="965" w:type="dxa"/>
          </w:tcPr>
          <w:p w14:paraId="67ED8A99" w14:textId="77777777" w:rsidR="00E2427E" w:rsidRPr="005B5418" w:rsidRDefault="00E2427E" w:rsidP="008848DA">
            <w:pPr>
              <w:pStyle w:val="Table-Cell-CenterBoldBefore6ptAfter6pt"/>
              <w:spacing w:before="60" w:after="60"/>
              <w:rPr>
                <w:szCs w:val="22"/>
              </w:rPr>
            </w:pPr>
          </w:p>
        </w:tc>
        <w:tc>
          <w:tcPr>
            <w:tcW w:w="3211" w:type="dxa"/>
          </w:tcPr>
          <w:p w14:paraId="1EEB00E0" w14:textId="77777777" w:rsidR="00E2427E" w:rsidRPr="005B5418" w:rsidRDefault="00E2427E" w:rsidP="008848DA">
            <w:pPr>
              <w:spacing w:before="60" w:after="60" w:line="240" w:lineRule="auto"/>
            </w:pPr>
          </w:p>
        </w:tc>
      </w:tr>
    </w:tbl>
    <w:p w14:paraId="22460673" w14:textId="77777777" w:rsidR="00E2427E" w:rsidRPr="005B5418" w:rsidRDefault="00E2427E" w:rsidP="003B61E9">
      <w:pPr>
        <w:spacing w:line="240" w:lineRule="auto"/>
        <w:rPr>
          <w:rFonts w:cs="Arial"/>
        </w:rPr>
      </w:pPr>
    </w:p>
    <w:p w14:paraId="73723A2C" w14:textId="77777777" w:rsidR="00E2427E" w:rsidRPr="005B5418" w:rsidRDefault="00E2427E" w:rsidP="003B61E9">
      <w:pPr>
        <w:spacing w:line="240" w:lineRule="auto"/>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E2427E" w:rsidRPr="005B5418" w14:paraId="29682291" w14:textId="77777777" w:rsidTr="00B44F66">
        <w:trPr>
          <w:trHeight w:val="782"/>
          <w:tblHeader/>
        </w:trPr>
        <w:tc>
          <w:tcPr>
            <w:tcW w:w="5400" w:type="dxa"/>
          </w:tcPr>
          <w:p w14:paraId="002EA65F" w14:textId="77777777" w:rsidR="00E2427E" w:rsidRPr="005B5418" w:rsidRDefault="00E2427E" w:rsidP="008848DA">
            <w:pPr>
              <w:pStyle w:val="Heading4"/>
              <w:spacing w:before="60" w:after="60" w:line="240" w:lineRule="auto"/>
              <w:jc w:val="left"/>
              <w:rPr>
                <w:b/>
                <w:szCs w:val="24"/>
                <w:u w:val="none"/>
              </w:rPr>
            </w:pPr>
            <w:bookmarkStart w:id="290" w:name="_II.4.8_Biennial_Review"/>
            <w:bookmarkStart w:id="291" w:name="_Ref495490131"/>
            <w:bookmarkEnd w:id="290"/>
            <w:r w:rsidRPr="005B5418">
              <w:rPr>
                <w:b/>
                <w:szCs w:val="24"/>
                <w:u w:val="none"/>
              </w:rPr>
              <w:lastRenderedPageBreak/>
              <w:t>II.4.</w:t>
            </w:r>
            <w:r w:rsidR="00FD19DE" w:rsidRPr="005B5418">
              <w:rPr>
                <w:b/>
                <w:szCs w:val="24"/>
                <w:u w:val="none"/>
              </w:rPr>
              <w:t>8</w:t>
            </w:r>
            <w:r w:rsidR="0033242E" w:rsidRPr="005B5418">
              <w:rPr>
                <w:b/>
                <w:szCs w:val="24"/>
                <w:u w:val="none"/>
              </w:rPr>
              <w:t xml:space="preserve"> </w:t>
            </w:r>
            <w:r w:rsidRPr="005B5418">
              <w:rPr>
                <w:b/>
                <w:szCs w:val="24"/>
                <w:u w:val="none"/>
              </w:rPr>
              <w:t>Biennial Review of User Fees</w:t>
            </w:r>
            <w:bookmarkEnd w:id="291"/>
          </w:p>
        </w:tc>
        <w:tc>
          <w:tcPr>
            <w:tcW w:w="965" w:type="dxa"/>
          </w:tcPr>
          <w:p w14:paraId="18B12BB5" w14:textId="77777777" w:rsidR="00E2427E" w:rsidRPr="005B5418" w:rsidRDefault="00E2427E" w:rsidP="008848DA">
            <w:pPr>
              <w:pStyle w:val="TableCellCenter"/>
              <w:spacing w:before="60" w:after="60"/>
              <w:jc w:val="left"/>
              <w:rPr>
                <w:szCs w:val="22"/>
              </w:rPr>
            </w:pPr>
            <w:r w:rsidRPr="005B5418">
              <w:rPr>
                <w:szCs w:val="22"/>
              </w:rPr>
              <w:t>Yes, No, or N/A</w:t>
            </w:r>
          </w:p>
        </w:tc>
        <w:tc>
          <w:tcPr>
            <w:tcW w:w="3211" w:type="dxa"/>
          </w:tcPr>
          <w:p w14:paraId="5FE68423" w14:textId="699ADFFA" w:rsidR="00E2427E" w:rsidRPr="005B5418" w:rsidRDefault="00E2427E" w:rsidP="008848DA">
            <w:pPr>
              <w:pStyle w:val="TableCellCenter"/>
              <w:spacing w:before="60" w:after="60"/>
              <w:jc w:val="left"/>
              <w:rPr>
                <w:szCs w:val="22"/>
              </w:rPr>
            </w:pPr>
            <w:r w:rsidRPr="005B5418">
              <w:rPr>
                <w:szCs w:val="22"/>
              </w:rPr>
              <w:t xml:space="preserve">Explanation </w:t>
            </w:r>
            <w:r w:rsidR="00AB31C7" w:rsidRPr="005B5418">
              <w:rPr>
                <w:szCs w:val="22"/>
              </w:rPr>
              <w:t>and</w:t>
            </w:r>
            <w:r w:rsidRPr="005B5418">
              <w:rPr>
                <w:szCs w:val="22"/>
              </w:rPr>
              <w:t xml:space="preserve"> Reference</w:t>
            </w:r>
          </w:p>
        </w:tc>
      </w:tr>
      <w:tr w:rsidR="00E2427E" w:rsidRPr="005B5418" w:rsidDel="00A4450C" w14:paraId="6FF5E551" w14:textId="77777777" w:rsidTr="0038293D">
        <w:trPr>
          <w:trHeight w:val="1277"/>
        </w:trPr>
        <w:tc>
          <w:tcPr>
            <w:tcW w:w="5400" w:type="dxa"/>
          </w:tcPr>
          <w:p w14:paraId="1B02D74A" w14:textId="705832E3" w:rsidR="00E2427E" w:rsidRPr="005B5418" w:rsidRDefault="00E2427E" w:rsidP="00825C76">
            <w:pPr>
              <w:pStyle w:val="FAM-Table-outline"/>
              <w:widowControl/>
              <w:numPr>
                <w:ilvl w:val="0"/>
                <w:numId w:val="42"/>
              </w:numPr>
              <w:tabs>
                <w:tab w:val="num" w:pos="792"/>
              </w:tabs>
              <w:adjustRightInd/>
              <w:spacing w:line="240" w:lineRule="auto"/>
              <w:textAlignment w:val="auto"/>
              <w:rPr>
                <w:szCs w:val="22"/>
              </w:rPr>
            </w:pPr>
            <w:r w:rsidRPr="005B5418">
              <w:rPr>
                <w:szCs w:val="22"/>
              </w:rPr>
              <w:t>If applicable, were recommendations reported on the revision of entity charges for fees, royalties, rents, and other charges? (A-136, section II.4.</w:t>
            </w:r>
            <w:r w:rsidR="000464E2" w:rsidRPr="005B5418">
              <w:rPr>
                <w:szCs w:val="22"/>
              </w:rPr>
              <w:t>8</w:t>
            </w:r>
            <w:r w:rsidRPr="005B5418">
              <w:rPr>
                <w:szCs w:val="22"/>
              </w:rPr>
              <w:t>)</w:t>
            </w:r>
          </w:p>
        </w:tc>
        <w:tc>
          <w:tcPr>
            <w:tcW w:w="965" w:type="dxa"/>
          </w:tcPr>
          <w:p w14:paraId="5709F7B7" w14:textId="77777777" w:rsidR="00E2427E" w:rsidRPr="005B5418" w:rsidRDefault="00E2427E" w:rsidP="008848DA">
            <w:pPr>
              <w:pStyle w:val="Table-Cell-CenterBoldBefore6ptAfter6pt"/>
              <w:spacing w:before="60" w:after="60"/>
              <w:rPr>
                <w:rStyle w:val="CommentReference"/>
                <w:rFonts w:eastAsiaTheme="majorEastAsia"/>
                <w:sz w:val="22"/>
                <w:szCs w:val="22"/>
              </w:rPr>
            </w:pPr>
          </w:p>
        </w:tc>
        <w:tc>
          <w:tcPr>
            <w:tcW w:w="3211" w:type="dxa"/>
          </w:tcPr>
          <w:p w14:paraId="34710C69" w14:textId="77777777" w:rsidR="00E2427E" w:rsidRPr="005B5418" w:rsidDel="00A4450C" w:rsidRDefault="00E2427E" w:rsidP="008848DA">
            <w:pPr>
              <w:spacing w:before="60" w:after="60" w:line="240" w:lineRule="auto"/>
            </w:pPr>
          </w:p>
        </w:tc>
      </w:tr>
    </w:tbl>
    <w:p w14:paraId="5DDAC60E" w14:textId="62A99985" w:rsidR="00725E82" w:rsidRPr="005B5418" w:rsidRDefault="00725E82"/>
    <w:p w14:paraId="1F7368D9" w14:textId="77777777" w:rsidR="00725E82" w:rsidRPr="005B5418" w:rsidRDefault="00725E82">
      <w:r w:rsidRPr="005B5418">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2E43A6" w:rsidRPr="005B5418" w:rsidDel="00A4450C" w14:paraId="68137DF6" w14:textId="77777777" w:rsidTr="002E43A6">
        <w:trPr>
          <w:trHeight w:val="620"/>
        </w:trPr>
        <w:tc>
          <w:tcPr>
            <w:tcW w:w="5400" w:type="dxa"/>
          </w:tcPr>
          <w:p w14:paraId="476B5813" w14:textId="77777777" w:rsidR="002E43A6" w:rsidRPr="005B5418" w:rsidRDefault="002E43A6" w:rsidP="003034F9">
            <w:pPr>
              <w:pStyle w:val="Heading4"/>
              <w:spacing w:line="240" w:lineRule="auto"/>
              <w:jc w:val="left"/>
              <w:rPr>
                <w:b/>
                <w:u w:val="none"/>
              </w:rPr>
            </w:pPr>
            <w:bookmarkStart w:id="292" w:name="_II.4.9_Grants_Programs"/>
            <w:bookmarkStart w:id="293" w:name="_Ref106956354"/>
            <w:bookmarkEnd w:id="292"/>
            <w:r w:rsidRPr="005B5418">
              <w:rPr>
                <w:b/>
                <w:u w:val="none"/>
              </w:rPr>
              <w:lastRenderedPageBreak/>
              <w:t>II.4.</w:t>
            </w:r>
            <w:r w:rsidR="00FD19DE" w:rsidRPr="005B5418">
              <w:rPr>
                <w:b/>
                <w:u w:val="none"/>
              </w:rPr>
              <w:t xml:space="preserve">9 </w:t>
            </w:r>
            <w:r w:rsidRPr="005B5418">
              <w:rPr>
                <w:b/>
                <w:u w:val="none"/>
              </w:rPr>
              <w:t>Grants Programs</w:t>
            </w:r>
            <w:bookmarkEnd w:id="293"/>
          </w:p>
        </w:tc>
        <w:tc>
          <w:tcPr>
            <w:tcW w:w="965" w:type="dxa"/>
          </w:tcPr>
          <w:p w14:paraId="7C1EB048" w14:textId="77777777" w:rsidR="002E43A6" w:rsidRPr="005B5418" w:rsidRDefault="0012299E" w:rsidP="008848DA">
            <w:pPr>
              <w:pStyle w:val="Table-Cell-CenterBoldBefore6ptAfter6pt"/>
              <w:spacing w:before="60" w:after="60"/>
              <w:jc w:val="left"/>
              <w:rPr>
                <w:rStyle w:val="CommentReference"/>
                <w:rFonts w:eastAsiaTheme="majorEastAsia"/>
                <w:sz w:val="22"/>
                <w:szCs w:val="22"/>
              </w:rPr>
            </w:pPr>
            <w:r w:rsidRPr="005B5418">
              <w:rPr>
                <w:rStyle w:val="CommentReference"/>
                <w:rFonts w:eastAsiaTheme="majorEastAsia"/>
                <w:sz w:val="22"/>
                <w:szCs w:val="22"/>
              </w:rPr>
              <w:t>Yes, No, or N/A</w:t>
            </w:r>
          </w:p>
        </w:tc>
        <w:tc>
          <w:tcPr>
            <w:tcW w:w="3211" w:type="dxa"/>
          </w:tcPr>
          <w:p w14:paraId="405DC320" w14:textId="5439E803" w:rsidR="002E43A6" w:rsidRPr="005B5418" w:rsidDel="00A4450C" w:rsidRDefault="0012299E" w:rsidP="008848DA">
            <w:pPr>
              <w:spacing w:before="60" w:after="60" w:line="240" w:lineRule="auto"/>
              <w:rPr>
                <w:rFonts w:ascii="Arial" w:hAnsi="Arial" w:cs="Arial"/>
                <w:b/>
              </w:rPr>
            </w:pPr>
            <w:r w:rsidRPr="005B5418">
              <w:rPr>
                <w:rFonts w:ascii="Arial" w:hAnsi="Arial" w:cs="Arial"/>
                <w:b/>
              </w:rPr>
              <w:t xml:space="preserve">Explanation </w:t>
            </w:r>
            <w:r w:rsidR="00AB31C7" w:rsidRPr="005B5418">
              <w:rPr>
                <w:rFonts w:ascii="Arial" w:hAnsi="Arial" w:cs="Arial"/>
                <w:b/>
              </w:rPr>
              <w:t>and</w:t>
            </w:r>
            <w:r w:rsidRPr="005B5418">
              <w:rPr>
                <w:rFonts w:ascii="Arial" w:hAnsi="Arial" w:cs="Arial"/>
                <w:b/>
              </w:rPr>
              <w:t xml:space="preserve"> Reference</w:t>
            </w:r>
          </w:p>
        </w:tc>
      </w:tr>
      <w:tr w:rsidR="002E43A6" w:rsidRPr="005B5418" w:rsidDel="00A4450C" w14:paraId="464CE2F5" w14:textId="77777777" w:rsidTr="002E43A6">
        <w:trPr>
          <w:trHeight w:val="620"/>
        </w:trPr>
        <w:tc>
          <w:tcPr>
            <w:tcW w:w="5400" w:type="dxa"/>
          </w:tcPr>
          <w:p w14:paraId="4ED43051" w14:textId="11E47F2E" w:rsidR="002E43A6" w:rsidRPr="005B5418" w:rsidRDefault="002E43A6" w:rsidP="005425ED">
            <w:pPr>
              <w:pStyle w:val="FAM-Table-outline"/>
              <w:widowControl/>
              <w:numPr>
                <w:ilvl w:val="0"/>
                <w:numId w:val="646"/>
              </w:numPr>
              <w:adjustRightInd/>
              <w:spacing w:line="240" w:lineRule="auto"/>
              <w:textAlignment w:val="auto"/>
              <w:rPr>
                <w:szCs w:val="22"/>
              </w:rPr>
            </w:pPr>
            <w:r w:rsidRPr="005B5418">
              <w:rPr>
                <w:szCs w:val="22"/>
              </w:rPr>
              <w:t xml:space="preserve">If applicable, does the entity </w:t>
            </w:r>
            <w:r w:rsidR="009F25FF" w:rsidRPr="005B5418">
              <w:rPr>
                <w:szCs w:val="22"/>
              </w:rPr>
              <w:t>submit a brief high-level summa</w:t>
            </w:r>
            <w:r w:rsidR="0033242E" w:rsidRPr="005B5418">
              <w:rPr>
                <w:szCs w:val="22"/>
              </w:rPr>
              <w:t>ry of expired, but not closed, f</w:t>
            </w:r>
            <w:r w:rsidR="009F25FF" w:rsidRPr="005B5418">
              <w:rPr>
                <w:szCs w:val="22"/>
              </w:rPr>
              <w:t>ederal grants and cooperative</w:t>
            </w:r>
            <w:r w:rsidR="0033242E" w:rsidRPr="005B5418">
              <w:rPr>
                <w:szCs w:val="22"/>
              </w:rPr>
              <w:t xml:space="preserve"> agreements (awards), including</w:t>
            </w:r>
            <w:r w:rsidR="009F25FF" w:rsidRPr="005B5418">
              <w:rPr>
                <w:szCs w:val="22"/>
              </w:rPr>
              <w:t xml:space="preserve"> </w:t>
            </w:r>
          </w:p>
          <w:p w14:paraId="3D4E671F" w14:textId="5066FB91" w:rsidR="00702121" w:rsidRPr="005B5418" w:rsidRDefault="00A63413" w:rsidP="005425ED">
            <w:pPr>
              <w:pStyle w:val="FAM-Table-outline2"/>
              <w:widowControl/>
              <w:numPr>
                <w:ilvl w:val="1"/>
                <w:numId w:val="41"/>
              </w:numPr>
              <w:adjustRightInd/>
              <w:spacing w:line="240" w:lineRule="auto"/>
              <w:ind w:left="1045" w:hanging="360"/>
              <w:textAlignment w:val="auto"/>
              <w:rPr>
                <w:szCs w:val="22"/>
              </w:rPr>
            </w:pPr>
            <w:r w:rsidRPr="005B5418">
              <w:rPr>
                <w:szCs w:val="22"/>
              </w:rPr>
              <w:t xml:space="preserve">a summary table of the total number of awards and balances for which closeout has not yet occurred, but for which the period of performance has elapsed by </w:t>
            </w:r>
            <w:r w:rsidR="007E3A0A" w:rsidRPr="005B5418">
              <w:rPr>
                <w:szCs w:val="22"/>
              </w:rPr>
              <w:t>2</w:t>
            </w:r>
            <w:r w:rsidRPr="005B5418">
              <w:rPr>
                <w:szCs w:val="22"/>
              </w:rPr>
              <w:t xml:space="preserve"> years or more prior to September 30, </w:t>
            </w:r>
            <w:r w:rsidR="006810D0" w:rsidRPr="005B5418">
              <w:rPr>
                <w:szCs w:val="22"/>
              </w:rPr>
              <w:t xml:space="preserve">2025 </w:t>
            </w:r>
            <w:r w:rsidRPr="005B5418">
              <w:rPr>
                <w:szCs w:val="22"/>
              </w:rPr>
              <w:t xml:space="preserve">(i.e., on or before September 30, </w:t>
            </w:r>
            <w:r w:rsidR="006810D0" w:rsidRPr="005B5418">
              <w:rPr>
                <w:szCs w:val="22"/>
              </w:rPr>
              <w:t>2023</w:t>
            </w:r>
            <w:r w:rsidR="00E51D94" w:rsidRPr="005B5418">
              <w:rPr>
                <w:szCs w:val="22"/>
              </w:rPr>
              <w:t xml:space="preserve">), </w:t>
            </w:r>
            <w:r w:rsidRPr="005B5418">
              <w:rPr>
                <w:szCs w:val="22"/>
              </w:rPr>
              <w:t>and</w:t>
            </w:r>
          </w:p>
          <w:p w14:paraId="03D6E5FC" w14:textId="06AE4631" w:rsidR="00A63413" w:rsidRPr="005B5418" w:rsidRDefault="00A63413" w:rsidP="005425ED">
            <w:pPr>
              <w:pStyle w:val="FAM-Table-outline2"/>
              <w:widowControl/>
              <w:numPr>
                <w:ilvl w:val="1"/>
                <w:numId w:val="41"/>
              </w:numPr>
              <w:adjustRightInd/>
              <w:spacing w:line="240" w:lineRule="auto"/>
              <w:ind w:left="1045" w:hanging="360"/>
              <w:textAlignment w:val="auto"/>
              <w:rPr>
                <w:szCs w:val="22"/>
              </w:rPr>
            </w:pPr>
            <w:r w:rsidRPr="005B5418">
              <w:rPr>
                <w:szCs w:val="22"/>
              </w:rPr>
              <w:t xml:space="preserve">a brief narrative </w:t>
            </w:r>
            <w:r w:rsidR="00FF7E5C" w:rsidRPr="005B5418">
              <w:rPr>
                <w:szCs w:val="22"/>
              </w:rPr>
              <w:t>of</w:t>
            </w:r>
            <w:r w:rsidRPr="005B5418">
              <w:rPr>
                <w:szCs w:val="22"/>
              </w:rPr>
              <w:t xml:space="preserve"> the progress made over</w:t>
            </w:r>
            <w:r w:rsidR="00702121" w:rsidRPr="005B5418">
              <w:rPr>
                <w:szCs w:val="22"/>
              </w:rPr>
              <w:t xml:space="preserve"> th</w:t>
            </w:r>
            <w:r w:rsidRPr="005B5418">
              <w:rPr>
                <w:szCs w:val="22"/>
              </w:rPr>
              <w:t>e past year compared to the previous year’s report, challenges</w:t>
            </w:r>
            <w:r w:rsidR="00FF7E5C" w:rsidRPr="005B5418">
              <w:rPr>
                <w:szCs w:val="22"/>
              </w:rPr>
              <w:t xml:space="preserve"> preventing closeout of awards reported, and actions to be taken to close awards reported? (A-136, section II.4.</w:t>
            </w:r>
            <w:r w:rsidR="00FD19DE" w:rsidRPr="005B5418">
              <w:rPr>
                <w:szCs w:val="22"/>
              </w:rPr>
              <w:t>9</w:t>
            </w:r>
            <w:r w:rsidR="001939C1" w:rsidRPr="005B5418">
              <w:rPr>
                <w:szCs w:val="22"/>
              </w:rPr>
              <w:t>.1</w:t>
            </w:r>
            <w:r w:rsidR="00FF7E5C" w:rsidRPr="005B5418">
              <w:rPr>
                <w:szCs w:val="22"/>
              </w:rPr>
              <w:t>)</w:t>
            </w:r>
          </w:p>
        </w:tc>
        <w:tc>
          <w:tcPr>
            <w:tcW w:w="965" w:type="dxa"/>
          </w:tcPr>
          <w:p w14:paraId="6641A03A" w14:textId="77777777" w:rsidR="002E43A6" w:rsidRPr="005B5418" w:rsidRDefault="002E43A6" w:rsidP="008848DA">
            <w:pPr>
              <w:pStyle w:val="Table-Cell-CenterBoldBefore6ptAfter6pt"/>
              <w:spacing w:before="60" w:after="60"/>
              <w:rPr>
                <w:rStyle w:val="CommentReference"/>
                <w:rFonts w:eastAsiaTheme="majorEastAsia"/>
                <w:sz w:val="22"/>
                <w:szCs w:val="22"/>
              </w:rPr>
            </w:pPr>
          </w:p>
        </w:tc>
        <w:tc>
          <w:tcPr>
            <w:tcW w:w="3211" w:type="dxa"/>
          </w:tcPr>
          <w:p w14:paraId="7EACCD4C" w14:textId="77777777" w:rsidR="002E43A6" w:rsidRPr="005B5418" w:rsidDel="00A4450C" w:rsidRDefault="002E43A6" w:rsidP="008848DA">
            <w:pPr>
              <w:spacing w:before="60" w:after="60" w:line="240" w:lineRule="auto"/>
            </w:pPr>
          </w:p>
        </w:tc>
      </w:tr>
      <w:tr w:rsidR="000A0138" w:rsidRPr="005B5418" w:rsidDel="00A4450C" w14:paraId="708A12DE" w14:textId="77777777" w:rsidTr="002E43A6">
        <w:trPr>
          <w:trHeight w:val="620"/>
        </w:trPr>
        <w:tc>
          <w:tcPr>
            <w:tcW w:w="5400" w:type="dxa"/>
          </w:tcPr>
          <w:p w14:paraId="742CB426" w14:textId="5372A3FC" w:rsidR="000A0138" w:rsidRPr="005B5418" w:rsidRDefault="000A0138" w:rsidP="005425ED">
            <w:pPr>
              <w:pStyle w:val="FAM-Table-outline"/>
              <w:widowControl/>
              <w:numPr>
                <w:ilvl w:val="0"/>
                <w:numId w:val="646"/>
              </w:numPr>
              <w:adjustRightInd/>
              <w:spacing w:line="240" w:lineRule="auto"/>
              <w:textAlignment w:val="auto"/>
              <w:rPr>
                <w:szCs w:val="22"/>
              </w:rPr>
            </w:pPr>
            <w:r w:rsidRPr="005B5418">
              <w:rPr>
                <w:szCs w:val="22"/>
              </w:rPr>
              <w:t xml:space="preserve">For entities </w:t>
            </w:r>
            <w:r w:rsidR="007872DA" w:rsidRPr="005B5418">
              <w:rPr>
                <w:szCs w:val="22"/>
              </w:rPr>
              <w:t xml:space="preserve">receiving funds appropriated </w:t>
            </w:r>
            <w:r w:rsidRPr="005B5418">
              <w:rPr>
                <w:szCs w:val="22"/>
              </w:rPr>
              <w:t xml:space="preserve">by the </w:t>
            </w:r>
            <w:r w:rsidR="007872DA" w:rsidRPr="005B5418">
              <w:rPr>
                <w:szCs w:val="22"/>
              </w:rPr>
              <w:t xml:space="preserve">annual </w:t>
            </w:r>
            <w:r w:rsidRPr="005B5418">
              <w:rPr>
                <w:szCs w:val="22"/>
              </w:rPr>
              <w:t>Commerce, Justice, Science, and Related Agencies Appropriations Act,</w:t>
            </w:r>
            <w:r w:rsidR="00650558" w:rsidRPr="005B5418">
              <w:rPr>
                <w:szCs w:val="22"/>
              </w:rPr>
              <w:t xml:space="preserve"> does the entity report the following information pursuant to OMB Memorandum, M-16-18</w:t>
            </w:r>
            <w:r w:rsidR="0053370C">
              <w:rPr>
                <w:szCs w:val="22"/>
              </w:rPr>
              <w:t>:</w:t>
            </w:r>
            <w:r w:rsidR="007872DA" w:rsidRPr="005B5418">
              <w:rPr>
                <w:rStyle w:val="FootnoteReference"/>
              </w:rPr>
              <w:footnoteReference w:id="288"/>
            </w:r>
          </w:p>
          <w:p w14:paraId="73D9599E" w14:textId="7C451FAE" w:rsidR="00650558" w:rsidRPr="005B5418" w:rsidRDefault="00650558" w:rsidP="005425ED">
            <w:pPr>
              <w:pStyle w:val="FAM-Table-outline"/>
              <w:widowControl/>
              <w:numPr>
                <w:ilvl w:val="0"/>
                <w:numId w:val="115"/>
              </w:numPr>
              <w:adjustRightInd/>
              <w:spacing w:line="240" w:lineRule="auto"/>
              <w:ind w:left="1055"/>
              <w:textAlignment w:val="auto"/>
              <w:rPr>
                <w:szCs w:val="22"/>
              </w:rPr>
            </w:pPr>
            <w:r w:rsidRPr="005B5418">
              <w:rPr>
                <w:szCs w:val="22"/>
              </w:rPr>
              <w:t>information about future action the entity will take to resolve undisbursed balances for grant awards for which the period of performance has expired;</w:t>
            </w:r>
          </w:p>
          <w:p w14:paraId="3E29E4E6" w14:textId="77777777" w:rsidR="00650558" w:rsidRPr="005B5418" w:rsidRDefault="00650558" w:rsidP="005425ED">
            <w:pPr>
              <w:pStyle w:val="FAM-Table-outline"/>
              <w:widowControl/>
              <w:numPr>
                <w:ilvl w:val="0"/>
                <w:numId w:val="115"/>
              </w:numPr>
              <w:adjustRightInd/>
              <w:spacing w:line="240" w:lineRule="auto"/>
              <w:ind w:left="1055"/>
              <w:textAlignment w:val="auto"/>
              <w:rPr>
                <w:szCs w:val="22"/>
              </w:rPr>
            </w:pPr>
            <w:r w:rsidRPr="005B5418">
              <w:rPr>
                <w:szCs w:val="22"/>
              </w:rPr>
              <w:t>the method that the entity uses to track undisbursed balances for expired grant awards;</w:t>
            </w:r>
          </w:p>
          <w:p w14:paraId="589D6C80" w14:textId="342E12B0" w:rsidR="00650558" w:rsidRPr="005B5418" w:rsidRDefault="00650558" w:rsidP="005425ED">
            <w:pPr>
              <w:pStyle w:val="FAM-Table-outline"/>
              <w:widowControl/>
              <w:numPr>
                <w:ilvl w:val="0"/>
                <w:numId w:val="115"/>
              </w:numPr>
              <w:adjustRightInd/>
              <w:spacing w:line="240" w:lineRule="auto"/>
              <w:ind w:left="1055"/>
              <w:textAlignment w:val="auto"/>
              <w:rPr>
                <w:szCs w:val="22"/>
              </w:rPr>
            </w:pPr>
            <w:r w:rsidRPr="005B5418">
              <w:rPr>
                <w:szCs w:val="22"/>
              </w:rPr>
              <w:t xml:space="preserve">the identification (or dollar amounts) of undisbursed balances for expired grant awards that may be returned to </w:t>
            </w:r>
            <w:r w:rsidR="007E562B" w:rsidRPr="005B5418">
              <w:rPr>
                <w:szCs w:val="22"/>
              </w:rPr>
              <w:t xml:space="preserve">the </w:t>
            </w:r>
            <w:r w:rsidRPr="005B5418">
              <w:rPr>
                <w:szCs w:val="22"/>
              </w:rPr>
              <w:t>Treasury (i.e., the amount of undisbursed balances from expired grants whose underlying budget authority has been canceled); and</w:t>
            </w:r>
          </w:p>
          <w:p w14:paraId="00FCD5FC" w14:textId="469E69FD" w:rsidR="00650558" w:rsidRPr="005B5418" w:rsidRDefault="00650558" w:rsidP="005425ED">
            <w:pPr>
              <w:pStyle w:val="FAM-Table-outline"/>
              <w:widowControl/>
              <w:numPr>
                <w:ilvl w:val="0"/>
                <w:numId w:val="115"/>
              </w:numPr>
              <w:adjustRightInd/>
              <w:spacing w:line="240" w:lineRule="auto"/>
              <w:ind w:left="1055"/>
              <w:textAlignment w:val="auto"/>
              <w:rPr>
                <w:szCs w:val="22"/>
              </w:rPr>
            </w:pPr>
            <w:r w:rsidRPr="005B5418">
              <w:rPr>
                <w:szCs w:val="22"/>
              </w:rPr>
              <w:t xml:space="preserve">the number of expired grant awards with undisbursed balances and the amounts </w:t>
            </w:r>
            <w:r w:rsidRPr="005B5418">
              <w:rPr>
                <w:szCs w:val="22"/>
              </w:rPr>
              <w:lastRenderedPageBreak/>
              <w:t xml:space="preserve">that have not been obligated to a specific grant or project remaining in the appropriations accounts (i.e., unobligated amounts) </w:t>
            </w:r>
            <w:r w:rsidR="007872DA" w:rsidRPr="005B5418">
              <w:rPr>
                <w:szCs w:val="22"/>
              </w:rPr>
              <w:t xml:space="preserve">in the preceding 3 fiscal years (i.e., </w:t>
            </w:r>
            <w:r w:rsidRPr="005B5418">
              <w:rPr>
                <w:szCs w:val="22"/>
              </w:rPr>
              <w:t xml:space="preserve">as of September 30, </w:t>
            </w:r>
            <w:r w:rsidR="006810D0" w:rsidRPr="005B5418">
              <w:rPr>
                <w:szCs w:val="22"/>
              </w:rPr>
              <w:t>2025</w:t>
            </w:r>
            <w:r w:rsidR="001939C1" w:rsidRPr="005B5418">
              <w:rPr>
                <w:szCs w:val="22"/>
              </w:rPr>
              <w:t xml:space="preserve">; September 30, </w:t>
            </w:r>
            <w:r w:rsidR="006810D0" w:rsidRPr="005B5418">
              <w:rPr>
                <w:szCs w:val="22"/>
              </w:rPr>
              <w:t>2024</w:t>
            </w:r>
            <w:r w:rsidR="001939C1" w:rsidRPr="005B5418">
              <w:rPr>
                <w:szCs w:val="22"/>
              </w:rPr>
              <w:t xml:space="preserve">; and September 30, </w:t>
            </w:r>
            <w:r w:rsidR="006810D0" w:rsidRPr="005B5418">
              <w:rPr>
                <w:szCs w:val="22"/>
              </w:rPr>
              <w:t>2023</w:t>
            </w:r>
            <w:r w:rsidR="007872DA" w:rsidRPr="005B5418">
              <w:rPr>
                <w:szCs w:val="22"/>
              </w:rPr>
              <w:t>)</w:t>
            </w:r>
            <w:r w:rsidR="001939C1" w:rsidRPr="005B5418">
              <w:rPr>
                <w:szCs w:val="22"/>
              </w:rPr>
              <w:t>? (A-136, section II.4.9.2)</w:t>
            </w:r>
          </w:p>
        </w:tc>
        <w:tc>
          <w:tcPr>
            <w:tcW w:w="965" w:type="dxa"/>
          </w:tcPr>
          <w:p w14:paraId="7EA9CD3B" w14:textId="77777777" w:rsidR="000A0138" w:rsidRPr="005B5418" w:rsidRDefault="000A0138" w:rsidP="008848DA">
            <w:pPr>
              <w:pStyle w:val="Table-Cell-CenterBoldBefore6ptAfter6pt"/>
              <w:spacing w:before="60" w:after="60"/>
              <w:rPr>
                <w:rStyle w:val="CommentReference"/>
                <w:rFonts w:eastAsiaTheme="majorEastAsia"/>
                <w:sz w:val="22"/>
                <w:szCs w:val="22"/>
              </w:rPr>
            </w:pPr>
          </w:p>
        </w:tc>
        <w:tc>
          <w:tcPr>
            <w:tcW w:w="3211" w:type="dxa"/>
          </w:tcPr>
          <w:p w14:paraId="5333427A" w14:textId="77777777" w:rsidR="000A0138" w:rsidRPr="005B5418" w:rsidDel="00A4450C" w:rsidRDefault="000A0138" w:rsidP="008848DA">
            <w:pPr>
              <w:spacing w:before="60" w:after="60" w:line="240" w:lineRule="auto"/>
            </w:pPr>
          </w:p>
        </w:tc>
      </w:tr>
    </w:tbl>
    <w:p w14:paraId="5E050AEC" w14:textId="77777777" w:rsidR="000E0947" w:rsidRPr="005B5418" w:rsidRDefault="000E0947" w:rsidP="000E0947">
      <w:pPr>
        <w:pStyle w:val="FAM-Table-outline"/>
        <w:widowControl/>
        <w:numPr>
          <w:ilvl w:val="0"/>
          <w:numId w:val="0"/>
        </w:numPr>
        <w:adjustRightInd/>
        <w:spacing w:line="240" w:lineRule="auto"/>
        <w:textAlignment w:val="auto"/>
        <w:rPr>
          <w:b/>
          <w:sz w:val="24"/>
        </w:rPr>
        <w:sectPr w:rsidR="000E0947" w:rsidRPr="005B5418" w:rsidSect="00571B6D">
          <w:pgSz w:w="12240" w:h="15840" w:code="1"/>
          <w:pgMar w:top="1440" w:right="1440" w:bottom="1440" w:left="1440" w:header="720" w:footer="720" w:gutter="0"/>
          <w:cols w:space="708"/>
          <w:docGrid w:linePitch="326"/>
        </w:sect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0E0947" w:rsidRPr="005B5418" w:rsidDel="00A4450C" w14:paraId="40F59815" w14:textId="77777777" w:rsidTr="002E43A6">
        <w:trPr>
          <w:trHeight w:val="620"/>
        </w:trPr>
        <w:tc>
          <w:tcPr>
            <w:tcW w:w="5400" w:type="dxa"/>
          </w:tcPr>
          <w:p w14:paraId="40E48D4D" w14:textId="4654F603" w:rsidR="000E0947" w:rsidRPr="005B5418" w:rsidRDefault="000E0947" w:rsidP="003034F9">
            <w:pPr>
              <w:pStyle w:val="Heading4"/>
              <w:spacing w:line="240" w:lineRule="auto"/>
              <w:rPr>
                <w:b/>
                <w:u w:val="none"/>
              </w:rPr>
            </w:pPr>
            <w:bookmarkStart w:id="294" w:name="_II.4.10_Climate-Related_Financial"/>
            <w:bookmarkStart w:id="295" w:name="_II.4.11_Agency_Audit"/>
            <w:bookmarkStart w:id="296" w:name="_Ref106957203"/>
            <w:bookmarkStart w:id="297" w:name="_Hlk164322013"/>
            <w:bookmarkEnd w:id="294"/>
            <w:bookmarkEnd w:id="295"/>
            <w:r w:rsidRPr="005B5418">
              <w:rPr>
                <w:b/>
                <w:u w:val="none"/>
              </w:rPr>
              <w:lastRenderedPageBreak/>
              <w:t>II.4.</w:t>
            </w:r>
            <w:r w:rsidR="007067CB" w:rsidRPr="005B5418">
              <w:rPr>
                <w:b/>
                <w:u w:val="none"/>
              </w:rPr>
              <w:t xml:space="preserve">10 </w:t>
            </w:r>
            <w:r w:rsidRPr="005B5418">
              <w:rPr>
                <w:b/>
                <w:u w:val="none"/>
              </w:rPr>
              <w:t>Agency Audit Resolution Reports</w:t>
            </w:r>
            <w:bookmarkEnd w:id="296"/>
          </w:p>
        </w:tc>
        <w:tc>
          <w:tcPr>
            <w:tcW w:w="965" w:type="dxa"/>
          </w:tcPr>
          <w:p w14:paraId="1B0DA67B" w14:textId="49CF1725" w:rsidR="000E0947" w:rsidRPr="005B5418" w:rsidRDefault="000E0947" w:rsidP="000E0947">
            <w:pPr>
              <w:pStyle w:val="Table-Cell-CenterBoldBefore6ptAfter6pt"/>
              <w:spacing w:before="60" w:after="60"/>
              <w:jc w:val="left"/>
              <w:rPr>
                <w:rStyle w:val="CommentReference"/>
                <w:rFonts w:eastAsiaTheme="majorEastAsia"/>
                <w:sz w:val="22"/>
                <w:szCs w:val="22"/>
              </w:rPr>
            </w:pPr>
            <w:r w:rsidRPr="005B5418">
              <w:rPr>
                <w:rStyle w:val="CommentReference"/>
                <w:rFonts w:eastAsiaTheme="majorEastAsia"/>
                <w:sz w:val="22"/>
                <w:szCs w:val="22"/>
              </w:rPr>
              <w:t>Yes, No, or N/A</w:t>
            </w:r>
          </w:p>
        </w:tc>
        <w:tc>
          <w:tcPr>
            <w:tcW w:w="3211" w:type="dxa"/>
          </w:tcPr>
          <w:p w14:paraId="75B8788C" w14:textId="28B7B485" w:rsidR="000E0947" w:rsidRPr="005B5418" w:rsidRDefault="000E0947" w:rsidP="000E0947">
            <w:pPr>
              <w:spacing w:before="60" w:after="60" w:line="240" w:lineRule="auto"/>
              <w:rPr>
                <w:rFonts w:ascii="Arial" w:hAnsi="Arial" w:cs="Arial"/>
                <w:b/>
              </w:rPr>
            </w:pPr>
            <w:r w:rsidRPr="005B5418">
              <w:rPr>
                <w:rFonts w:ascii="Arial" w:hAnsi="Arial" w:cs="Arial"/>
                <w:b/>
              </w:rPr>
              <w:t>Explanation and Reference</w:t>
            </w:r>
          </w:p>
        </w:tc>
      </w:tr>
      <w:bookmarkEnd w:id="297"/>
      <w:tr w:rsidR="004A4BD2" w:rsidRPr="005B5418" w:rsidDel="00A4450C" w14:paraId="7F3C838E" w14:textId="77777777" w:rsidTr="00344480">
        <w:trPr>
          <w:trHeight w:val="620"/>
        </w:trPr>
        <w:tc>
          <w:tcPr>
            <w:tcW w:w="9576" w:type="dxa"/>
            <w:gridSpan w:val="3"/>
          </w:tcPr>
          <w:p w14:paraId="6B3B6609" w14:textId="631A8F93" w:rsidR="004A4BD2" w:rsidRPr="005B5418" w:rsidRDefault="004A4BD2" w:rsidP="00EE3CC4">
            <w:pPr>
              <w:pStyle w:val="BodyText"/>
              <w:spacing w:before="60" w:after="60" w:line="240" w:lineRule="auto"/>
              <w:jc w:val="left"/>
              <w:rPr>
                <w:sz w:val="22"/>
                <w:szCs w:val="22"/>
              </w:rPr>
            </w:pPr>
            <w:r w:rsidRPr="005B5418">
              <w:rPr>
                <w:sz w:val="22"/>
                <w:szCs w:val="22"/>
              </w:rPr>
              <w:t xml:space="preserve">Entities required to produce reports from the </w:t>
            </w:r>
            <w:r w:rsidR="00621C52" w:rsidRPr="005B5418">
              <w:rPr>
                <w:sz w:val="22"/>
                <w:szCs w:val="22"/>
              </w:rPr>
              <w:t xml:space="preserve">agency head </w:t>
            </w:r>
            <w:r w:rsidRPr="005B5418">
              <w:rPr>
                <w:sz w:val="22"/>
                <w:szCs w:val="22"/>
              </w:rPr>
              <w:t xml:space="preserve">under </w:t>
            </w:r>
            <w:r w:rsidR="00EE3CC4" w:rsidRPr="005B5418">
              <w:rPr>
                <w:sz w:val="22"/>
                <w:szCs w:val="22"/>
              </w:rPr>
              <w:t>the Inspector General Act (</w:t>
            </w:r>
            <w:r w:rsidRPr="005B5418">
              <w:rPr>
                <w:sz w:val="22"/>
                <w:szCs w:val="22"/>
              </w:rPr>
              <w:t xml:space="preserve">5 U.S.C. </w:t>
            </w:r>
            <w:r w:rsidR="00EE3CC4" w:rsidRPr="005B5418">
              <w:rPr>
                <w:sz w:val="22"/>
                <w:szCs w:val="22"/>
              </w:rPr>
              <w:t>§ 40</w:t>
            </w:r>
            <w:r w:rsidRPr="005B5418">
              <w:rPr>
                <w:sz w:val="22"/>
                <w:szCs w:val="22"/>
              </w:rPr>
              <w:t>5(b)</w:t>
            </w:r>
            <w:r w:rsidR="00EE3CC4" w:rsidRPr="005B5418">
              <w:rPr>
                <w:sz w:val="22"/>
                <w:szCs w:val="22"/>
              </w:rPr>
              <w:t>)</w:t>
            </w:r>
            <w:r w:rsidR="00621C52" w:rsidRPr="005B5418">
              <w:rPr>
                <w:sz w:val="22"/>
                <w:szCs w:val="22"/>
              </w:rPr>
              <w:t>,</w:t>
            </w:r>
            <w:r w:rsidRPr="005B5418">
              <w:rPr>
                <w:sz w:val="22"/>
                <w:szCs w:val="22"/>
              </w:rPr>
              <w:t xml:space="preserve"> may include such reports in the AFR as provided by the Reports Consolidation Act (</w:t>
            </w:r>
            <w:bookmarkStart w:id="298" w:name="_Hlk196824111"/>
            <w:r w:rsidRPr="005B5418">
              <w:rPr>
                <w:sz w:val="22"/>
                <w:szCs w:val="22"/>
              </w:rPr>
              <w:t xml:space="preserve">31 U.S.C. </w:t>
            </w:r>
            <w:r w:rsidR="00EE3CC4" w:rsidRPr="005B5418">
              <w:rPr>
                <w:sz w:val="22"/>
                <w:szCs w:val="22"/>
              </w:rPr>
              <w:t>§</w:t>
            </w:r>
            <w:r w:rsidRPr="005B5418">
              <w:rPr>
                <w:sz w:val="22"/>
                <w:szCs w:val="22"/>
              </w:rPr>
              <w:t xml:space="preserve"> 3516</w:t>
            </w:r>
            <w:bookmarkEnd w:id="298"/>
            <w:r w:rsidRPr="005B5418">
              <w:rPr>
                <w:sz w:val="22"/>
                <w:szCs w:val="22"/>
              </w:rPr>
              <w:t xml:space="preserve">). Such entities are encouraged to do so if the AFR is the usual method for publishing the reports. </w:t>
            </w:r>
          </w:p>
          <w:p w14:paraId="32494F13" w14:textId="4E513096" w:rsidR="004A4BD2" w:rsidRPr="005B5418" w:rsidRDefault="004A4BD2" w:rsidP="00EE3CC4">
            <w:pPr>
              <w:pStyle w:val="BodyText"/>
              <w:spacing w:before="60" w:after="60" w:line="240" w:lineRule="auto"/>
              <w:jc w:val="left"/>
              <w:rPr>
                <w:sz w:val="22"/>
                <w:szCs w:val="22"/>
              </w:rPr>
            </w:pPr>
            <w:r w:rsidRPr="005B5418">
              <w:rPr>
                <w:sz w:val="22"/>
                <w:szCs w:val="22"/>
              </w:rPr>
              <w:t xml:space="preserve">In addition, entities that provide a separate report to Congress under </w:t>
            </w:r>
            <w:bookmarkStart w:id="299" w:name="_Hlk196824121"/>
            <w:r w:rsidRPr="005B5418">
              <w:rPr>
                <w:sz w:val="22"/>
                <w:szCs w:val="22"/>
              </w:rPr>
              <w:t xml:space="preserve">5 U.S.C. </w:t>
            </w:r>
            <w:r w:rsidR="00EE3CC4" w:rsidRPr="005B5418">
              <w:rPr>
                <w:sz w:val="22"/>
                <w:szCs w:val="22"/>
              </w:rPr>
              <w:t>§ 40</w:t>
            </w:r>
            <w:r w:rsidRPr="005B5418">
              <w:rPr>
                <w:sz w:val="22"/>
                <w:szCs w:val="22"/>
              </w:rPr>
              <w:t>5(b</w:t>
            </w:r>
            <w:bookmarkEnd w:id="299"/>
            <w:r w:rsidR="00C966CB">
              <w:rPr>
                <w:sz w:val="22"/>
                <w:szCs w:val="22"/>
              </w:rPr>
              <w:t>)</w:t>
            </w:r>
            <w:r w:rsidR="004D315D" w:rsidRPr="005B5418">
              <w:rPr>
                <w:sz w:val="22"/>
                <w:szCs w:val="22"/>
              </w:rPr>
              <w:t>,</w:t>
            </w:r>
            <w:r w:rsidRPr="005B5418">
              <w:rPr>
                <w:sz w:val="22"/>
                <w:szCs w:val="22"/>
              </w:rPr>
              <w:t xml:space="preserve"> may include a summary of agency audit resolution in the AFR or PAR (either in the MD&amp;A or as Other Information). </w:t>
            </w:r>
          </w:p>
          <w:p w14:paraId="012B8FE9" w14:textId="77777777" w:rsidR="004A4BD2" w:rsidRPr="005B5418" w:rsidRDefault="004A4BD2" w:rsidP="000E0947">
            <w:pPr>
              <w:spacing w:before="60" w:after="60" w:line="240" w:lineRule="auto"/>
              <w:rPr>
                <w:rFonts w:ascii="Arial" w:hAnsi="Arial" w:cs="Arial"/>
                <w:b/>
              </w:rPr>
            </w:pPr>
          </w:p>
        </w:tc>
      </w:tr>
      <w:tr w:rsidR="005E56AD" w:rsidRPr="005B5418" w:rsidDel="00A4450C" w14:paraId="7A82FD8C" w14:textId="77777777" w:rsidTr="002E43A6">
        <w:trPr>
          <w:trHeight w:val="620"/>
        </w:trPr>
        <w:tc>
          <w:tcPr>
            <w:tcW w:w="5400" w:type="dxa"/>
          </w:tcPr>
          <w:p w14:paraId="42A65054" w14:textId="1BC1C9F4" w:rsidR="005E56AD" w:rsidRPr="005B5418" w:rsidRDefault="00430FCB" w:rsidP="0091674B">
            <w:pPr>
              <w:pStyle w:val="FAM-Table-outline"/>
              <w:widowControl/>
              <w:numPr>
                <w:ilvl w:val="0"/>
                <w:numId w:val="110"/>
              </w:numPr>
              <w:adjustRightInd/>
              <w:spacing w:line="240" w:lineRule="auto"/>
              <w:textAlignment w:val="auto"/>
              <w:rPr>
                <w:szCs w:val="22"/>
              </w:rPr>
            </w:pPr>
            <w:r w:rsidRPr="005B5418">
              <w:rPr>
                <w:szCs w:val="22"/>
              </w:rPr>
              <w:t xml:space="preserve">If applicable, does the entity include agency audit resolution reports from the </w:t>
            </w:r>
            <w:r w:rsidR="0083359A" w:rsidRPr="005B5418">
              <w:rPr>
                <w:szCs w:val="22"/>
              </w:rPr>
              <w:t xml:space="preserve">agency head </w:t>
            </w:r>
            <w:r w:rsidRPr="005B5418">
              <w:rPr>
                <w:szCs w:val="22"/>
              </w:rPr>
              <w:t>in its AFR or PAR? (A-136, section II.4.</w:t>
            </w:r>
            <w:r w:rsidR="003860CA" w:rsidRPr="005B5418">
              <w:rPr>
                <w:szCs w:val="22"/>
              </w:rPr>
              <w:t>10</w:t>
            </w:r>
            <w:r w:rsidRPr="005B5418">
              <w:rPr>
                <w:szCs w:val="22"/>
              </w:rPr>
              <w:t>)</w:t>
            </w:r>
          </w:p>
        </w:tc>
        <w:tc>
          <w:tcPr>
            <w:tcW w:w="965" w:type="dxa"/>
          </w:tcPr>
          <w:p w14:paraId="0164727F" w14:textId="77777777" w:rsidR="005E56AD" w:rsidRPr="005B5418" w:rsidRDefault="005E56AD" w:rsidP="000E0947">
            <w:pPr>
              <w:pStyle w:val="Table-Cell-CenterBoldBefore6ptAfter6pt"/>
              <w:spacing w:before="60" w:after="60"/>
              <w:jc w:val="left"/>
              <w:rPr>
                <w:rStyle w:val="CommentReference"/>
                <w:rFonts w:eastAsiaTheme="majorEastAsia"/>
                <w:sz w:val="22"/>
                <w:szCs w:val="22"/>
              </w:rPr>
            </w:pPr>
          </w:p>
        </w:tc>
        <w:tc>
          <w:tcPr>
            <w:tcW w:w="3211" w:type="dxa"/>
          </w:tcPr>
          <w:p w14:paraId="05892CA9" w14:textId="77777777" w:rsidR="005E56AD" w:rsidRPr="005B5418" w:rsidRDefault="005E56AD" w:rsidP="000E0947">
            <w:pPr>
              <w:spacing w:before="60" w:after="60" w:line="240" w:lineRule="auto"/>
              <w:rPr>
                <w:rFonts w:ascii="Arial" w:hAnsi="Arial" w:cs="Arial"/>
                <w:b/>
              </w:rPr>
            </w:pPr>
          </w:p>
        </w:tc>
      </w:tr>
    </w:tbl>
    <w:p w14:paraId="2F331A93" w14:textId="61D42123" w:rsidR="00317A38" w:rsidRPr="005B5418" w:rsidRDefault="00317A38" w:rsidP="003B61E9">
      <w:pPr>
        <w:spacing w:line="240" w:lineRule="auto"/>
        <w:rPr>
          <w:rFonts w:cs="Arial"/>
        </w:rPr>
      </w:pPr>
    </w:p>
    <w:p w14:paraId="22082A76" w14:textId="22EDEAAE" w:rsidR="00317A38" w:rsidRPr="005B5418" w:rsidRDefault="00317A38">
      <w:pPr>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14138F" w:rsidRPr="005B5418" w:rsidDel="00A4450C" w14:paraId="5EF0E4B8" w14:textId="77777777" w:rsidTr="0014138F">
        <w:trPr>
          <w:trHeight w:val="1061"/>
        </w:trPr>
        <w:tc>
          <w:tcPr>
            <w:tcW w:w="5400" w:type="dxa"/>
          </w:tcPr>
          <w:p w14:paraId="7DD3A020" w14:textId="746D673C" w:rsidR="0014138F" w:rsidRPr="005B5418" w:rsidRDefault="0014138F" w:rsidP="002B71CE">
            <w:pPr>
              <w:pStyle w:val="Heading4"/>
              <w:jc w:val="left"/>
              <w:rPr>
                <w:b/>
                <w:bCs/>
                <w:u w:val="none"/>
              </w:rPr>
            </w:pPr>
            <w:bookmarkStart w:id="300" w:name="_II.4.12_Financial_Reporting-Related"/>
            <w:bookmarkEnd w:id="300"/>
            <w:r w:rsidRPr="005B5418">
              <w:rPr>
                <w:b/>
                <w:bCs/>
                <w:u w:val="none"/>
              </w:rPr>
              <w:lastRenderedPageBreak/>
              <w:t>II.4.</w:t>
            </w:r>
            <w:r w:rsidR="007067CB" w:rsidRPr="005B5418">
              <w:rPr>
                <w:b/>
                <w:bCs/>
                <w:u w:val="none"/>
              </w:rPr>
              <w:t xml:space="preserve">11 </w:t>
            </w:r>
            <w:r w:rsidRPr="005B5418">
              <w:rPr>
                <w:b/>
                <w:bCs/>
                <w:u w:val="none"/>
              </w:rPr>
              <w:t>Financial Reporting-Related Legislation</w:t>
            </w:r>
          </w:p>
        </w:tc>
        <w:tc>
          <w:tcPr>
            <w:tcW w:w="965" w:type="dxa"/>
          </w:tcPr>
          <w:p w14:paraId="3AB2DC65" w14:textId="77777777" w:rsidR="0014138F" w:rsidRPr="005B5418" w:rsidRDefault="0014138F" w:rsidP="0014138F">
            <w:pPr>
              <w:pStyle w:val="Table-Cell-CenterBoldBefore6ptAfter6pt"/>
              <w:spacing w:before="60" w:after="60"/>
              <w:jc w:val="left"/>
              <w:rPr>
                <w:rStyle w:val="CommentReference"/>
                <w:rFonts w:eastAsiaTheme="majorEastAsia"/>
                <w:sz w:val="22"/>
                <w:szCs w:val="22"/>
              </w:rPr>
            </w:pPr>
            <w:r w:rsidRPr="005B5418">
              <w:rPr>
                <w:rStyle w:val="CommentReference"/>
                <w:rFonts w:eastAsiaTheme="majorEastAsia"/>
                <w:sz w:val="22"/>
                <w:szCs w:val="22"/>
              </w:rPr>
              <w:t>Yes, No, or N/A</w:t>
            </w:r>
          </w:p>
        </w:tc>
        <w:tc>
          <w:tcPr>
            <w:tcW w:w="3211" w:type="dxa"/>
          </w:tcPr>
          <w:p w14:paraId="7ABDD066" w14:textId="77777777" w:rsidR="0014138F" w:rsidRPr="005B5418" w:rsidRDefault="0014138F" w:rsidP="0014138F">
            <w:pPr>
              <w:spacing w:before="60" w:after="60" w:line="240" w:lineRule="auto"/>
              <w:rPr>
                <w:rFonts w:ascii="Arial" w:hAnsi="Arial" w:cs="Arial"/>
                <w:b/>
              </w:rPr>
            </w:pPr>
            <w:r w:rsidRPr="005B5418">
              <w:rPr>
                <w:rFonts w:ascii="Arial" w:hAnsi="Arial" w:cs="Arial"/>
                <w:b/>
              </w:rPr>
              <w:t>Explanation and Reference</w:t>
            </w:r>
          </w:p>
        </w:tc>
      </w:tr>
      <w:tr w:rsidR="0014138F" w:rsidRPr="005B5418" w:rsidDel="00A4450C" w14:paraId="79BFF31C" w14:textId="77777777" w:rsidTr="006A1906">
        <w:trPr>
          <w:trHeight w:val="2510"/>
        </w:trPr>
        <w:tc>
          <w:tcPr>
            <w:tcW w:w="9576" w:type="dxa"/>
            <w:gridSpan w:val="3"/>
          </w:tcPr>
          <w:p w14:paraId="086CCA6A" w14:textId="3C92637A" w:rsidR="00B425F9" w:rsidRPr="005B5418" w:rsidRDefault="00EE3CC4" w:rsidP="002B71CE">
            <w:pPr>
              <w:pStyle w:val="BodyText"/>
              <w:spacing w:line="240" w:lineRule="auto"/>
              <w:jc w:val="left"/>
              <w:rPr>
                <w:sz w:val="22"/>
                <w:szCs w:val="22"/>
              </w:rPr>
            </w:pPr>
            <w:r w:rsidRPr="005B5418">
              <w:rPr>
                <w:sz w:val="22"/>
                <w:szCs w:val="22"/>
              </w:rPr>
              <w:t xml:space="preserve">OMB Circular No. A-136 requires </w:t>
            </w:r>
            <w:r w:rsidR="00B425F9" w:rsidRPr="005B5418">
              <w:rPr>
                <w:sz w:val="22"/>
                <w:szCs w:val="22"/>
              </w:rPr>
              <w:t xml:space="preserve">significant reporting entities and components </w:t>
            </w:r>
            <w:r w:rsidRPr="005B5418">
              <w:rPr>
                <w:sz w:val="22"/>
                <w:szCs w:val="22"/>
              </w:rPr>
              <w:t>to</w:t>
            </w:r>
            <w:r w:rsidR="00B425F9" w:rsidRPr="005B5418">
              <w:rPr>
                <w:sz w:val="22"/>
                <w:szCs w:val="22"/>
              </w:rPr>
              <w:t xml:space="preserve"> report agency-specific legislative provisions</w:t>
            </w:r>
            <w:r w:rsidR="00B425F9" w:rsidRPr="005B5418" w:rsidDel="007A64F5">
              <w:rPr>
                <w:sz w:val="22"/>
                <w:szCs w:val="22"/>
              </w:rPr>
              <w:t xml:space="preserve"> </w:t>
            </w:r>
            <w:r w:rsidR="00B425F9" w:rsidRPr="005B5418">
              <w:rPr>
                <w:sz w:val="22"/>
                <w:szCs w:val="22"/>
              </w:rPr>
              <w:t xml:space="preserve">enacted in the prior year or current year that address agency-specific financial accounting, reporting, or auditing issues. This is to inform AFR users of any legislation that affected the entity’s </w:t>
            </w:r>
            <w:r w:rsidR="007067CB" w:rsidRPr="005B5418">
              <w:rPr>
                <w:sz w:val="22"/>
                <w:szCs w:val="22"/>
              </w:rPr>
              <w:t xml:space="preserve">or component’s </w:t>
            </w:r>
            <w:r w:rsidR="00B425F9" w:rsidRPr="005B5418">
              <w:rPr>
                <w:sz w:val="22"/>
                <w:szCs w:val="22"/>
              </w:rPr>
              <w:t>ability to prepare its AFR or the entity’s audit opinion. Report (1) the name of the act containing the provision, (2) the complete public law citation and a hyperlink, and (3) an explanation of the purpose of the legislation. This section is not for recurring appropriations or for routine reauthorizations</w:t>
            </w:r>
            <w:r w:rsidR="004D315D" w:rsidRPr="005B5418">
              <w:rPr>
                <w:sz w:val="22"/>
                <w:szCs w:val="22"/>
              </w:rPr>
              <w:t>.</w:t>
            </w:r>
            <w:r w:rsidR="00B425F9" w:rsidRPr="005B5418">
              <w:rPr>
                <w:sz w:val="22"/>
                <w:szCs w:val="22"/>
              </w:rPr>
              <w:t xml:space="preserve"> An example of reportable provision is section 1413 </w:t>
            </w:r>
            <w:r w:rsidRPr="005B5418">
              <w:rPr>
                <w:sz w:val="22"/>
                <w:szCs w:val="22"/>
              </w:rPr>
              <w:t xml:space="preserve">(Beginning balances of the National Defense Stockpile Transaction Fund for audit purposes) </w:t>
            </w:r>
            <w:r w:rsidR="00B425F9" w:rsidRPr="005B5418">
              <w:rPr>
                <w:sz w:val="22"/>
                <w:szCs w:val="22"/>
              </w:rPr>
              <w:t xml:space="preserve">of the National Defense Authorization Act for </w:t>
            </w:r>
            <w:r w:rsidR="004D315D" w:rsidRPr="005B5418">
              <w:rPr>
                <w:sz w:val="22"/>
                <w:szCs w:val="22"/>
              </w:rPr>
              <w:t>Fiscal Year</w:t>
            </w:r>
            <w:r w:rsidR="00B425F9" w:rsidRPr="005B5418">
              <w:rPr>
                <w:sz w:val="22"/>
                <w:szCs w:val="22"/>
              </w:rPr>
              <w:t xml:space="preserve"> 2024</w:t>
            </w:r>
            <w:r w:rsidRPr="005B5418">
              <w:rPr>
                <w:sz w:val="22"/>
                <w:szCs w:val="22"/>
              </w:rPr>
              <w:t>, Pub. L. No. 118-31, div. A, tit. XIV, 137 Stat. 136, 528 (Dec. 22, 2023)</w:t>
            </w:r>
            <w:r w:rsidR="00B425F9" w:rsidRPr="005B5418">
              <w:rPr>
                <w:sz w:val="22"/>
                <w:szCs w:val="22"/>
              </w:rPr>
              <w:t xml:space="preserve">. </w:t>
            </w:r>
          </w:p>
          <w:p w14:paraId="7C9EF8E9" w14:textId="77777777" w:rsidR="0014138F" w:rsidRPr="005425ED" w:rsidRDefault="0014138F" w:rsidP="006A1906">
            <w:pPr>
              <w:pStyle w:val="BodyText"/>
              <w:spacing w:before="60" w:after="60" w:line="240" w:lineRule="auto"/>
              <w:rPr>
                <w:rFonts w:cs="Arial"/>
                <w:b/>
              </w:rPr>
            </w:pPr>
          </w:p>
        </w:tc>
      </w:tr>
      <w:tr w:rsidR="00B03006" w:rsidRPr="005B5418" w:rsidDel="00A4450C" w14:paraId="5D074991" w14:textId="77777777" w:rsidTr="005115D3">
        <w:trPr>
          <w:trHeight w:val="620"/>
        </w:trPr>
        <w:tc>
          <w:tcPr>
            <w:tcW w:w="5400" w:type="dxa"/>
          </w:tcPr>
          <w:p w14:paraId="057B9571" w14:textId="517171C4" w:rsidR="00B03006" w:rsidRPr="005B5418" w:rsidRDefault="00D60049" w:rsidP="005E5E93">
            <w:pPr>
              <w:pStyle w:val="FAM-Table-outline"/>
              <w:widowControl/>
              <w:numPr>
                <w:ilvl w:val="0"/>
                <w:numId w:val="131"/>
              </w:numPr>
              <w:adjustRightInd/>
              <w:spacing w:line="240" w:lineRule="auto"/>
              <w:textAlignment w:val="auto"/>
              <w:rPr>
                <w:szCs w:val="22"/>
              </w:rPr>
            </w:pPr>
            <w:r w:rsidRPr="005B5418">
              <w:rPr>
                <w:szCs w:val="22"/>
              </w:rPr>
              <w:t>D</w:t>
            </w:r>
            <w:r w:rsidR="00B03006" w:rsidRPr="005B5418">
              <w:rPr>
                <w:szCs w:val="22"/>
              </w:rPr>
              <w:t>oes the entity report all agency-specific legislative provisions enacted in the prior year or current year that address agency-specific financial accounting, reporting, or auditing issues</w:t>
            </w:r>
            <w:r w:rsidR="00CD7523" w:rsidRPr="005B5418">
              <w:rPr>
                <w:szCs w:val="22"/>
              </w:rPr>
              <w:t>, specifically</w:t>
            </w:r>
            <w:r w:rsidR="00B03006" w:rsidRPr="005B5418">
              <w:rPr>
                <w:szCs w:val="22"/>
              </w:rPr>
              <w:t>:</w:t>
            </w:r>
          </w:p>
          <w:p w14:paraId="68AC9B38" w14:textId="5EF39337" w:rsidR="00B03006" w:rsidRPr="005B5418" w:rsidRDefault="00B03006" w:rsidP="00B03006">
            <w:pPr>
              <w:pStyle w:val="FAM-Table-outline"/>
              <w:widowControl/>
              <w:numPr>
                <w:ilvl w:val="1"/>
                <w:numId w:val="131"/>
              </w:numPr>
              <w:adjustRightInd/>
              <w:spacing w:line="240" w:lineRule="auto"/>
              <w:textAlignment w:val="auto"/>
              <w:rPr>
                <w:szCs w:val="22"/>
              </w:rPr>
            </w:pPr>
            <w:r w:rsidRPr="005B5418">
              <w:rPr>
                <w:szCs w:val="22"/>
              </w:rPr>
              <w:t>The name of the act containing the provision</w:t>
            </w:r>
          </w:p>
          <w:p w14:paraId="72FC2314" w14:textId="5B13AD2C" w:rsidR="00B03006" w:rsidRPr="005B5418" w:rsidRDefault="00B03006" w:rsidP="00B03006">
            <w:pPr>
              <w:pStyle w:val="FAM-Table-outline"/>
              <w:widowControl/>
              <w:numPr>
                <w:ilvl w:val="1"/>
                <w:numId w:val="131"/>
              </w:numPr>
              <w:adjustRightInd/>
              <w:spacing w:line="240" w:lineRule="auto"/>
              <w:textAlignment w:val="auto"/>
              <w:rPr>
                <w:szCs w:val="22"/>
              </w:rPr>
            </w:pPr>
            <w:r w:rsidRPr="005B5418">
              <w:rPr>
                <w:szCs w:val="22"/>
              </w:rPr>
              <w:t>The complete public law citation and a hyperlink</w:t>
            </w:r>
          </w:p>
          <w:p w14:paraId="1CEB3D70" w14:textId="56FF0AB2" w:rsidR="00B03006" w:rsidRPr="005B5418" w:rsidRDefault="00B03006" w:rsidP="00B03006">
            <w:pPr>
              <w:pStyle w:val="FAM-Table-outline"/>
              <w:widowControl/>
              <w:numPr>
                <w:ilvl w:val="1"/>
                <w:numId w:val="131"/>
              </w:numPr>
              <w:adjustRightInd/>
              <w:spacing w:line="240" w:lineRule="auto"/>
              <w:textAlignment w:val="auto"/>
              <w:rPr>
                <w:szCs w:val="22"/>
              </w:rPr>
            </w:pPr>
            <w:r w:rsidRPr="005B5418">
              <w:rPr>
                <w:szCs w:val="22"/>
              </w:rPr>
              <w:t>An explanation of the purpose of the legislation</w:t>
            </w:r>
            <w:r w:rsidR="00CD7523" w:rsidRPr="005B5418">
              <w:rPr>
                <w:szCs w:val="22"/>
              </w:rPr>
              <w:t>?</w:t>
            </w:r>
            <w:r w:rsidRPr="005B5418">
              <w:rPr>
                <w:szCs w:val="22"/>
              </w:rPr>
              <w:t xml:space="preserve"> (A-136, section II.4.</w:t>
            </w:r>
            <w:r w:rsidR="003860CA" w:rsidRPr="005B5418">
              <w:rPr>
                <w:szCs w:val="22"/>
              </w:rPr>
              <w:t>11</w:t>
            </w:r>
            <w:r w:rsidRPr="005B5418">
              <w:rPr>
                <w:szCs w:val="22"/>
              </w:rPr>
              <w:t>)</w:t>
            </w:r>
          </w:p>
        </w:tc>
        <w:tc>
          <w:tcPr>
            <w:tcW w:w="965" w:type="dxa"/>
          </w:tcPr>
          <w:p w14:paraId="07A0BEB8" w14:textId="77777777" w:rsidR="00B03006" w:rsidRPr="005B5418" w:rsidRDefault="00B03006" w:rsidP="005115D3">
            <w:pPr>
              <w:pStyle w:val="Table-Cell-CenterBoldBefore6ptAfter6pt"/>
              <w:spacing w:before="60" w:after="60"/>
              <w:jc w:val="left"/>
              <w:rPr>
                <w:rStyle w:val="CommentReference"/>
                <w:rFonts w:eastAsiaTheme="majorEastAsia"/>
                <w:sz w:val="22"/>
                <w:szCs w:val="22"/>
              </w:rPr>
            </w:pPr>
          </w:p>
        </w:tc>
        <w:tc>
          <w:tcPr>
            <w:tcW w:w="3211" w:type="dxa"/>
          </w:tcPr>
          <w:p w14:paraId="3CC141D4" w14:textId="77777777" w:rsidR="00B03006" w:rsidRPr="005B5418" w:rsidRDefault="00B03006" w:rsidP="005115D3">
            <w:pPr>
              <w:spacing w:before="60" w:after="60" w:line="240" w:lineRule="auto"/>
              <w:rPr>
                <w:rFonts w:ascii="Arial" w:hAnsi="Arial" w:cs="Arial"/>
                <w:b/>
              </w:rPr>
            </w:pPr>
          </w:p>
        </w:tc>
      </w:tr>
    </w:tbl>
    <w:p w14:paraId="1C50E0BE" w14:textId="77777777" w:rsidR="00317A38" w:rsidRPr="005B5418" w:rsidRDefault="00317A38">
      <w:pPr>
        <w:rPr>
          <w:rFonts w:cs="Arial"/>
        </w:rPr>
      </w:pPr>
      <w:r w:rsidRPr="005B5418">
        <w:rPr>
          <w:rFonts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965"/>
        <w:gridCol w:w="3211"/>
      </w:tblGrid>
      <w:tr w:rsidR="0014138F" w:rsidRPr="005B5418" w:rsidDel="00A4450C" w14:paraId="3CE9BA87" w14:textId="77777777" w:rsidTr="005115D3">
        <w:trPr>
          <w:trHeight w:val="620"/>
        </w:trPr>
        <w:tc>
          <w:tcPr>
            <w:tcW w:w="5400" w:type="dxa"/>
          </w:tcPr>
          <w:p w14:paraId="74295A1C" w14:textId="6933BE2A" w:rsidR="0014138F" w:rsidRPr="005B5418" w:rsidRDefault="0014138F" w:rsidP="005425ED">
            <w:pPr>
              <w:pStyle w:val="Heading4"/>
              <w:spacing w:line="240" w:lineRule="auto"/>
              <w:jc w:val="left"/>
              <w:rPr>
                <w:b/>
                <w:u w:val="none"/>
              </w:rPr>
            </w:pPr>
            <w:bookmarkStart w:id="301" w:name="_II.4.13_Optional_Federal"/>
            <w:bookmarkEnd w:id="301"/>
            <w:r w:rsidRPr="005B5418">
              <w:rPr>
                <w:b/>
                <w:u w:val="none"/>
              </w:rPr>
              <w:lastRenderedPageBreak/>
              <w:t>II.4.</w:t>
            </w:r>
            <w:r w:rsidR="007067CB" w:rsidRPr="005B5418">
              <w:rPr>
                <w:b/>
                <w:u w:val="none"/>
              </w:rPr>
              <w:t xml:space="preserve">12 </w:t>
            </w:r>
            <w:r w:rsidR="006A1906" w:rsidRPr="005B5418">
              <w:rPr>
                <w:b/>
                <w:u w:val="none"/>
              </w:rPr>
              <w:t xml:space="preserve">Federal Entity Trading </w:t>
            </w:r>
            <w:r w:rsidR="005E5E93" w:rsidRPr="005B5418">
              <w:rPr>
                <w:b/>
                <w:u w:val="none"/>
              </w:rPr>
              <w:t>Partner Information</w:t>
            </w:r>
          </w:p>
        </w:tc>
        <w:tc>
          <w:tcPr>
            <w:tcW w:w="965" w:type="dxa"/>
          </w:tcPr>
          <w:p w14:paraId="7172CCD8" w14:textId="77777777" w:rsidR="0014138F" w:rsidRPr="005B5418" w:rsidRDefault="0014138F" w:rsidP="005115D3">
            <w:pPr>
              <w:pStyle w:val="Table-Cell-CenterBoldBefore6ptAfter6pt"/>
              <w:spacing w:before="60" w:after="60"/>
              <w:jc w:val="left"/>
              <w:rPr>
                <w:rStyle w:val="CommentReference"/>
                <w:rFonts w:eastAsiaTheme="majorEastAsia"/>
                <w:sz w:val="22"/>
                <w:szCs w:val="22"/>
              </w:rPr>
            </w:pPr>
            <w:r w:rsidRPr="005B5418">
              <w:rPr>
                <w:rStyle w:val="CommentReference"/>
                <w:rFonts w:eastAsiaTheme="majorEastAsia"/>
                <w:sz w:val="22"/>
                <w:szCs w:val="22"/>
              </w:rPr>
              <w:t>Yes, No, or N/A</w:t>
            </w:r>
          </w:p>
        </w:tc>
        <w:tc>
          <w:tcPr>
            <w:tcW w:w="3211" w:type="dxa"/>
          </w:tcPr>
          <w:p w14:paraId="5C29713B" w14:textId="77777777" w:rsidR="0014138F" w:rsidRPr="005B5418" w:rsidRDefault="0014138F" w:rsidP="005115D3">
            <w:pPr>
              <w:spacing w:before="60" w:after="60" w:line="240" w:lineRule="auto"/>
              <w:rPr>
                <w:rFonts w:ascii="Arial" w:hAnsi="Arial" w:cs="Arial"/>
                <w:b/>
              </w:rPr>
            </w:pPr>
            <w:r w:rsidRPr="005B5418">
              <w:rPr>
                <w:rFonts w:ascii="Arial" w:hAnsi="Arial" w:cs="Arial"/>
                <w:b/>
              </w:rPr>
              <w:t>Explanation and Reference</w:t>
            </w:r>
          </w:p>
        </w:tc>
      </w:tr>
      <w:tr w:rsidR="0014138F" w:rsidRPr="005B5418" w:rsidDel="00A4450C" w14:paraId="170F9F45" w14:textId="77777777" w:rsidTr="005115D3">
        <w:trPr>
          <w:trHeight w:val="620"/>
        </w:trPr>
        <w:tc>
          <w:tcPr>
            <w:tcW w:w="9576" w:type="dxa"/>
            <w:gridSpan w:val="3"/>
          </w:tcPr>
          <w:p w14:paraId="47698AC1" w14:textId="25BD7CBA" w:rsidR="00B425F9" w:rsidRPr="005B5418" w:rsidRDefault="00B425F9" w:rsidP="002B71CE">
            <w:pPr>
              <w:pStyle w:val="BodyText"/>
              <w:spacing w:line="240" w:lineRule="auto"/>
              <w:jc w:val="left"/>
              <w:rPr>
                <w:sz w:val="22"/>
                <w:szCs w:val="22"/>
              </w:rPr>
            </w:pPr>
            <w:r w:rsidRPr="005B5418">
              <w:rPr>
                <w:sz w:val="22"/>
                <w:szCs w:val="22"/>
              </w:rPr>
              <w:t xml:space="preserve">Significant entities may, at management’s discretion, list the entity’s trading partners with which the entity has material transactions or balances, if such information would be useful to AFR users. For each partner, entities may explain the nature of the exchanges with the partner and provide, for example, the revenue, expenses, or capitalized purchases with the trading partner during the year and the cumulative amount due from or to the partner at the end of the year. If presented, this information may be included as a </w:t>
            </w:r>
            <w:r w:rsidR="005E193C" w:rsidRPr="005B5418">
              <w:rPr>
                <w:sz w:val="22"/>
                <w:szCs w:val="22"/>
              </w:rPr>
              <w:t>n</w:t>
            </w:r>
            <w:r w:rsidRPr="005B5418">
              <w:rPr>
                <w:sz w:val="22"/>
                <w:szCs w:val="22"/>
              </w:rPr>
              <w:t>ote or as Other Information.</w:t>
            </w:r>
          </w:p>
          <w:p w14:paraId="34479DF6" w14:textId="640122FA" w:rsidR="007067CB" w:rsidRPr="005B5418" w:rsidRDefault="007067CB" w:rsidP="002B71CE">
            <w:pPr>
              <w:pStyle w:val="BodyText"/>
              <w:spacing w:line="240" w:lineRule="auto"/>
              <w:jc w:val="left"/>
              <w:rPr>
                <w:sz w:val="22"/>
                <w:szCs w:val="22"/>
              </w:rPr>
            </w:pPr>
            <w:r w:rsidRPr="005B5418">
              <w:rPr>
                <w:sz w:val="22"/>
                <w:szCs w:val="22"/>
              </w:rPr>
              <w:t>Significant entities that were not able to and did not meet the October 1, 2022, G-Invoicing deadline for New Orders should summarize, as Other Information, the procedures used to identify, reconcile, and resolve intragovernmental balance differences with trading partners. In this regard, entities may discuss how G-Invoicing has been used and how it will be used for all Buy/Sell transactions (as of October 1, 2025, which is also a TFM deadline).</w:t>
            </w:r>
            <w:r w:rsidR="009F78DA" w:rsidRPr="005B5418">
              <w:rPr>
                <w:sz w:val="22"/>
                <w:szCs w:val="22"/>
              </w:rPr>
              <w:t xml:space="preserve"> </w:t>
            </w:r>
            <w:r w:rsidR="009F78DA" w:rsidRPr="005B5418">
              <w:rPr>
                <w:szCs w:val="22"/>
              </w:rPr>
              <w:t>(A-136, section II.4.12)</w:t>
            </w:r>
          </w:p>
          <w:p w14:paraId="1A2EF8E8" w14:textId="77777777" w:rsidR="0014138F" w:rsidRPr="005B5418" w:rsidRDefault="0014138F" w:rsidP="00A032A6">
            <w:pPr>
              <w:pStyle w:val="BodyText"/>
              <w:spacing w:line="240" w:lineRule="auto"/>
              <w:rPr>
                <w:rFonts w:cs="Arial"/>
                <w:b/>
              </w:rPr>
            </w:pPr>
          </w:p>
        </w:tc>
      </w:tr>
      <w:tr w:rsidR="0014138F" w:rsidRPr="005B5418" w:rsidDel="00A4450C" w14:paraId="1C2DDF77" w14:textId="77777777" w:rsidTr="005115D3">
        <w:trPr>
          <w:trHeight w:val="620"/>
        </w:trPr>
        <w:tc>
          <w:tcPr>
            <w:tcW w:w="5400" w:type="dxa"/>
          </w:tcPr>
          <w:p w14:paraId="4D5DDC61" w14:textId="01134A45" w:rsidR="0014138F" w:rsidRPr="005B5418" w:rsidRDefault="00B425F9" w:rsidP="005E5E93">
            <w:pPr>
              <w:pStyle w:val="FAM-Table-outline"/>
              <w:widowControl/>
              <w:numPr>
                <w:ilvl w:val="0"/>
                <w:numId w:val="132"/>
              </w:numPr>
              <w:adjustRightInd/>
              <w:spacing w:line="240" w:lineRule="auto"/>
              <w:textAlignment w:val="auto"/>
              <w:rPr>
                <w:szCs w:val="22"/>
              </w:rPr>
            </w:pPr>
            <w:r w:rsidRPr="005B5418">
              <w:rPr>
                <w:szCs w:val="22"/>
              </w:rPr>
              <w:t xml:space="preserve">(OPTIONAL) Does the entity </w:t>
            </w:r>
            <w:r w:rsidR="009C594A" w:rsidRPr="005B5418">
              <w:rPr>
                <w:szCs w:val="22"/>
              </w:rPr>
              <w:t>report</w:t>
            </w:r>
            <w:r w:rsidRPr="005B5418">
              <w:rPr>
                <w:szCs w:val="22"/>
              </w:rPr>
              <w:t xml:space="preserve"> material trading partner transactions or balances consistent with A-136</w:t>
            </w:r>
            <w:r w:rsidR="005E193C" w:rsidRPr="005B5418">
              <w:rPr>
                <w:szCs w:val="22"/>
              </w:rPr>
              <w:t>,</w:t>
            </w:r>
            <w:r w:rsidRPr="005B5418">
              <w:rPr>
                <w:szCs w:val="22"/>
              </w:rPr>
              <w:t xml:space="preserve"> section II.4.</w:t>
            </w:r>
            <w:r w:rsidR="003860CA" w:rsidRPr="005B5418">
              <w:rPr>
                <w:szCs w:val="22"/>
              </w:rPr>
              <w:t>12</w:t>
            </w:r>
            <w:r w:rsidRPr="005B5418">
              <w:rPr>
                <w:szCs w:val="22"/>
              </w:rPr>
              <w:t>?</w:t>
            </w:r>
          </w:p>
        </w:tc>
        <w:tc>
          <w:tcPr>
            <w:tcW w:w="965" w:type="dxa"/>
          </w:tcPr>
          <w:p w14:paraId="24DC4590" w14:textId="77777777" w:rsidR="0014138F" w:rsidRPr="005B5418" w:rsidRDefault="0014138F" w:rsidP="005115D3">
            <w:pPr>
              <w:pStyle w:val="Table-Cell-CenterBoldBefore6ptAfter6pt"/>
              <w:spacing w:before="60" w:after="60"/>
              <w:jc w:val="left"/>
              <w:rPr>
                <w:rStyle w:val="CommentReference"/>
                <w:rFonts w:eastAsiaTheme="majorEastAsia"/>
                <w:sz w:val="22"/>
                <w:szCs w:val="22"/>
              </w:rPr>
            </w:pPr>
          </w:p>
        </w:tc>
        <w:tc>
          <w:tcPr>
            <w:tcW w:w="3211" w:type="dxa"/>
          </w:tcPr>
          <w:p w14:paraId="3165745D" w14:textId="77777777" w:rsidR="0014138F" w:rsidRPr="005B5418" w:rsidRDefault="0014138F" w:rsidP="005115D3">
            <w:pPr>
              <w:spacing w:before="60" w:after="60" w:line="240" w:lineRule="auto"/>
              <w:rPr>
                <w:rFonts w:ascii="Arial" w:hAnsi="Arial" w:cs="Arial"/>
                <w:b/>
              </w:rPr>
            </w:pPr>
          </w:p>
        </w:tc>
      </w:tr>
      <w:tr w:rsidR="007067CB" w:rsidRPr="005B5418" w:rsidDel="00A4450C" w14:paraId="5F2DEDB3" w14:textId="77777777" w:rsidTr="005115D3">
        <w:trPr>
          <w:trHeight w:val="620"/>
        </w:trPr>
        <w:tc>
          <w:tcPr>
            <w:tcW w:w="5400" w:type="dxa"/>
          </w:tcPr>
          <w:p w14:paraId="6C869602" w14:textId="6FEC854B" w:rsidR="007067CB" w:rsidRPr="005B5418" w:rsidRDefault="007067CB" w:rsidP="005E5E93">
            <w:pPr>
              <w:pStyle w:val="FAM-Table-outline"/>
              <w:widowControl/>
              <w:numPr>
                <w:ilvl w:val="0"/>
                <w:numId w:val="132"/>
              </w:numPr>
              <w:adjustRightInd/>
              <w:spacing w:line="240" w:lineRule="auto"/>
              <w:textAlignment w:val="auto"/>
              <w:rPr>
                <w:szCs w:val="22"/>
              </w:rPr>
            </w:pPr>
            <w:r w:rsidRPr="005B5418">
              <w:rPr>
                <w:szCs w:val="22"/>
              </w:rPr>
              <w:t>Do significant entities that were not able to and did not meet the October 1, 2022, G-Invoicing deadline for New Orders summarize, as Other Information, the procedures used to identify, reconcile, and resolve intragovernmental balance differences with trading partners</w:t>
            </w:r>
            <w:r w:rsidR="006B064A" w:rsidRPr="005B5418">
              <w:rPr>
                <w:szCs w:val="22"/>
              </w:rPr>
              <w:t>?</w:t>
            </w:r>
            <w:r w:rsidRPr="005B5418">
              <w:rPr>
                <w:szCs w:val="22"/>
              </w:rPr>
              <w:t xml:space="preserve"> </w:t>
            </w:r>
            <w:r w:rsidR="007576F6" w:rsidRPr="005B5418">
              <w:rPr>
                <w:szCs w:val="22"/>
              </w:rPr>
              <w:t>(A-136, section II.4.1</w:t>
            </w:r>
            <w:r w:rsidR="003860CA" w:rsidRPr="005B5418">
              <w:rPr>
                <w:szCs w:val="22"/>
              </w:rPr>
              <w:t>2</w:t>
            </w:r>
            <w:r w:rsidR="007576F6" w:rsidRPr="005B5418">
              <w:rPr>
                <w:szCs w:val="22"/>
              </w:rPr>
              <w:t>)</w:t>
            </w:r>
          </w:p>
        </w:tc>
        <w:tc>
          <w:tcPr>
            <w:tcW w:w="965" w:type="dxa"/>
          </w:tcPr>
          <w:p w14:paraId="0235A9E4" w14:textId="77777777" w:rsidR="007067CB" w:rsidRPr="005B5418" w:rsidRDefault="007067CB" w:rsidP="005115D3">
            <w:pPr>
              <w:pStyle w:val="Table-Cell-CenterBoldBefore6ptAfter6pt"/>
              <w:spacing w:before="60" w:after="60"/>
              <w:jc w:val="left"/>
              <w:rPr>
                <w:rStyle w:val="CommentReference"/>
                <w:rFonts w:eastAsiaTheme="majorEastAsia"/>
                <w:sz w:val="22"/>
                <w:szCs w:val="22"/>
              </w:rPr>
            </w:pPr>
          </w:p>
        </w:tc>
        <w:tc>
          <w:tcPr>
            <w:tcW w:w="3211" w:type="dxa"/>
          </w:tcPr>
          <w:p w14:paraId="5FC33750" w14:textId="77777777" w:rsidR="007067CB" w:rsidRPr="005B5418" w:rsidRDefault="007067CB" w:rsidP="005115D3">
            <w:pPr>
              <w:spacing w:before="60" w:after="60" w:line="240" w:lineRule="auto"/>
              <w:rPr>
                <w:rFonts w:ascii="Arial" w:hAnsi="Arial" w:cs="Arial"/>
                <w:b/>
              </w:rPr>
            </w:pPr>
          </w:p>
        </w:tc>
      </w:tr>
    </w:tbl>
    <w:p w14:paraId="5EA101EF" w14:textId="77777777" w:rsidR="00E1332F" w:rsidRPr="005B5418" w:rsidRDefault="00E1332F" w:rsidP="003B61E9">
      <w:pPr>
        <w:spacing w:line="240" w:lineRule="auto"/>
        <w:rPr>
          <w:rFonts w:cs="Arial"/>
        </w:rPr>
        <w:sectPr w:rsidR="00E1332F" w:rsidRPr="005B5418" w:rsidSect="00571B6D">
          <w:pgSz w:w="12240" w:h="15840" w:code="1"/>
          <w:pgMar w:top="1440" w:right="1440" w:bottom="1440" w:left="1440" w:header="720" w:footer="720" w:gutter="0"/>
          <w:cols w:space="708"/>
          <w:docGrid w:linePitch="326"/>
        </w:sectPr>
      </w:pPr>
    </w:p>
    <w:p w14:paraId="68F44717" w14:textId="12661183" w:rsidR="00E2427E" w:rsidRPr="005B5418" w:rsidRDefault="00E2427E" w:rsidP="003B61E9">
      <w:pPr>
        <w:pStyle w:val="Heading3"/>
        <w:spacing w:line="240" w:lineRule="auto"/>
      </w:pPr>
      <w:bookmarkStart w:id="302" w:name="_Appendix_A_–"/>
      <w:bookmarkStart w:id="303" w:name="_Toc8724396"/>
      <w:bookmarkStart w:id="304" w:name="_Toc18571198"/>
      <w:bookmarkStart w:id="305" w:name="_Ref399945226"/>
      <w:bookmarkStart w:id="306" w:name="_Ref400003836"/>
      <w:bookmarkStart w:id="307" w:name="_Ref506386934"/>
      <w:bookmarkEnd w:id="302"/>
      <w:r w:rsidRPr="005B5418">
        <w:lastRenderedPageBreak/>
        <w:t xml:space="preserve">Appendix A – Authoritative </w:t>
      </w:r>
      <w:bookmarkEnd w:id="303"/>
      <w:r w:rsidR="00E1332F" w:rsidRPr="005B5418">
        <w:t>Sources</w:t>
      </w:r>
      <w:bookmarkEnd w:id="304"/>
    </w:p>
    <w:bookmarkEnd w:id="305"/>
    <w:bookmarkEnd w:id="306"/>
    <w:bookmarkEnd w:id="307"/>
    <w:p w14:paraId="7E58262D" w14:textId="77777777" w:rsidR="00E2427E" w:rsidRPr="005B5418" w:rsidRDefault="00E2427E" w:rsidP="003B61E9">
      <w:pPr>
        <w:pStyle w:val="BodyText"/>
        <w:spacing w:after="0" w:line="240" w:lineRule="auto"/>
        <w:rPr>
          <w:rFonts w:eastAsia="Arial Unicode MS" w:cs="Arial"/>
          <w:sz w:val="22"/>
          <w:szCs w:val="22"/>
        </w:rPr>
      </w:pPr>
      <w:r w:rsidRPr="005B5418">
        <w:rPr>
          <w:rFonts w:eastAsia="Arial Unicode MS" w:cs="Arial"/>
          <w:sz w:val="22"/>
          <w:szCs w:val="22"/>
        </w:rPr>
        <w:t xml:space="preserve">Each question in this guide is referenced to one of the sources cited: </w:t>
      </w:r>
    </w:p>
    <w:p w14:paraId="16BD90F9" w14:textId="77CE6685" w:rsidR="00E2427E" w:rsidRPr="005B5418" w:rsidRDefault="00E2427E" w:rsidP="003B61E9">
      <w:pPr>
        <w:pStyle w:val="ListBullet"/>
        <w:rPr>
          <w:rFonts w:eastAsia="Arial Unicode MS" w:cs="Arial"/>
          <w:szCs w:val="22"/>
        </w:rPr>
      </w:pPr>
      <w:r w:rsidRPr="005B5418">
        <w:rPr>
          <w:rFonts w:eastAsia="Arial Unicode MS" w:cs="Arial"/>
          <w:szCs w:val="22"/>
        </w:rPr>
        <w:t>Federal Accounting Standards Advisory Board (FASAB) Statements of Federal Financial Accounting Standards (SFFAS)</w:t>
      </w:r>
      <w:r w:rsidR="00C91B51" w:rsidRPr="005B5418">
        <w:rPr>
          <w:rFonts w:eastAsia="Arial Unicode MS" w:cs="Arial"/>
          <w:szCs w:val="22"/>
        </w:rPr>
        <w:t xml:space="preserve"> or</w:t>
      </w:r>
    </w:p>
    <w:p w14:paraId="016F676B" w14:textId="460752D3" w:rsidR="00E2427E" w:rsidRPr="005B5418" w:rsidRDefault="00E2427E" w:rsidP="003B61E9">
      <w:pPr>
        <w:pStyle w:val="ListBullet"/>
        <w:rPr>
          <w:rFonts w:eastAsia="Arial Unicode MS" w:cs="Arial"/>
          <w:szCs w:val="22"/>
        </w:rPr>
      </w:pPr>
      <w:r w:rsidRPr="005B5418">
        <w:rPr>
          <w:rFonts w:eastAsia="Arial Unicode MS" w:cs="Arial"/>
          <w:szCs w:val="22"/>
        </w:rPr>
        <w:t xml:space="preserve">OMB Circular </w:t>
      </w:r>
      <w:r w:rsidR="00032FCF" w:rsidRPr="005B5418">
        <w:rPr>
          <w:rFonts w:eastAsia="Arial Unicode MS" w:cs="Arial"/>
          <w:szCs w:val="22"/>
        </w:rPr>
        <w:t xml:space="preserve">No. </w:t>
      </w:r>
      <w:r w:rsidRPr="005B5418">
        <w:rPr>
          <w:rFonts w:eastAsia="Arial Unicode MS" w:cs="Arial"/>
          <w:szCs w:val="22"/>
        </w:rPr>
        <w:t xml:space="preserve">A-136 (A-136), </w:t>
      </w:r>
      <w:r w:rsidRPr="005B5418">
        <w:rPr>
          <w:rFonts w:eastAsia="Arial Unicode MS" w:cs="Arial"/>
          <w:i/>
          <w:szCs w:val="22"/>
        </w:rPr>
        <w:t>Financial Reporting Requirements</w:t>
      </w:r>
      <w:r w:rsidR="00C91B51" w:rsidRPr="005B5418">
        <w:rPr>
          <w:rFonts w:eastAsia="Arial Unicode MS" w:cs="Arial"/>
          <w:szCs w:val="22"/>
        </w:rPr>
        <w:t>.</w:t>
      </w:r>
      <w:r w:rsidRPr="005B5418">
        <w:rPr>
          <w:rFonts w:eastAsia="Arial Unicode MS" w:cs="Arial"/>
          <w:szCs w:val="22"/>
        </w:rPr>
        <w:t xml:space="preserve"> </w:t>
      </w:r>
      <w:r w:rsidR="00032FCF" w:rsidRPr="005B5418">
        <w:rPr>
          <w:rFonts w:eastAsia="Arial Unicode MS" w:cs="Arial"/>
          <w:szCs w:val="22"/>
        </w:rPr>
        <w:t>(</w:t>
      </w:r>
      <w:r w:rsidR="00EC4501">
        <w:rPr>
          <w:rFonts w:eastAsia="Arial Unicode MS" w:cs="Arial"/>
          <w:szCs w:val="22"/>
        </w:rPr>
        <w:t>July</w:t>
      </w:r>
      <w:r w:rsidR="00EC4501" w:rsidRPr="005B5418">
        <w:rPr>
          <w:rFonts w:eastAsia="Arial Unicode MS" w:cs="Arial"/>
          <w:szCs w:val="22"/>
        </w:rPr>
        <w:t xml:space="preserve"> </w:t>
      </w:r>
      <w:r w:rsidR="00EC4501">
        <w:rPr>
          <w:rFonts w:eastAsia="Arial Unicode MS" w:cs="Arial"/>
          <w:szCs w:val="22"/>
        </w:rPr>
        <w:t>14</w:t>
      </w:r>
      <w:r w:rsidR="00C84CD5" w:rsidRPr="005B5418">
        <w:rPr>
          <w:rFonts w:eastAsia="Arial Unicode MS" w:cs="Arial"/>
          <w:szCs w:val="22"/>
        </w:rPr>
        <w:t>,</w:t>
      </w:r>
      <w:r w:rsidR="003E6399" w:rsidRPr="005B5418">
        <w:rPr>
          <w:rFonts w:eastAsia="Arial Unicode MS" w:cs="Arial"/>
          <w:szCs w:val="22"/>
        </w:rPr>
        <w:t xml:space="preserve"> </w:t>
      </w:r>
      <w:r w:rsidR="00EC4501">
        <w:rPr>
          <w:rFonts w:eastAsia="Arial Unicode MS" w:cs="Arial"/>
          <w:szCs w:val="22"/>
        </w:rPr>
        <w:t>2025</w:t>
      </w:r>
      <w:r w:rsidR="00032FCF" w:rsidRPr="005B5418">
        <w:rPr>
          <w:rFonts w:eastAsia="Arial Unicode MS" w:cs="Arial"/>
          <w:szCs w:val="22"/>
        </w:rPr>
        <w:t>)</w:t>
      </w:r>
    </w:p>
    <w:p w14:paraId="29DF27DF" w14:textId="33599158" w:rsidR="00E2427E" w:rsidRPr="005B5418" w:rsidRDefault="00E2427E" w:rsidP="003B61E9">
      <w:pPr>
        <w:pStyle w:val="BodyText"/>
        <w:spacing w:after="0" w:line="240" w:lineRule="auto"/>
        <w:rPr>
          <w:rFonts w:eastAsia="Arial Unicode MS" w:cs="Arial"/>
          <w:sz w:val="22"/>
          <w:szCs w:val="22"/>
        </w:rPr>
      </w:pPr>
      <w:r w:rsidRPr="005B5418">
        <w:rPr>
          <w:rFonts w:eastAsia="Arial Unicode MS" w:cs="Arial"/>
          <w:sz w:val="22"/>
          <w:szCs w:val="22"/>
        </w:rPr>
        <w:t xml:space="preserve">Also, certain items </w:t>
      </w:r>
      <w:r w:rsidR="00320E70" w:rsidRPr="005B5418">
        <w:rPr>
          <w:rFonts w:eastAsia="Arial Unicode MS" w:cs="Arial"/>
          <w:sz w:val="22"/>
          <w:szCs w:val="22"/>
        </w:rPr>
        <w:t>refer</w:t>
      </w:r>
      <w:r w:rsidRPr="005B5418">
        <w:rPr>
          <w:rFonts w:eastAsia="Arial Unicode MS" w:cs="Arial"/>
          <w:sz w:val="22"/>
          <w:szCs w:val="22"/>
        </w:rPr>
        <w:t xml:space="preserve"> to </w:t>
      </w:r>
      <w:r w:rsidR="00ED125C" w:rsidRPr="005B5418">
        <w:rPr>
          <w:rFonts w:eastAsia="Arial Unicode MS" w:cs="Arial"/>
          <w:sz w:val="22"/>
          <w:szCs w:val="22"/>
        </w:rPr>
        <w:t xml:space="preserve">FASAB Interpretations and </w:t>
      </w:r>
      <w:r w:rsidR="00CC4FD7" w:rsidRPr="005B5418">
        <w:rPr>
          <w:rFonts w:eastAsia="Arial Unicode MS" w:cs="Arial"/>
          <w:sz w:val="22"/>
          <w:szCs w:val="22"/>
        </w:rPr>
        <w:t>FASAB</w:t>
      </w:r>
      <w:r w:rsidRPr="005B5418">
        <w:rPr>
          <w:rFonts w:eastAsia="Arial Unicode MS" w:cs="Arial"/>
          <w:sz w:val="22"/>
          <w:szCs w:val="22"/>
        </w:rPr>
        <w:t xml:space="preserve"> Statement</w:t>
      </w:r>
      <w:r w:rsidR="00CC4FD7" w:rsidRPr="005B5418">
        <w:rPr>
          <w:rFonts w:eastAsia="Arial Unicode MS" w:cs="Arial"/>
          <w:sz w:val="22"/>
          <w:szCs w:val="22"/>
        </w:rPr>
        <w:t>s</w:t>
      </w:r>
      <w:r w:rsidRPr="005B5418">
        <w:rPr>
          <w:rFonts w:eastAsia="Arial Unicode MS" w:cs="Arial"/>
          <w:sz w:val="22"/>
          <w:szCs w:val="22"/>
        </w:rPr>
        <w:t xml:space="preserve"> of Federal Financial Accounting Concepts.</w:t>
      </w:r>
    </w:p>
    <w:p w14:paraId="71097219" w14:textId="77777777" w:rsidR="00E2427E" w:rsidRPr="005B5418" w:rsidRDefault="00E2427E" w:rsidP="003B61E9">
      <w:pPr>
        <w:pStyle w:val="BodyText"/>
        <w:spacing w:after="0" w:line="240" w:lineRule="auto"/>
        <w:rPr>
          <w:rFonts w:eastAsia="Arial Unicode MS" w:cs="Arial"/>
          <w:sz w:val="22"/>
          <w:szCs w:val="22"/>
        </w:rPr>
      </w:pPr>
    </w:p>
    <w:p w14:paraId="126B177E" w14:textId="62E40950" w:rsidR="00E2427E" w:rsidRPr="005B5418" w:rsidRDefault="00E2427E" w:rsidP="003B61E9">
      <w:pPr>
        <w:pStyle w:val="BodyText"/>
        <w:spacing w:after="0" w:line="240" w:lineRule="auto"/>
        <w:rPr>
          <w:rFonts w:cs="Arial"/>
          <w:sz w:val="22"/>
          <w:szCs w:val="22"/>
        </w:rPr>
      </w:pPr>
      <w:r w:rsidRPr="005B5418">
        <w:rPr>
          <w:rFonts w:eastAsia="Arial Unicode MS" w:cs="Arial"/>
          <w:sz w:val="22"/>
          <w:szCs w:val="22"/>
        </w:rPr>
        <w:t>This checklist has been developed for use at the federal</w:t>
      </w:r>
      <w:r w:rsidR="00C91B51" w:rsidRPr="005B5418">
        <w:rPr>
          <w:rFonts w:eastAsia="Arial Unicode MS" w:cs="Arial"/>
          <w:sz w:val="22"/>
          <w:szCs w:val="22"/>
        </w:rPr>
        <w:t xml:space="preserve"> </w:t>
      </w:r>
      <w:r w:rsidRPr="005B5418">
        <w:rPr>
          <w:rFonts w:eastAsia="Arial Unicode MS" w:cs="Arial"/>
          <w:sz w:val="22"/>
          <w:szCs w:val="22"/>
        </w:rPr>
        <w:t>entity reporting level and is not intended for use in the consolidated financial report of the U.S. government.</w:t>
      </w:r>
      <w:r w:rsidRPr="005B5418">
        <w:rPr>
          <w:rFonts w:cs="Arial"/>
          <w:sz w:val="22"/>
          <w:szCs w:val="22"/>
        </w:rPr>
        <w:t xml:space="preserve"> </w:t>
      </w:r>
    </w:p>
    <w:p w14:paraId="3170F5F2" w14:textId="77777777" w:rsidR="00E2427E" w:rsidRPr="005B5418" w:rsidRDefault="00E2427E" w:rsidP="003B61E9">
      <w:pPr>
        <w:pStyle w:val="BodyText"/>
        <w:spacing w:after="0" w:line="240" w:lineRule="auto"/>
        <w:rPr>
          <w:rFonts w:cs="Arial"/>
          <w:sz w:val="22"/>
          <w:szCs w:val="22"/>
        </w:rPr>
      </w:pPr>
    </w:p>
    <w:p w14:paraId="55980F18" w14:textId="538C4DAE" w:rsidR="00E2427E" w:rsidRPr="005B5418" w:rsidRDefault="00E2427E" w:rsidP="003B61E9">
      <w:pPr>
        <w:pStyle w:val="BodyText"/>
        <w:spacing w:after="0" w:line="240" w:lineRule="auto"/>
        <w:rPr>
          <w:rFonts w:cs="Arial"/>
          <w:sz w:val="22"/>
          <w:szCs w:val="22"/>
        </w:rPr>
      </w:pPr>
      <w:r w:rsidRPr="005B5418">
        <w:rPr>
          <w:rFonts w:cs="Arial"/>
          <w:sz w:val="22"/>
          <w:szCs w:val="22"/>
        </w:rPr>
        <w:t xml:space="preserve">Certain </w:t>
      </w:r>
      <w:r w:rsidR="00C91B51" w:rsidRPr="005B5418">
        <w:rPr>
          <w:rFonts w:cs="Arial"/>
          <w:sz w:val="22"/>
          <w:szCs w:val="22"/>
        </w:rPr>
        <w:t xml:space="preserve">standards </w:t>
      </w:r>
      <w:r w:rsidRPr="005B5418">
        <w:rPr>
          <w:rFonts w:cs="Arial"/>
          <w:sz w:val="22"/>
          <w:szCs w:val="22"/>
        </w:rPr>
        <w:t xml:space="preserve">listed below </w:t>
      </w:r>
      <w:r w:rsidR="00C91B51" w:rsidRPr="005B5418">
        <w:rPr>
          <w:rFonts w:cs="Arial"/>
          <w:sz w:val="22"/>
          <w:szCs w:val="22"/>
        </w:rPr>
        <w:t xml:space="preserve">(with year of issuance) </w:t>
      </w:r>
      <w:r w:rsidRPr="005B5418">
        <w:rPr>
          <w:rFonts w:cs="Arial"/>
          <w:sz w:val="22"/>
          <w:szCs w:val="22"/>
        </w:rPr>
        <w:t xml:space="preserve">have either been amended or rescinded. </w:t>
      </w:r>
    </w:p>
    <w:p w14:paraId="4587DED0" w14:textId="77777777" w:rsidR="0033242E" w:rsidRPr="005B5418" w:rsidRDefault="0033242E" w:rsidP="003B61E9">
      <w:pPr>
        <w:pStyle w:val="BodyText"/>
        <w:spacing w:after="0" w:line="240" w:lineRule="auto"/>
        <w:rPr>
          <w:rFonts w:eastAsia="Arial Unicode MS" w:cs="Arial"/>
          <w:sz w:val="22"/>
          <w:szCs w:val="22"/>
        </w:rPr>
      </w:pPr>
    </w:p>
    <w:p w14:paraId="0DF222FF" w14:textId="0C497624" w:rsidR="00E2427E" w:rsidRPr="005B5418" w:rsidRDefault="00E2427E" w:rsidP="003B61E9">
      <w:pPr>
        <w:pStyle w:val="FAMtest"/>
        <w:rPr>
          <w:rFonts w:cs="Arial"/>
          <w:szCs w:val="22"/>
        </w:rPr>
      </w:pPr>
      <w:r w:rsidRPr="005B5418">
        <w:rPr>
          <w:rFonts w:eastAsia="Arial Unicode MS" w:cs="Arial"/>
          <w:iCs/>
          <w:szCs w:val="22"/>
        </w:rPr>
        <w:t>SFFAS 1</w:t>
      </w:r>
      <w:r w:rsidRPr="005B5418">
        <w:rPr>
          <w:rFonts w:cs="Arial"/>
          <w:iCs/>
          <w:szCs w:val="22"/>
        </w:rPr>
        <w:tab/>
      </w:r>
      <w:r w:rsidRPr="005B5418">
        <w:rPr>
          <w:rFonts w:cs="Arial"/>
          <w:i/>
          <w:szCs w:val="22"/>
        </w:rPr>
        <w:t>Accounting for Selected Assets and Liabilities</w:t>
      </w:r>
      <w:r w:rsidRPr="005B5418">
        <w:rPr>
          <w:rFonts w:cs="Arial"/>
          <w:szCs w:val="22"/>
        </w:rPr>
        <w:t xml:space="preserve"> (1993)</w:t>
      </w:r>
    </w:p>
    <w:p w14:paraId="1D353D26" w14:textId="7945F953" w:rsidR="00E2427E" w:rsidRPr="005B5418" w:rsidRDefault="00E2427E" w:rsidP="003B61E9">
      <w:pPr>
        <w:pStyle w:val="FAMtest"/>
        <w:rPr>
          <w:rFonts w:cs="Arial"/>
          <w:szCs w:val="22"/>
        </w:rPr>
      </w:pPr>
      <w:r w:rsidRPr="005B5418">
        <w:rPr>
          <w:rFonts w:eastAsia="Arial Unicode MS" w:cs="Arial"/>
          <w:iCs/>
          <w:szCs w:val="22"/>
        </w:rPr>
        <w:t>SFFAS 2</w:t>
      </w:r>
      <w:r w:rsidRPr="005B5418">
        <w:rPr>
          <w:rFonts w:cs="Arial"/>
          <w:iCs/>
          <w:szCs w:val="22"/>
        </w:rPr>
        <w:tab/>
      </w:r>
      <w:r w:rsidRPr="005B5418">
        <w:rPr>
          <w:rFonts w:cs="Arial"/>
          <w:i/>
          <w:szCs w:val="22"/>
        </w:rPr>
        <w:t>Accounting for Direct Loans and Loan Guarantees</w:t>
      </w:r>
      <w:r w:rsidRPr="005B5418">
        <w:rPr>
          <w:rFonts w:cs="Arial"/>
          <w:szCs w:val="22"/>
        </w:rPr>
        <w:t xml:space="preserve"> (1993)</w:t>
      </w:r>
    </w:p>
    <w:p w14:paraId="1E778A3D" w14:textId="0C7AD27A" w:rsidR="00E2427E" w:rsidRPr="005B5418" w:rsidRDefault="00E2427E" w:rsidP="003B61E9">
      <w:pPr>
        <w:pStyle w:val="FAMtest"/>
        <w:rPr>
          <w:rFonts w:cs="Arial"/>
          <w:szCs w:val="22"/>
        </w:rPr>
      </w:pPr>
      <w:r w:rsidRPr="005B5418">
        <w:rPr>
          <w:rFonts w:eastAsia="Arial Unicode MS" w:cs="Arial"/>
          <w:iCs/>
          <w:szCs w:val="22"/>
        </w:rPr>
        <w:t>SFFAS 3</w:t>
      </w:r>
      <w:r w:rsidRPr="005B5418">
        <w:rPr>
          <w:rFonts w:cs="Arial"/>
          <w:iCs/>
          <w:szCs w:val="22"/>
        </w:rPr>
        <w:tab/>
      </w:r>
      <w:r w:rsidRPr="005B5418">
        <w:rPr>
          <w:rFonts w:cs="Arial"/>
          <w:i/>
          <w:szCs w:val="22"/>
        </w:rPr>
        <w:t>Accounting for Inventory and Related Property</w:t>
      </w:r>
      <w:r w:rsidRPr="005B5418">
        <w:rPr>
          <w:rFonts w:cs="Arial"/>
          <w:szCs w:val="22"/>
        </w:rPr>
        <w:t xml:space="preserve"> (1993)</w:t>
      </w:r>
    </w:p>
    <w:p w14:paraId="6AFEF8CF" w14:textId="5EE94665" w:rsidR="00E2427E" w:rsidRPr="005B5418" w:rsidRDefault="00E2427E" w:rsidP="003B61E9">
      <w:pPr>
        <w:pStyle w:val="FAMtest"/>
        <w:rPr>
          <w:rFonts w:cs="Arial"/>
          <w:szCs w:val="22"/>
        </w:rPr>
      </w:pPr>
      <w:r w:rsidRPr="005B5418">
        <w:rPr>
          <w:rFonts w:eastAsia="Arial Unicode MS" w:cs="Arial"/>
          <w:iCs/>
          <w:szCs w:val="22"/>
        </w:rPr>
        <w:t>SFFAS 4</w:t>
      </w:r>
      <w:r w:rsidRPr="005B5418">
        <w:rPr>
          <w:rFonts w:cs="Arial"/>
          <w:iCs/>
          <w:szCs w:val="22"/>
        </w:rPr>
        <w:tab/>
      </w:r>
      <w:r w:rsidRPr="005B5418">
        <w:rPr>
          <w:rFonts w:cs="Arial"/>
          <w:i/>
          <w:szCs w:val="22"/>
        </w:rPr>
        <w:t>Managerial Cost Accounting Standards and Concepts</w:t>
      </w:r>
      <w:r w:rsidRPr="005B5418">
        <w:rPr>
          <w:rFonts w:cs="Arial"/>
          <w:szCs w:val="22"/>
        </w:rPr>
        <w:t xml:space="preserve"> (1995)</w:t>
      </w:r>
    </w:p>
    <w:p w14:paraId="529C154F" w14:textId="363E73BF" w:rsidR="00E2427E" w:rsidRPr="005B5418" w:rsidRDefault="00E2427E" w:rsidP="003B61E9">
      <w:pPr>
        <w:pStyle w:val="FAMtest"/>
        <w:rPr>
          <w:rFonts w:cs="Arial"/>
          <w:szCs w:val="22"/>
        </w:rPr>
      </w:pPr>
      <w:r w:rsidRPr="005B5418">
        <w:rPr>
          <w:rFonts w:eastAsia="Arial Unicode MS" w:cs="Arial"/>
          <w:iCs/>
          <w:szCs w:val="22"/>
        </w:rPr>
        <w:t>SFFAS 5</w:t>
      </w:r>
      <w:r w:rsidRPr="005B5418">
        <w:rPr>
          <w:rFonts w:cs="Arial"/>
          <w:iCs/>
          <w:szCs w:val="22"/>
        </w:rPr>
        <w:tab/>
      </w:r>
      <w:r w:rsidRPr="005B5418">
        <w:rPr>
          <w:rFonts w:cs="Arial"/>
          <w:i/>
          <w:szCs w:val="22"/>
        </w:rPr>
        <w:t>Accounting for Liabilities of the Federal Government</w:t>
      </w:r>
      <w:r w:rsidRPr="005B5418">
        <w:rPr>
          <w:rFonts w:cs="Arial"/>
          <w:szCs w:val="22"/>
        </w:rPr>
        <w:t xml:space="preserve"> (1995)</w:t>
      </w:r>
    </w:p>
    <w:p w14:paraId="48EA5822" w14:textId="14EB452D" w:rsidR="00E2427E" w:rsidRPr="005B5418" w:rsidRDefault="00E2427E" w:rsidP="003B61E9">
      <w:pPr>
        <w:pStyle w:val="FAMtest"/>
        <w:rPr>
          <w:rFonts w:cs="Arial"/>
          <w:szCs w:val="22"/>
        </w:rPr>
      </w:pPr>
      <w:r w:rsidRPr="005B5418">
        <w:rPr>
          <w:rFonts w:eastAsia="Arial Unicode MS" w:cs="Arial"/>
          <w:iCs/>
          <w:szCs w:val="22"/>
        </w:rPr>
        <w:t>SFFAS 6</w:t>
      </w:r>
      <w:r w:rsidRPr="005B5418">
        <w:rPr>
          <w:rFonts w:cs="Arial"/>
          <w:iCs/>
          <w:szCs w:val="22"/>
        </w:rPr>
        <w:tab/>
      </w:r>
      <w:r w:rsidRPr="005B5418">
        <w:rPr>
          <w:rFonts w:cs="Arial"/>
          <w:i/>
          <w:szCs w:val="22"/>
        </w:rPr>
        <w:t>Accounting for Property, Plant, and Equipment</w:t>
      </w:r>
      <w:r w:rsidRPr="005B5418">
        <w:rPr>
          <w:rFonts w:cs="Arial"/>
          <w:szCs w:val="22"/>
        </w:rPr>
        <w:t xml:space="preserve"> (1995)</w:t>
      </w:r>
    </w:p>
    <w:p w14:paraId="6143E16C" w14:textId="20C97A35" w:rsidR="00E2427E" w:rsidRPr="005B5418" w:rsidRDefault="00E2427E" w:rsidP="003B61E9">
      <w:pPr>
        <w:pStyle w:val="FAMtest"/>
        <w:rPr>
          <w:rFonts w:cs="Arial"/>
          <w:szCs w:val="22"/>
        </w:rPr>
      </w:pPr>
      <w:r w:rsidRPr="005B5418">
        <w:rPr>
          <w:rFonts w:eastAsia="Arial Unicode MS" w:cs="Arial"/>
          <w:iCs/>
          <w:szCs w:val="22"/>
        </w:rPr>
        <w:t>SFFAS 7</w:t>
      </w:r>
      <w:r w:rsidRPr="005B5418">
        <w:rPr>
          <w:rFonts w:cs="Arial"/>
          <w:iCs/>
          <w:szCs w:val="22"/>
        </w:rPr>
        <w:tab/>
      </w:r>
      <w:r w:rsidRPr="005B5418">
        <w:rPr>
          <w:rFonts w:cs="Arial"/>
          <w:i/>
          <w:szCs w:val="22"/>
        </w:rPr>
        <w:t>Accounting for Revenue and Other Financing Sources and Concepts for Reconciling Budgetary and Financial Accounting</w:t>
      </w:r>
      <w:r w:rsidRPr="005B5418">
        <w:rPr>
          <w:rFonts w:cs="Arial"/>
          <w:szCs w:val="22"/>
        </w:rPr>
        <w:t xml:space="preserve"> (1996)</w:t>
      </w:r>
    </w:p>
    <w:p w14:paraId="042BDA9C" w14:textId="6C621932" w:rsidR="00E2427E" w:rsidRPr="005B5418" w:rsidRDefault="00E2427E" w:rsidP="003B61E9">
      <w:pPr>
        <w:pStyle w:val="FAMtest"/>
        <w:rPr>
          <w:rFonts w:cs="Arial"/>
          <w:szCs w:val="22"/>
        </w:rPr>
      </w:pPr>
      <w:r w:rsidRPr="005B5418">
        <w:rPr>
          <w:rFonts w:eastAsia="Arial Unicode MS" w:cs="Arial"/>
          <w:iCs/>
          <w:szCs w:val="22"/>
        </w:rPr>
        <w:t>SFFAS 8</w:t>
      </w:r>
      <w:r w:rsidRPr="005B5418">
        <w:rPr>
          <w:rFonts w:cs="Arial"/>
          <w:iCs/>
          <w:szCs w:val="22"/>
        </w:rPr>
        <w:tab/>
      </w:r>
      <w:r w:rsidRPr="005B5418">
        <w:rPr>
          <w:rFonts w:cs="Arial"/>
          <w:i/>
          <w:szCs w:val="22"/>
        </w:rPr>
        <w:t>Supplementary Stewardship Reporting</w:t>
      </w:r>
      <w:r w:rsidRPr="005B5418">
        <w:rPr>
          <w:rFonts w:cs="Arial"/>
          <w:szCs w:val="22"/>
        </w:rPr>
        <w:t xml:space="preserve"> (1996)</w:t>
      </w:r>
    </w:p>
    <w:p w14:paraId="216E3524" w14:textId="0A6D7A1F" w:rsidR="00E2427E" w:rsidRPr="005B5418" w:rsidRDefault="00E2427E" w:rsidP="003B61E9">
      <w:pPr>
        <w:pStyle w:val="FAMtest"/>
        <w:rPr>
          <w:rFonts w:cs="Arial"/>
          <w:szCs w:val="22"/>
        </w:rPr>
      </w:pPr>
      <w:r w:rsidRPr="005B5418">
        <w:rPr>
          <w:rFonts w:eastAsia="Arial Unicode MS" w:cs="Arial"/>
          <w:iCs/>
          <w:szCs w:val="22"/>
        </w:rPr>
        <w:t>SFFAS 9</w:t>
      </w:r>
      <w:r w:rsidRPr="005B5418">
        <w:rPr>
          <w:rFonts w:cs="Arial"/>
          <w:iCs/>
          <w:szCs w:val="22"/>
        </w:rPr>
        <w:tab/>
      </w:r>
      <w:r w:rsidRPr="005B5418">
        <w:rPr>
          <w:rFonts w:cs="Arial"/>
          <w:i/>
          <w:szCs w:val="22"/>
        </w:rPr>
        <w:t>Deferral of the Effective Date of Managerial Cost Accounting Standards for the Federal Government in SFFAS No. 4</w:t>
      </w:r>
      <w:r w:rsidRPr="005B5418">
        <w:rPr>
          <w:rFonts w:cs="Arial"/>
          <w:szCs w:val="22"/>
        </w:rPr>
        <w:t xml:space="preserve"> (1997)</w:t>
      </w:r>
    </w:p>
    <w:p w14:paraId="1BF96ED6" w14:textId="24F29A8E" w:rsidR="00E2427E" w:rsidRPr="005B5418" w:rsidRDefault="00E2427E" w:rsidP="003B61E9">
      <w:pPr>
        <w:pStyle w:val="FAMtest"/>
        <w:rPr>
          <w:rFonts w:cs="Arial"/>
          <w:szCs w:val="22"/>
        </w:rPr>
      </w:pPr>
      <w:r w:rsidRPr="005B5418">
        <w:rPr>
          <w:rFonts w:eastAsia="Arial Unicode MS" w:cs="Arial"/>
          <w:iCs/>
          <w:szCs w:val="22"/>
        </w:rPr>
        <w:t>SFFAS 10</w:t>
      </w:r>
      <w:r w:rsidRPr="005B5418">
        <w:rPr>
          <w:rFonts w:cs="Arial"/>
          <w:iCs/>
          <w:szCs w:val="22"/>
        </w:rPr>
        <w:tab/>
      </w:r>
      <w:r w:rsidRPr="005B5418">
        <w:rPr>
          <w:rFonts w:cs="Arial"/>
          <w:i/>
          <w:szCs w:val="22"/>
        </w:rPr>
        <w:t>Accounting for Internal Use Software</w:t>
      </w:r>
      <w:r w:rsidRPr="005B5418">
        <w:rPr>
          <w:rFonts w:cs="Arial"/>
          <w:szCs w:val="22"/>
        </w:rPr>
        <w:t xml:space="preserve"> (1998)</w:t>
      </w:r>
    </w:p>
    <w:p w14:paraId="4B1DC987" w14:textId="0A200245" w:rsidR="00E2427E" w:rsidRPr="005B5418" w:rsidRDefault="00E2427E" w:rsidP="003B61E9">
      <w:pPr>
        <w:pStyle w:val="FAMtest"/>
        <w:rPr>
          <w:rFonts w:cs="Arial"/>
          <w:szCs w:val="22"/>
        </w:rPr>
      </w:pPr>
      <w:r w:rsidRPr="005B5418">
        <w:rPr>
          <w:rFonts w:eastAsia="Arial Unicode MS" w:cs="Arial"/>
          <w:iCs/>
          <w:szCs w:val="22"/>
        </w:rPr>
        <w:t>SFFAS 11</w:t>
      </w:r>
      <w:r w:rsidRPr="005B5418">
        <w:rPr>
          <w:rFonts w:cs="Arial"/>
          <w:iCs/>
          <w:szCs w:val="22"/>
        </w:rPr>
        <w:tab/>
      </w:r>
      <w:r w:rsidRPr="005B5418">
        <w:rPr>
          <w:rFonts w:cs="Arial"/>
          <w:i/>
          <w:szCs w:val="22"/>
        </w:rPr>
        <w:t>Amendments to Accounting for Property, Plant, and Equipment - Definitional Changes</w:t>
      </w:r>
      <w:r w:rsidRPr="005B5418">
        <w:rPr>
          <w:rFonts w:cs="Arial"/>
          <w:szCs w:val="22"/>
        </w:rPr>
        <w:t xml:space="preserve"> (1998)</w:t>
      </w:r>
    </w:p>
    <w:p w14:paraId="50C92C50" w14:textId="6A8D3F4D" w:rsidR="00E2427E" w:rsidRPr="005B5418" w:rsidRDefault="00E2427E" w:rsidP="003B61E9">
      <w:pPr>
        <w:pStyle w:val="FAMtest"/>
        <w:rPr>
          <w:rFonts w:cs="Arial"/>
          <w:szCs w:val="22"/>
        </w:rPr>
      </w:pPr>
      <w:r w:rsidRPr="005B5418">
        <w:rPr>
          <w:rFonts w:eastAsia="Arial Unicode MS" w:cs="Arial"/>
          <w:iCs/>
          <w:szCs w:val="22"/>
        </w:rPr>
        <w:t>SFFAS 12</w:t>
      </w:r>
      <w:r w:rsidRPr="005B5418">
        <w:rPr>
          <w:rFonts w:cs="Arial"/>
          <w:iCs/>
          <w:szCs w:val="22"/>
        </w:rPr>
        <w:tab/>
      </w:r>
      <w:r w:rsidRPr="005B5418">
        <w:rPr>
          <w:rFonts w:cs="Arial"/>
          <w:i/>
          <w:iCs/>
          <w:szCs w:val="22"/>
        </w:rPr>
        <w:t>Re</w:t>
      </w:r>
      <w:r w:rsidRPr="005B5418">
        <w:rPr>
          <w:rFonts w:cs="Arial"/>
          <w:i/>
          <w:szCs w:val="22"/>
        </w:rPr>
        <w:t>cognition of Contingent Liabilities Arising from Litigation</w:t>
      </w:r>
      <w:r w:rsidRPr="005B5418">
        <w:rPr>
          <w:rFonts w:cs="Arial"/>
          <w:szCs w:val="22"/>
        </w:rPr>
        <w:t xml:space="preserve"> (199</w:t>
      </w:r>
      <w:r w:rsidR="00E06DF5" w:rsidRPr="005B5418">
        <w:rPr>
          <w:rFonts w:cs="Arial"/>
          <w:szCs w:val="22"/>
        </w:rPr>
        <w:t>9</w:t>
      </w:r>
      <w:r w:rsidRPr="005B5418">
        <w:rPr>
          <w:rFonts w:cs="Arial"/>
          <w:szCs w:val="22"/>
        </w:rPr>
        <w:t>)</w:t>
      </w:r>
    </w:p>
    <w:p w14:paraId="50B5E4F5" w14:textId="71B18D7E" w:rsidR="00E2427E" w:rsidRPr="005B5418" w:rsidRDefault="00E2427E" w:rsidP="003B61E9">
      <w:pPr>
        <w:pStyle w:val="FAMtest"/>
        <w:rPr>
          <w:rFonts w:cs="Arial"/>
          <w:szCs w:val="22"/>
        </w:rPr>
      </w:pPr>
      <w:r w:rsidRPr="005B5418">
        <w:rPr>
          <w:rFonts w:eastAsia="Arial Unicode MS" w:cs="Arial"/>
          <w:iCs/>
          <w:szCs w:val="22"/>
        </w:rPr>
        <w:t>SFFAS 13</w:t>
      </w:r>
      <w:r w:rsidRPr="005B5418">
        <w:rPr>
          <w:rFonts w:cs="Arial"/>
          <w:iCs/>
          <w:szCs w:val="22"/>
        </w:rPr>
        <w:tab/>
      </w:r>
      <w:r w:rsidRPr="005B5418">
        <w:rPr>
          <w:rFonts w:cs="Arial"/>
          <w:i/>
          <w:szCs w:val="22"/>
        </w:rPr>
        <w:t>Deferral of Paragraph 65.2 – Material Revenue-Related Transactions Disclosures</w:t>
      </w:r>
      <w:r w:rsidRPr="005B5418">
        <w:rPr>
          <w:rFonts w:cs="Arial"/>
          <w:szCs w:val="22"/>
        </w:rPr>
        <w:t xml:space="preserve"> (1999)</w:t>
      </w:r>
    </w:p>
    <w:p w14:paraId="6D1D7A6B" w14:textId="438E064C" w:rsidR="00E2427E" w:rsidRPr="005B5418" w:rsidRDefault="00E2427E" w:rsidP="003B61E9">
      <w:pPr>
        <w:pStyle w:val="FAMtest"/>
        <w:rPr>
          <w:rFonts w:cs="Arial"/>
          <w:szCs w:val="22"/>
        </w:rPr>
      </w:pPr>
      <w:r w:rsidRPr="005B5418">
        <w:rPr>
          <w:rFonts w:eastAsia="Arial Unicode MS" w:cs="Arial"/>
          <w:iCs/>
          <w:szCs w:val="22"/>
        </w:rPr>
        <w:t>SFFAS 14</w:t>
      </w:r>
      <w:r w:rsidRPr="005B5418">
        <w:rPr>
          <w:rFonts w:cs="Arial"/>
          <w:iCs/>
          <w:szCs w:val="22"/>
        </w:rPr>
        <w:tab/>
      </w:r>
      <w:r w:rsidRPr="005B5418">
        <w:rPr>
          <w:rFonts w:cs="Arial"/>
          <w:i/>
          <w:szCs w:val="22"/>
        </w:rPr>
        <w:t>Amendments to Deferred Maintenance Reporting</w:t>
      </w:r>
      <w:r w:rsidRPr="005B5418">
        <w:rPr>
          <w:rFonts w:cs="Arial"/>
          <w:szCs w:val="22"/>
        </w:rPr>
        <w:t xml:space="preserve"> (1999) </w:t>
      </w:r>
    </w:p>
    <w:p w14:paraId="1EEE5EE6" w14:textId="3A945E43" w:rsidR="00E2427E" w:rsidRPr="005B5418" w:rsidRDefault="00E2427E" w:rsidP="003B61E9">
      <w:pPr>
        <w:pStyle w:val="FAMtest"/>
        <w:rPr>
          <w:rFonts w:cs="Arial"/>
          <w:szCs w:val="22"/>
        </w:rPr>
      </w:pPr>
      <w:r w:rsidRPr="005B5418">
        <w:rPr>
          <w:rFonts w:eastAsia="Arial Unicode MS" w:cs="Arial"/>
          <w:iCs/>
          <w:szCs w:val="22"/>
        </w:rPr>
        <w:t>SFFAS 15</w:t>
      </w:r>
      <w:r w:rsidRPr="005B5418">
        <w:rPr>
          <w:rFonts w:cs="Arial"/>
          <w:iCs/>
          <w:szCs w:val="22"/>
        </w:rPr>
        <w:tab/>
      </w:r>
      <w:r w:rsidRPr="005B5418">
        <w:rPr>
          <w:rFonts w:cs="Arial"/>
          <w:i/>
          <w:szCs w:val="22"/>
        </w:rPr>
        <w:t>Management’s Discussion and Analysis</w:t>
      </w:r>
      <w:r w:rsidRPr="005B5418">
        <w:rPr>
          <w:rFonts w:cs="Arial"/>
          <w:szCs w:val="22"/>
        </w:rPr>
        <w:t xml:space="preserve"> (1999)</w:t>
      </w:r>
    </w:p>
    <w:p w14:paraId="39BB5321" w14:textId="68F10335" w:rsidR="00E2427E" w:rsidRPr="005B5418" w:rsidRDefault="00E2427E" w:rsidP="003B61E9">
      <w:pPr>
        <w:pStyle w:val="FAMtest"/>
        <w:rPr>
          <w:rFonts w:cs="Arial"/>
          <w:iCs/>
          <w:szCs w:val="22"/>
        </w:rPr>
      </w:pPr>
      <w:r w:rsidRPr="005B5418">
        <w:rPr>
          <w:rFonts w:eastAsia="Arial Unicode MS" w:cs="Arial"/>
          <w:iCs/>
          <w:szCs w:val="22"/>
        </w:rPr>
        <w:t>SFFAS 16</w:t>
      </w:r>
      <w:r w:rsidRPr="005B5418">
        <w:rPr>
          <w:rFonts w:cs="Arial"/>
          <w:iCs/>
          <w:szCs w:val="22"/>
        </w:rPr>
        <w:tab/>
      </w:r>
      <w:r w:rsidRPr="005B5418">
        <w:rPr>
          <w:rFonts w:cs="Arial"/>
          <w:i/>
          <w:szCs w:val="22"/>
        </w:rPr>
        <w:t>Amendments to Accounting for Property, Plant, and Equipment – Measurement and Reporting for Multi-Use Heritage Assets</w:t>
      </w:r>
      <w:r w:rsidRPr="005B5418">
        <w:rPr>
          <w:rFonts w:cs="Arial"/>
          <w:szCs w:val="22"/>
        </w:rPr>
        <w:t xml:space="preserve"> (</w:t>
      </w:r>
      <w:r w:rsidRPr="005B5418">
        <w:rPr>
          <w:rFonts w:cs="Arial"/>
          <w:iCs/>
          <w:szCs w:val="22"/>
        </w:rPr>
        <w:t>1999)</w:t>
      </w:r>
    </w:p>
    <w:p w14:paraId="6270EDF5" w14:textId="0115046A" w:rsidR="00E2427E" w:rsidRPr="005B5418" w:rsidRDefault="00E2427E" w:rsidP="003B61E9">
      <w:pPr>
        <w:pStyle w:val="FAMtest"/>
        <w:rPr>
          <w:rFonts w:cs="Arial"/>
          <w:szCs w:val="22"/>
        </w:rPr>
      </w:pPr>
      <w:r w:rsidRPr="005B5418">
        <w:rPr>
          <w:rFonts w:eastAsia="Arial Unicode MS" w:cs="Arial"/>
          <w:iCs/>
          <w:szCs w:val="22"/>
        </w:rPr>
        <w:t>SFFAS 17</w:t>
      </w:r>
      <w:r w:rsidRPr="005B5418">
        <w:rPr>
          <w:rFonts w:cs="Arial"/>
          <w:iCs/>
          <w:szCs w:val="22"/>
        </w:rPr>
        <w:tab/>
      </w:r>
      <w:r w:rsidRPr="005B5418">
        <w:rPr>
          <w:rFonts w:cs="Arial"/>
          <w:i/>
          <w:szCs w:val="22"/>
        </w:rPr>
        <w:t>Accounting for Social Insurance</w:t>
      </w:r>
      <w:r w:rsidRPr="005B5418">
        <w:rPr>
          <w:rFonts w:cs="Arial"/>
          <w:szCs w:val="22"/>
        </w:rPr>
        <w:t xml:space="preserve"> (1999)</w:t>
      </w:r>
    </w:p>
    <w:p w14:paraId="2165A919" w14:textId="1E570929" w:rsidR="00E2427E" w:rsidRPr="005B5418" w:rsidRDefault="00E2427E" w:rsidP="003B61E9">
      <w:pPr>
        <w:pStyle w:val="FAMtest"/>
        <w:rPr>
          <w:rFonts w:cs="Arial"/>
          <w:szCs w:val="22"/>
        </w:rPr>
      </w:pPr>
      <w:r w:rsidRPr="005B5418">
        <w:rPr>
          <w:rFonts w:eastAsia="Arial Unicode MS" w:cs="Arial"/>
          <w:iCs/>
          <w:szCs w:val="22"/>
        </w:rPr>
        <w:t>SFFAS 18</w:t>
      </w:r>
      <w:r w:rsidRPr="005B5418">
        <w:rPr>
          <w:rFonts w:cs="Arial"/>
          <w:iCs/>
          <w:szCs w:val="22"/>
        </w:rPr>
        <w:tab/>
      </w:r>
      <w:r w:rsidRPr="005B5418">
        <w:rPr>
          <w:rFonts w:cs="Arial"/>
          <w:i/>
          <w:szCs w:val="22"/>
        </w:rPr>
        <w:t>Amendments to Accounting Standards for Direct Loans and Loans Guarantees in SFFAS No. 2</w:t>
      </w:r>
      <w:r w:rsidRPr="005B5418">
        <w:rPr>
          <w:rFonts w:cs="Arial"/>
          <w:szCs w:val="22"/>
        </w:rPr>
        <w:t xml:space="preserve"> (2000)</w:t>
      </w:r>
    </w:p>
    <w:p w14:paraId="5414D66F" w14:textId="0C073BA5" w:rsidR="00E2427E" w:rsidRPr="005B5418" w:rsidRDefault="00E2427E" w:rsidP="003B61E9">
      <w:pPr>
        <w:pStyle w:val="FAMtest"/>
        <w:rPr>
          <w:rFonts w:cs="Arial"/>
          <w:szCs w:val="22"/>
        </w:rPr>
      </w:pPr>
      <w:r w:rsidRPr="005B5418">
        <w:rPr>
          <w:rFonts w:eastAsia="Arial Unicode MS" w:cs="Arial"/>
          <w:iCs/>
          <w:szCs w:val="22"/>
        </w:rPr>
        <w:lastRenderedPageBreak/>
        <w:t>SFFAS 19</w:t>
      </w:r>
      <w:r w:rsidRPr="005B5418">
        <w:rPr>
          <w:rFonts w:cs="Arial"/>
          <w:iCs/>
          <w:szCs w:val="22"/>
        </w:rPr>
        <w:tab/>
      </w:r>
      <w:r w:rsidRPr="005B5418">
        <w:rPr>
          <w:rFonts w:cs="Arial"/>
          <w:i/>
          <w:szCs w:val="22"/>
        </w:rPr>
        <w:t>Technical Amendments to Accounting Standards for Direct Loans and Loan Guarantees in SFFAS No. 2</w:t>
      </w:r>
      <w:r w:rsidRPr="005B5418">
        <w:rPr>
          <w:rFonts w:cs="Arial"/>
          <w:szCs w:val="22"/>
        </w:rPr>
        <w:t xml:space="preserve"> (</w:t>
      </w:r>
      <w:r w:rsidRPr="005B5418">
        <w:rPr>
          <w:rFonts w:cs="Arial"/>
          <w:iCs/>
          <w:szCs w:val="22"/>
        </w:rPr>
        <w:t>2001)</w:t>
      </w:r>
    </w:p>
    <w:p w14:paraId="3E733C90" w14:textId="0C87EE71" w:rsidR="00E2427E" w:rsidRPr="005B5418" w:rsidRDefault="00E2427E" w:rsidP="003B61E9">
      <w:pPr>
        <w:pStyle w:val="FAMtest"/>
        <w:rPr>
          <w:rFonts w:cs="Arial"/>
          <w:iCs/>
          <w:szCs w:val="22"/>
        </w:rPr>
      </w:pPr>
      <w:r w:rsidRPr="005B5418">
        <w:rPr>
          <w:rFonts w:eastAsia="Arial Unicode MS" w:cs="Arial"/>
          <w:iCs/>
          <w:szCs w:val="22"/>
        </w:rPr>
        <w:t>SFFAS 20</w:t>
      </w:r>
      <w:r w:rsidRPr="005B5418">
        <w:rPr>
          <w:rFonts w:cs="Arial"/>
          <w:iCs/>
          <w:szCs w:val="22"/>
        </w:rPr>
        <w:tab/>
      </w:r>
      <w:r w:rsidRPr="005B5418">
        <w:rPr>
          <w:rFonts w:cs="Arial"/>
          <w:i/>
          <w:iCs/>
          <w:szCs w:val="22"/>
        </w:rPr>
        <w:t>Elimination of Certain Disclosures Related to Tax Revenue Transactions by the Internal Revenue Service, Customs and Others</w:t>
      </w:r>
      <w:r w:rsidRPr="005B5418">
        <w:rPr>
          <w:rFonts w:cs="Arial"/>
          <w:iCs/>
          <w:szCs w:val="22"/>
        </w:rPr>
        <w:t xml:space="preserve"> (</w:t>
      </w:r>
      <w:r w:rsidRPr="005B5418">
        <w:rPr>
          <w:rFonts w:cs="Arial"/>
          <w:szCs w:val="22"/>
        </w:rPr>
        <w:t>2001)</w:t>
      </w:r>
    </w:p>
    <w:p w14:paraId="65E72ACA" w14:textId="55D31770" w:rsidR="00E2427E" w:rsidRPr="005B5418" w:rsidRDefault="00E2427E" w:rsidP="003B61E9">
      <w:pPr>
        <w:pStyle w:val="FAMtest"/>
        <w:rPr>
          <w:rFonts w:cs="Arial"/>
          <w:iCs/>
          <w:szCs w:val="22"/>
        </w:rPr>
      </w:pPr>
      <w:r w:rsidRPr="005B5418">
        <w:rPr>
          <w:rFonts w:eastAsia="Arial Unicode MS" w:cs="Arial"/>
          <w:iCs/>
          <w:szCs w:val="22"/>
        </w:rPr>
        <w:t>SFFAS 21</w:t>
      </w:r>
      <w:r w:rsidRPr="005B5418">
        <w:rPr>
          <w:rFonts w:cs="Arial"/>
          <w:iCs/>
          <w:szCs w:val="22"/>
        </w:rPr>
        <w:tab/>
      </w:r>
      <w:r w:rsidRPr="005B5418">
        <w:rPr>
          <w:rFonts w:cs="Arial"/>
          <w:i/>
          <w:iCs/>
          <w:szCs w:val="22"/>
        </w:rPr>
        <w:t>Reporting Corrections of Errors and Changes in Accounting Principles</w:t>
      </w:r>
      <w:r w:rsidRPr="005B5418">
        <w:rPr>
          <w:rFonts w:cs="Arial"/>
          <w:szCs w:val="22"/>
        </w:rPr>
        <w:t xml:space="preserve"> (2001)</w:t>
      </w:r>
    </w:p>
    <w:p w14:paraId="70617659" w14:textId="1E371698" w:rsidR="00E2427E" w:rsidRPr="005B5418" w:rsidRDefault="00E2427E" w:rsidP="003B61E9">
      <w:pPr>
        <w:pStyle w:val="FAMtest"/>
        <w:rPr>
          <w:rFonts w:cs="Arial"/>
          <w:iCs/>
          <w:szCs w:val="22"/>
        </w:rPr>
      </w:pPr>
      <w:r w:rsidRPr="005B5418">
        <w:rPr>
          <w:rFonts w:eastAsia="Arial Unicode MS" w:cs="Arial"/>
          <w:iCs/>
          <w:szCs w:val="22"/>
        </w:rPr>
        <w:t>SFFAS 22</w:t>
      </w:r>
      <w:r w:rsidRPr="005B5418">
        <w:rPr>
          <w:rFonts w:cs="Arial"/>
          <w:iCs/>
          <w:szCs w:val="22"/>
        </w:rPr>
        <w:tab/>
      </w:r>
      <w:r w:rsidRPr="005B5418">
        <w:rPr>
          <w:rFonts w:cs="Arial"/>
          <w:i/>
          <w:iCs/>
          <w:szCs w:val="22"/>
        </w:rPr>
        <w:t>Change in Certain Requirements for Reconciling Obligations and Net Cost of Operations</w:t>
      </w:r>
      <w:r w:rsidRPr="005B5418">
        <w:rPr>
          <w:rFonts w:cs="Arial"/>
          <w:iCs/>
          <w:szCs w:val="22"/>
        </w:rPr>
        <w:t xml:space="preserve"> (</w:t>
      </w:r>
      <w:r w:rsidRPr="005B5418">
        <w:rPr>
          <w:rFonts w:cs="Arial"/>
          <w:szCs w:val="22"/>
        </w:rPr>
        <w:t>2001)</w:t>
      </w:r>
    </w:p>
    <w:p w14:paraId="660634E8" w14:textId="426A7A6B" w:rsidR="00E2427E" w:rsidRPr="005B5418" w:rsidRDefault="00E2427E" w:rsidP="003B61E9">
      <w:pPr>
        <w:pStyle w:val="FAMtest"/>
        <w:rPr>
          <w:rFonts w:cs="Arial"/>
          <w:iCs/>
          <w:szCs w:val="22"/>
        </w:rPr>
      </w:pPr>
      <w:r w:rsidRPr="005B5418">
        <w:rPr>
          <w:rFonts w:eastAsia="Arial Unicode MS" w:cs="Arial"/>
          <w:iCs/>
          <w:szCs w:val="22"/>
        </w:rPr>
        <w:t>SFFAS 23</w:t>
      </w:r>
      <w:r w:rsidRPr="005B5418">
        <w:rPr>
          <w:rFonts w:cs="Arial"/>
          <w:iCs/>
          <w:szCs w:val="22"/>
        </w:rPr>
        <w:tab/>
      </w:r>
      <w:r w:rsidRPr="005B5418">
        <w:rPr>
          <w:rFonts w:cs="Arial"/>
          <w:i/>
          <w:iCs/>
          <w:szCs w:val="22"/>
        </w:rPr>
        <w:t>Eliminating the Category National Defense Property, Plant, and Equipment</w:t>
      </w:r>
      <w:r w:rsidRPr="005B5418">
        <w:rPr>
          <w:rFonts w:cs="Arial"/>
          <w:iCs/>
          <w:szCs w:val="22"/>
        </w:rPr>
        <w:t xml:space="preserve"> (</w:t>
      </w:r>
      <w:r w:rsidRPr="005B5418">
        <w:rPr>
          <w:rFonts w:cs="Arial"/>
          <w:szCs w:val="22"/>
        </w:rPr>
        <w:t>2003)</w:t>
      </w:r>
    </w:p>
    <w:p w14:paraId="17289CCC" w14:textId="51CFF6F1" w:rsidR="00E2427E" w:rsidRPr="005B5418" w:rsidRDefault="00E2427E" w:rsidP="003B61E9">
      <w:pPr>
        <w:pStyle w:val="FAMtest"/>
        <w:rPr>
          <w:rFonts w:cs="Arial"/>
          <w:iCs/>
          <w:szCs w:val="22"/>
        </w:rPr>
      </w:pPr>
      <w:r w:rsidRPr="005B5418">
        <w:rPr>
          <w:rFonts w:eastAsia="Arial Unicode MS" w:cs="Arial"/>
          <w:szCs w:val="22"/>
        </w:rPr>
        <w:t>SFFAS 24</w:t>
      </w:r>
      <w:r w:rsidRPr="005B5418">
        <w:rPr>
          <w:rFonts w:cs="Arial"/>
          <w:szCs w:val="22"/>
        </w:rPr>
        <w:tab/>
      </w:r>
      <w:r w:rsidRPr="005B5418">
        <w:rPr>
          <w:rFonts w:cs="Arial"/>
          <w:i/>
          <w:szCs w:val="22"/>
        </w:rPr>
        <w:t>Selected Standards for the Consolidated</w:t>
      </w:r>
      <w:r w:rsidR="0050427F" w:rsidRPr="005B5418">
        <w:rPr>
          <w:rFonts w:cs="Arial"/>
          <w:i/>
          <w:szCs w:val="22"/>
        </w:rPr>
        <w:t xml:space="preserve"> Financial</w:t>
      </w:r>
      <w:r w:rsidRPr="005B5418">
        <w:rPr>
          <w:rFonts w:cs="Arial"/>
          <w:i/>
          <w:szCs w:val="22"/>
        </w:rPr>
        <w:t xml:space="preserve"> Report of the United States Government</w:t>
      </w:r>
      <w:r w:rsidRPr="005B5418">
        <w:rPr>
          <w:rFonts w:cs="Arial"/>
          <w:szCs w:val="22"/>
        </w:rPr>
        <w:t xml:space="preserve"> (2003)</w:t>
      </w:r>
      <w:r w:rsidRPr="005B5418">
        <w:rPr>
          <w:rStyle w:val="FootnoteReference"/>
          <w:rFonts w:cs="Arial"/>
          <w:szCs w:val="22"/>
        </w:rPr>
        <w:footnoteReference w:id="289"/>
      </w:r>
    </w:p>
    <w:p w14:paraId="0C1402E6" w14:textId="05AA3E1F" w:rsidR="00E2427E" w:rsidRPr="005B5418" w:rsidRDefault="00E2427E" w:rsidP="003B61E9">
      <w:pPr>
        <w:pStyle w:val="FAMtest"/>
        <w:rPr>
          <w:rFonts w:cs="Arial"/>
          <w:szCs w:val="22"/>
        </w:rPr>
      </w:pPr>
      <w:r w:rsidRPr="005B5418">
        <w:rPr>
          <w:rFonts w:eastAsia="Arial Unicode MS" w:cs="Arial"/>
          <w:iCs/>
          <w:szCs w:val="22"/>
        </w:rPr>
        <w:t>SFFAS 25</w:t>
      </w:r>
      <w:r w:rsidRPr="005B5418">
        <w:rPr>
          <w:rFonts w:cs="Arial"/>
          <w:iCs/>
          <w:szCs w:val="22"/>
        </w:rPr>
        <w:tab/>
      </w:r>
      <w:r w:rsidRPr="005B5418">
        <w:rPr>
          <w:rFonts w:cs="Arial"/>
          <w:i/>
          <w:iCs/>
          <w:szCs w:val="22"/>
        </w:rPr>
        <w:t>Reclassification of Stewardship Responsibilities and Eliminating the Current Services Assessment</w:t>
      </w:r>
      <w:r w:rsidRPr="005B5418">
        <w:rPr>
          <w:rFonts w:cs="Arial"/>
          <w:iCs/>
          <w:szCs w:val="22"/>
        </w:rPr>
        <w:t xml:space="preserve"> (2003)</w:t>
      </w:r>
    </w:p>
    <w:p w14:paraId="76BFDB49" w14:textId="6F1DDBBD" w:rsidR="00E2427E" w:rsidRPr="005B5418" w:rsidRDefault="00E2427E" w:rsidP="003B61E9">
      <w:pPr>
        <w:pStyle w:val="FAMtest"/>
        <w:rPr>
          <w:rFonts w:cs="Arial"/>
          <w:szCs w:val="22"/>
        </w:rPr>
      </w:pPr>
      <w:r w:rsidRPr="005B5418">
        <w:rPr>
          <w:rFonts w:eastAsia="Arial Unicode MS" w:cs="Arial"/>
          <w:iCs/>
          <w:szCs w:val="22"/>
        </w:rPr>
        <w:t>SFFAS 26</w:t>
      </w:r>
      <w:r w:rsidRPr="005B5418">
        <w:rPr>
          <w:rFonts w:cs="Arial"/>
          <w:iCs/>
          <w:szCs w:val="22"/>
        </w:rPr>
        <w:tab/>
      </w:r>
      <w:r w:rsidRPr="005B5418">
        <w:rPr>
          <w:rFonts w:cs="Arial"/>
          <w:i/>
          <w:iCs/>
          <w:szCs w:val="22"/>
        </w:rPr>
        <w:t>Presentation of Significant Assumptions for the Statement of Social Insurance</w:t>
      </w:r>
      <w:r w:rsidRPr="005B5418">
        <w:rPr>
          <w:rFonts w:cs="Arial"/>
          <w:iCs/>
          <w:szCs w:val="22"/>
        </w:rPr>
        <w:t xml:space="preserve"> (2004)</w:t>
      </w:r>
    </w:p>
    <w:p w14:paraId="394C8664" w14:textId="6783CF81" w:rsidR="00E2427E" w:rsidRPr="005B5418" w:rsidRDefault="00E2427E" w:rsidP="003B61E9">
      <w:pPr>
        <w:pStyle w:val="FAMtest"/>
        <w:rPr>
          <w:rFonts w:cs="Arial"/>
          <w:szCs w:val="22"/>
        </w:rPr>
      </w:pPr>
      <w:r w:rsidRPr="005B5418">
        <w:rPr>
          <w:rFonts w:eastAsia="Arial Unicode MS" w:cs="Arial"/>
          <w:iCs/>
          <w:szCs w:val="22"/>
        </w:rPr>
        <w:t>SFFAS 27</w:t>
      </w:r>
      <w:r w:rsidRPr="005B5418">
        <w:rPr>
          <w:rFonts w:cs="Arial"/>
          <w:iCs/>
          <w:szCs w:val="22"/>
        </w:rPr>
        <w:tab/>
      </w:r>
      <w:r w:rsidRPr="005B5418">
        <w:rPr>
          <w:rFonts w:cs="Arial"/>
          <w:i/>
          <w:iCs/>
          <w:szCs w:val="22"/>
        </w:rPr>
        <w:t>Identifying and Reporting Funds from Dedicated Collections</w:t>
      </w:r>
      <w:r w:rsidRPr="005B5418">
        <w:rPr>
          <w:rFonts w:cs="Arial"/>
          <w:iCs/>
          <w:szCs w:val="22"/>
        </w:rPr>
        <w:t xml:space="preserve"> (2004)</w:t>
      </w:r>
    </w:p>
    <w:p w14:paraId="47CC825E" w14:textId="46BC6CCB" w:rsidR="00E2427E" w:rsidRPr="005B5418" w:rsidRDefault="00E2427E" w:rsidP="003B61E9">
      <w:pPr>
        <w:pStyle w:val="FAMtest"/>
        <w:rPr>
          <w:rFonts w:cs="Arial"/>
          <w:szCs w:val="22"/>
        </w:rPr>
      </w:pPr>
      <w:r w:rsidRPr="005B5418">
        <w:rPr>
          <w:rFonts w:eastAsia="Arial Unicode MS" w:cs="Arial"/>
          <w:iCs/>
          <w:szCs w:val="22"/>
        </w:rPr>
        <w:t>SFFAS 28</w:t>
      </w:r>
      <w:r w:rsidRPr="005B5418">
        <w:rPr>
          <w:rFonts w:cs="Arial"/>
          <w:iCs/>
          <w:szCs w:val="22"/>
        </w:rPr>
        <w:tab/>
      </w:r>
      <w:r w:rsidRPr="005B5418">
        <w:rPr>
          <w:rFonts w:cs="Arial"/>
          <w:i/>
          <w:iCs/>
          <w:szCs w:val="22"/>
        </w:rPr>
        <w:t>Deferral of the Effective Date of Reclassification of the Statement of Social Insurance</w:t>
      </w:r>
      <w:r w:rsidRPr="005B5418">
        <w:rPr>
          <w:rFonts w:cs="Arial"/>
          <w:iCs/>
          <w:szCs w:val="22"/>
        </w:rPr>
        <w:t xml:space="preserve"> (2005)</w:t>
      </w:r>
    </w:p>
    <w:p w14:paraId="0BB23A66" w14:textId="45A674EC" w:rsidR="00E2427E" w:rsidRPr="005B5418" w:rsidRDefault="00E2427E" w:rsidP="003B61E9">
      <w:pPr>
        <w:pStyle w:val="FAMtest"/>
        <w:rPr>
          <w:rFonts w:cs="Arial"/>
          <w:szCs w:val="22"/>
        </w:rPr>
      </w:pPr>
      <w:r w:rsidRPr="005B5418">
        <w:rPr>
          <w:rFonts w:eastAsia="Arial Unicode MS" w:cs="Arial"/>
          <w:iCs/>
          <w:szCs w:val="22"/>
        </w:rPr>
        <w:t>SFFAS 29</w:t>
      </w:r>
      <w:r w:rsidRPr="005B5418">
        <w:rPr>
          <w:rFonts w:cs="Arial"/>
          <w:iCs/>
          <w:szCs w:val="22"/>
        </w:rPr>
        <w:tab/>
      </w:r>
      <w:r w:rsidRPr="005B5418">
        <w:rPr>
          <w:rFonts w:cs="Arial"/>
          <w:i/>
          <w:iCs/>
          <w:szCs w:val="22"/>
        </w:rPr>
        <w:t>Heritage Assets and Stewardship Land</w:t>
      </w:r>
      <w:r w:rsidRPr="005B5418">
        <w:rPr>
          <w:rFonts w:cs="Arial"/>
          <w:iCs/>
          <w:szCs w:val="22"/>
        </w:rPr>
        <w:t xml:space="preserve"> (2005)</w:t>
      </w:r>
    </w:p>
    <w:p w14:paraId="4F772442" w14:textId="1DE05F06" w:rsidR="00E2427E" w:rsidRPr="005B5418" w:rsidRDefault="00E2427E" w:rsidP="003B61E9">
      <w:pPr>
        <w:pStyle w:val="FAMtest"/>
        <w:rPr>
          <w:rFonts w:cs="Arial"/>
          <w:iCs/>
          <w:szCs w:val="22"/>
        </w:rPr>
      </w:pPr>
      <w:r w:rsidRPr="005B5418">
        <w:rPr>
          <w:rFonts w:eastAsia="Arial Unicode MS" w:cs="Arial"/>
          <w:iCs/>
          <w:szCs w:val="22"/>
        </w:rPr>
        <w:t>SFFAS 30</w:t>
      </w:r>
      <w:r w:rsidRPr="005B5418">
        <w:rPr>
          <w:rFonts w:cs="Arial"/>
          <w:iCs/>
          <w:szCs w:val="22"/>
        </w:rPr>
        <w:tab/>
      </w:r>
      <w:r w:rsidRPr="005B5418">
        <w:rPr>
          <w:rFonts w:cs="Arial"/>
          <w:i/>
          <w:iCs/>
          <w:szCs w:val="22"/>
        </w:rPr>
        <w:t>Inter-Entity Cost Implementation</w:t>
      </w:r>
      <w:r w:rsidRPr="005B5418">
        <w:rPr>
          <w:rFonts w:cs="Arial"/>
          <w:iCs/>
          <w:szCs w:val="22"/>
        </w:rPr>
        <w:t xml:space="preserve"> (2005)</w:t>
      </w:r>
    </w:p>
    <w:p w14:paraId="28B6E393" w14:textId="43AA2220" w:rsidR="00E2427E" w:rsidRPr="005B5418" w:rsidRDefault="00E2427E" w:rsidP="003B61E9">
      <w:pPr>
        <w:pStyle w:val="FAMtest"/>
        <w:rPr>
          <w:rFonts w:cs="Arial"/>
          <w:iCs/>
          <w:szCs w:val="22"/>
        </w:rPr>
      </w:pPr>
      <w:r w:rsidRPr="005B5418">
        <w:rPr>
          <w:rFonts w:eastAsia="Arial Unicode MS" w:cs="Arial"/>
          <w:iCs/>
          <w:szCs w:val="22"/>
        </w:rPr>
        <w:t>SFFAS 31</w:t>
      </w:r>
      <w:r w:rsidRPr="005B5418">
        <w:rPr>
          <w:rFonts w:cs="Arial"/>
          <w:iCs/>
          <w:szCs w:val="22"/>
        </w:rPr>
        <w:tab/>
      </w:r>
      <w:r w:rsidRPr="005B5418">
        <w:rPr>
          <w:rFonts w:cs="Arial"/>
          <w:i/>
          <w:iCs/>
          <w:szCs w:val="22"/>
        </w:rPr>
        <w:t>Accounting for Fiduciary Activities</w:t>
      </w:r>
      <w:r w:rsidRPr="005B5418">
        <w:rPr>
          <w:rFonts w:cs="Arial"/>
          <w:iCs/>
          <w:szCs w:val="22"/>
        </w:rPr>
        <w:t xml:space="preserve"> (2006)</w:t>
      </w:r>
    </w:p>
    <w:p w14:paraId="0B4551F3" w14:textId="38E49B50" w:rsidR="00E2427E" w:rsidRPr="005B5418" w:rsidRDefault="00E2427E" w:rsidP="003B61E9">
      <w:pPr>
        <w:pStyle w:val="FAMtest"/>
        <w:rPr>
          <w:rFonts w:cs="Arial"/>
          <w:szCs w:val="22"/>
        </w:rPr>
      </w:pPr>
      <w:r w:rsidRPr="005B5418">
        <w:rPr>
          <w:rFonts w:eastAsia="Arial Unicode MS" w:cs="Arial"/>
          <w:iCs/>
          <w:szCs w:val="22"/>
        </w:rPr>
        <w:t>SFFAS 32</w:t>
      </w:r>
      <w:r w:rsidRPr="005B5418">
        <w:rPr>
          <w:rFonts w:cs="Arial"/>
          <w:iCs/>
          <w:szCs w:val="22"/>
        </w:rPr>
        <w:tab/>
      </w:r>
      <w:r w:rsidR="0050658A" w:rsidRPr="005B5418">
        <w:rPr>
          <w:rFonts w:cs="Arial"/>
          <w:i/>
          <w:iCs/>
          <w:szCs w:val="22"/>
        </w:rPr>
        <w:t>Consolidated Financial Report</w:t>
      </w:r>
      <w:r w:rsidRPr="005B5418">
        <w:rPr>
          <w:rFonts w:cs="Arial"/>
          <w:i/>
          <w:iCs/>
          <w:szCs w:val="22"/>
        </w:rPr>
        <w:t xml:space="preserve"> (CFR) of the U.S. Government Requirements</w:t>
      </w:r>
      <w:r w:rsidRPr="005B5418">
        <w:rPr>
          <w:rFonts w:cs="Arial"/>
          <w:iCs/>
          <w:szCs w:val="22"/>
        </w:rPr>
        <w:t xml:space="preserve"> (2006)</w:t>
      </w:r>
      <w:r w:rsidRPr="005B5418">
        <w:rPr>
          <w:rStyle w:val="FootnoteReference"/>
          <w:rFonts w:cs="Arial"/>
          <w:iCs/>
          <w:szCs w:val="22"/>
        </w:rPr>
        <w:footnoteReference w:id="290"/>
      </w:r>
    </w:p>
    <w:p w14:paraId="7D659F0E" w14:textId="28F946CD" w:rsidR="00E2427E" w:rsidRPr="005B5418" w:rsidRDefault="00E2427E" w:rsidP="003B61E9">
      <w:pPr>
        <w:pStyle w:val="FAMtest"/>
        <w:rPr>
          <w:rFonts w:cs="Arial"/>
          <w:szCs w:val="22"/>
        </w:rPr>
      </w:pPr>
      <w:r w:rsidRPr="005B5418">
        <w:rPr>
          <w:rFonts w:eastAsia="Arial Unicode MS" w:cs="Arial"/>
          <w:szCs w:val="22"/>
        </w:rPr>
        <w:t>SFFAS 33</w:t>
      </w:r>
      <w:r w:rsidRPr="005B5418">
        <w:rPr>
          <w:rFonts w:cs="Arial"/>
          <w:szCs w:val="22"/>
        </w:rPr>
        <w:tab/>
      </w:r>
      <w:r w:rsidRPr="005B5418">
        <w:rPr>
          <w:rFonts w:cs="Arial"/>
          <w:i/>
          <w:szCs w:val="22"/>
        </w:rPr>
        <w:t>Pensions, Other Retirement Benefits, and Other Postemployment Benefits: Reporting the Gains and Losses from Changes in Assumptions and Selecting Discount Rates and Valuation Dates</w:t>
      </w:r>
      <w:r w:rsidRPr="005B5418">
        <w:rPr>
          <w:rFonts w:cs="Arial"/>
          <w:szCs w:val="22"/>
        </w:rPr>
        <w:t xml:space="preserve"> (2008)</w:t>
      </w:r>
    </w:p>
    <w:p w14:paraId="3E93DCBD" w14:textId="7E1DE9D4" w:rsidR="00E2427E" w:rsidRPr="005B5418" w:rsidRDefault="00E2427E" w:rsidP="003B61E9">
      <w:pPr>
        <w:pStyle w:val="FAMtest"/>
        <w:rPr>
          <w:rFonts w:cs="Arial"/>
          <w:szCs w:val="22"/>
        </w:rPr>
      </w:pPr>
      <w:r w:rsidRPr="005B5418">
        <w:rPr>
          <w:rFonts w:eastAsia="Arial Unicode MS" w:cs="Arial"/>
          <w:szCs w:val="22"/>
        </w:rPr>
        <w:t>SFFAS 34</w:t>
      </w:r>
      <w:r w:rsidRPr="005B5418">
        <w:rPr>
          <w:rFonts w:cs="Arial"/>
          <w:szCs w:val="22"/>
        </w:rPr>
        <w:tab/>
      </w:r>
      <w:r w:rsidRPr="005B5418">
        <w:rPr>
          <w:rFonts w:cs="Arial"/>
          <w:i/>
          <w:szCs w:val="22"/>
        </w:rPr>
        <w:t>The Hierarchy of Generally Accepted Accounting Principles, Including the Application of Standards Issued by the Financial Accounting Standards Board</w:t>
      </w:r>
      <w:r w:rsidRPr="005B5418">
        <w:rPr>
          <w:rFonts w:cs="Arial"/>
          <w:szCs w:val="22"/>
        </w:rPr>
        <w:t xml:space="preserve"> (2009)</w:t>
      </w:r>
    </w:p>
    <w:p w14:paraId="498813DA" w14:textId="5CA07588" w:rsidR="00E2427E" w:rsidRPr="005B5418" w:rsidRDefault="00E2427E" w:rsidP="003B61E9">
      <w:pPr>
        <w:pStyle w:val="FAMtest"/>
        <w:rPr>
          <w:rFonts w:cs="Arial"/>
          <w:szCs w:val="22"/>
        </w:rPr>
      </w:pPr>
      <w:r w:rsidRPr="005B5418">
        <w:rPr>
          <w:rFonts w:eastAsia="Arial Unicode MS" w:cs="Arial"/>
          <w:szCs w:val="22"/>
        </w:rPr>
        <w:t>SFFAS 35</w:t>
      </w:r>
      <w:r w:rsidRPr="005B5418">
        <w:rPr>
          <w:rFonts w:cs="Arial"/>
          <w:szCs w:val="22"/>
        </w:rPr>
        <w:tab/>
      </w:r>
      <w:r w:rsidRPr="005B5418">
        <w:rPr>
          <w:rFonts w:cs="Arial"/>
          <w:i/>
          <w:szCs w:val="22"/>
        </w:rPr>
        <w:t>Estimating the Historical Cost of General Property, Plant, and Equipment</w:t>
      </w:r>
      <w:r w:rsidRPr="005B5418">
        <w:rPr>
          <w:rFonts w:cs="Arial"/>
          <w:szCs w:val="22"/>
        </w:rPr>
        <w:t xml:space="preserve"> (2009)</w:t>
      </w:r>
    </w:p>
    <w:p w14:paraId="046E8032" w14:textId="12C9C4A4" w:rsidR="00E2427E" w:rsidRPr="005B5418" w:rsidRDefault="00E2427E" w:rsidP="003B61E9">
      <w:pPr>
        <w:pStyle w:val="FAMtest"/>
        <w:rPr>
          <w:rFonts w:cs="Arial"/>
          <w:szCs w:val="22"/>
        </w:rPr>
      </w:pPr>
      <w:r w:rsidRPr="005B5418">
        <w:rPr>
          <w:rFonts w:eastAsia="Arial Unicode MS" w:cs="Arial"/>
          <w:szCs w:val="22"/>
        </w:rPr>
        <w:t>SFFAS 36</w:t>
      </w:r>
      <w:r w:rsidRPr="005B5418">
        <w:rPr>
          <w:rFonts w:cs="Arial"/>
          <w:szCs w:val="22"/>
        </w:rPr>
        <w:tab/>
      </w:r>
      <w:r w:rsidRPr="005B5418">
        <w:rPr>
          <w:rFonts w:cs="Arial"/>
          <w:i/>
          <w:szCs w:val="22"/>
        </w:rPr>
        <w:t>Comprehensive Long-Term Projections for the U.S. Government</w:t>
      </w:r>
      <w:r w:rsidRPr="005B5418">
        <w:rPr>
          <w:rFonts w:cs="Arial"/>
          <w:szCs w:val="22"/>
        </w:rPr>
        <w:t xml:space="preserve"> (2009)</w:t>
      </w:r>
      <w:r w:rsidRPr="005B5418">
        <w:rPr>
          <w:rStyle w:val="FootnoteReference"/>
          <w:rFonts w:cs="Arial"/>
          <w:szCs w:val="22"/>
        </w:rPr>
        <w:footnoteReference w:id="291"/>
      </w:r>
    </w:p>
    <w:p w14:paraId="1E38A428" w14:textId="61898013" w:rsidR="00E2427E" w:rsidRPr="005B5418" w:rsidRDefault="00E2427E" w:rsidP="003B61E9">
      <w:pPr>
        <w:pStyle w:val="FAMtest"/>
        <w:rPr>
          <w:rFonts w:cs="Arial"/>
          <w:szCs w:val="22"/>
        </w:rPr>
      </w:pPr>
      <w:r w:rsidRPr="005B5418">
        <w:rPr>
          <w:rFonts w:eastAsia="Arial Unicode MS" w:cs="Arial"/>
          <w:szCs w:val="22"/>
        </w:rPr>
        <w:t>SFFAS 37</w:t>
      </w:r>
      <w:r w:rsidRPr="005B5418">
        <w:rPr>
          <w:rFonts w:cs="Arial"/>
          <w:szCs w:val="22"/>
        </w:rPr>
        <w:tab/>
      </w:r>
      <w:r w:rsidRPr="005B5418">
        <w:rPr>
          <w:rFonts w:cs="Arial"/>
          <w:i/>
          <w:szCs w:val="22"/>
        </w:rPr>
        <w:t>Social Insurance: Additional Requirements for Management’s Discussion and Analysis and Basic Financial Statements</w:t>
      </w:r>
      <w:r w:rsidRPr="005B5418">
        <w:rPr>
          <w:rFonts w:cs="Arial"/>
          <w:szCs w:val="22"/>
        </w:rPr>
        <w:t xml:space="preserve"> (2010)</w:t>
      </w:r>
    </w:p>
    <w:p w14:paraId="7DFE4986" w14:textId="73033117" w:rsidR="00E2427E" w:rsidRPr="005B5418" w:rsidRDefault="00E2427E" w:rsidP="003B61E9">
      <w:pPr>
        <w:pStyle w:val="FAMtest"/>
        <w:rPr>
          <w:rFonts w:cs="Arial"/>
          <w:szCs w:val="22"/>
        </w:rPr>
      </w:pPr>
      <w:r w:rsidRPr="005B5418">
        <w:rPr>
          <w:rFonts w:eastAsia="Arial Unicode MS" w:cs="Arial"/>
          <w:szCs w:val="22"/>
        </w:rPr>
        <w:lastRenderedPageBreak/>
        <w:t>SFFAS 38</w:t>
      </w:r>
      <w:r w:rsidRPr="005B5418">
        <w:rPr>
          <w:rFonts w:cs="Arial"/>
          <w:szCs w:val="22"/>
        </w:rPr>
        <w:tab/>
      </w:r>
      <w:r w:rsidRPr="005B5418">
        <w:rPr>
          <w:rFonts w:cs="Arial"/>
          <w:i/>
          <w:szCs w:val="22"/>
        </w:rPr>
        <w:t>Accounting for Federal Oil and Gas Resources</w:t>
      </w:r>
      <w:r w:rsidRPr="005B5418">
        <w:rPr>
          <w:rFonts w:cs="Arial"/>
          <w:szCs w:val="22"/>
        </w:rPr>
        <w:t xml:space="preserve"> (2010)</w:t>
      </w:r>
    </w:p>
    <w:p w14:paraId="1F57A653" w14:textId="5C7F378A" w:rsidR="00E2427E" w:rsidRPr="005B5418" w:rsidRDefault="00E2427E" w:rsidP="003B61E9">
      <w:pPr>
        <w:pStyle w:val="FAMtest"/>
        <w:rPr>
          <w:rFonts w:cs="Arial"/>
          <w:szCs w:val="22"/>
        </w:rPr>
      </w:pPr>
      <w:r w:rsidRPr="005B5418">
        <w:rPr>
          <w:rFonts w:eastAsia="Arial Unicode MS" w:cs="Arial"/>
          <w:szCs w:val="22"/>
        </w:rPr>
        <w:t>SFFAS 39</w:t>
      </w:r>
      <w:r w:rsidRPr="005B5418">
        <w:rPr>
          <w:rFonts w:cs="Arial"/>
          <w:szCs w:val="22"/>
        </w:rPr>
        <w:tab/>
      </w:r>
      <w:r w:rsidRPr="005B5418">
        <w:rPr>
          <w:rFonts w:cs="Arial"/>
          <w:i/>
          <w:szCs w:val="22"/>
        </w:rPr>
        <w:t>Subsequent Events: Codification of Accounting and Financial Reporting Standards Contained in the AICPA Statements on Auditing Standards</w:t>
      </w:r>
      <w:r w:rsidRPr="005B5418">
        <w:rPr>
          <w:rFonts w:cs="Arial"/>
          <w:szCs w:val="22"/>
        </w:rPr>
        <w:t xml:space="preserve"> (2010)</w:t>
      </w:r>
    </w:p>
    <w:p w14:paraId="00946F62" w14:textId="17829076" w:rsidR="00E2427E" w:rsidRPr="005B5418" w:rsidRDefault="00E2427E" w:rsidP="003B61E9">
      <w:pPr>
        <w:pStyle w:val="FAMtest"/>
        <w:rPr>
          <w:rFonts w:cs="Arial"/>
          <w:szCs w:val="22"/>
        </w:rPr>
      </w:pPr>
      <w:r w:rsidRPr="005B5418">
        <w:rPr>
          <w:rFonts w:eastAsia="Arial Unicode MS" w:cs="Arial"/>
          <w:szCs w:val="22"/>
        </w:rPr>
        <w:t>SFFAS 40</w:t>
      </w:r>
      <w:r w:rsidRPr="005B5418">
        <w:rPr>
          <w:rFonts w:cs="Arial"/>
          <w:szCs w:val="22"/>
        </w:rPr>
        <w:tab/>
      </w:r>
      <w:r w:rsidRPr="005B5418">
        <w:rPr>
          <w:rFonts w:cs="Arial"/>
          <w:i/>
          <w:szCs w:val="22"/>
        </w:rPr>
        <w:t>Definitional Changes Related to Deferred Maintenance and Repairs: Amending Statement of Federal Financial Accounting Standards 6, Accounting for Property, Plant, and Equipment</w:t>
      </w:r>
      <w:r w:rsidRPr="005B5418">
        <w:rPr>
          <w:rFonts w:cs="Arial"/>
          <w:szCs w:val="22"/>
        </w:rPr>
        <w:t xml:space="preserve"> (2011)</w:t>
      </w:r>
    </w:p>
    <w:p w14:paraId="5981C30A" w14:textId="06ECC4DB" w:rsidR="00E2427E" w:rsidRPr="005B5418" w:rsidRDefault="00E2427E" w:rsidP="003B61E9">
      <w:pPr>
        <w:pStyle w:val="FAMtest"/>
        <w:rPr>
          <w:rFonts w:cs="Arial"/>
          <w:szCs w:val="22"/>
        </w:rPr>
      </w:pPr>
      <w:r w:rsidRPr="005B5418">
        <w:rPr>
          <w:rFonts w:eastAsia="Arial Unicode MS" w:cs="Arial"/>
          <w:szCs w:val="22"/>
        </w:rPr>
        <w:t>SFFAS 41</w:t>
      </w:r>
      <w:r w:rsidRPr="005B5418">
        <w:rPr>
          <w:rFonts w:cs="Arial"/>
          <w:szCs w:val="22"/>
        </w:rPr>
        <w:tab/>
      </w:r>
      <w:r w:rsidRPr="005B5418">
        <w:rPr>
          <w:rFonts w:cs="Arial"/>
          <w:i/>
          <w:szCs w:val="22"/>
        </w:rPr>
        <w:t xml:space="preserve">Deferral of the Effective Date of SFFAS 38, </w:t>
      </w:r>
      <w:r w:rsidRPr="005B5418">
        <w:rPr>
          <w:rFonts w:cs="Arial"/>
          <w:i/>
          <w:iCs/>
          <w:szCs w:val="22"/>
        </w:rPr>
        <w:t>Accounting for Federal Oil and Gas Resources</w:t>
      </w:r>
      <w:r w:rsidRPr="005B5418">
        <w:rPr>
          <w:rFonts w:cs="Arial"/>
          <w:szCs w:val="22"/>
        </w:rPr>
        <w:t xml:space="preserve"> (2011)</w:t>
      </w:r>
    </w:p>
    <w:p w14:paraId="62243890" w14:textId="4448ABB2" w:rsidR="00E2427E" w:rsidRPr="005B5418" w:rsidRDefault="00E2427E" w:rsidP="003B61E9">
      <w:pPr>
        <w:pStyle w:val="FAMtest"/>
        <w:rPr>
          <w:rFonts w:cs="Arial"/>
          <w:szCs w:val="22"/>
        </w:rPr>
      </w:pPr>
      <w:r w:rsidRPr="005B5418">
        <w:rPr>
          <w:rFonts w:eastAsia="Arial Unicode MS" w:cs="Arial"/>
          <w:szCs w:val="22"/>
        </w:rPr>
        <w:t>SFFAS 42</w:t>
      </w:r>
      <w:r w:rsidRPr="005B5418">
        <w:rPr>
          <w:rFonts w:cs="Arial"/>
          <w:szCs w:val="22"/>
        </w:rPr>
        <w:tab/>
      </w:r>
      <w:r w:rsidRPr="005B5418">
        <w:rPr>
          <w:rFonts w:cs="Arial"/>
          <w:i/>
          <w:szCs w:val="22"/>
        </w:rPr>
        <w:t xml:space="preserve">Deferred Maintenance and Repairs: </w:t>
      </w:r>
      <w:r w:rsidRPr="005B5418">
        <w:rPr>
          <w:rFonts w:cs="Arial"/>
          <w:i/>
          <w:iCs/>
          <w:szCs w:val="22"/>
        </w:rPr>
        <w:t>Amending Statements of Federal Financial Accounting Standards 6, 14, 29 and 32</w:t>
      </w:r>
      <w:r w:rsidRPr="005B5418">
        <w:rPr>
          <w:rFonts w:cs="Arial"/>
          <w:szCs w:val="22"/>
        </w:rPr>
        <w:t xml:space="preserve"> (2012)</w:t>
      </w:r>
    </w:p>
    <w:p w14:paraId="229AE121" w14:textId="32EFB6F6" w:rsidR="00E2427E" w:rsidRPr="005B5418" w:rsidRDefault="00E2427E" w:rsidP="003B61E9">
      <w:pPr>
        <w:pStyle w:val="FAMtest"/>
        <w:rPr>
          <w:rFonts w:cs="Arial"/>
          <w:szCs w:val="22"/>
        </w:rPr>
      </w:pPr>
      <w:r w:rsidRPr="005B5418">
        <w:rPr>
          <w:rFonts w:eastAsia="Arial Unicode MS" w:cs="Arial"/>
          <w:szCs w:val="22"/>
        </w:rPr>
        <w:t>SFFAS 43</w:t>
      </w:r>
      <w:r w:rsidRPr="005B5418">
        <w:rPr>
          <w:rFonts w:cs="Arial"/>
          <w:szCs w:val="22"/>
        </w:rPr>
        <w:tab/>
      </w:r>
      <w:r w:rsidRPr="005B5418">
        <w:rPr>
          <w:rFonts w:cs="Arial"/>
          <w:i/>
          <w:iCs/>
          <w:szCs w:val="22"/>
        </w:rPr>
        <w:t>Funds from Dedicated Collections: Amending Statement of Federal Financial Accounting Standards 27, Identifying and Reporting Earmarked Funds</w:t>
      </w:r>
      <w:r w:rsidRPr="005B5418">
        <w:rPr>
          <w:rFonts w:cs="Arial"/>
          <w:szCs w:val="22"/>
        </w:rPr>
        <w:t xml:space="preserve"> (2012)</w:t>
      </w:r>
    </w:p>
    <w:p w14:paraId="2ABB6949" w14:textId="314AD967" w:rsidR="00E2427E" w:rsidRPr="005B5418" w:rsidRDefault="00E2427E" w:rsidP="003B61E9">
      <w:pPr>
        <w:pStyle w:val="FAMtest"/>
        <w:rPr>
          <w:rFonts w:cs="Arial"/>
          <w:szCs w:val="22"/>
        </w:rPr>
      </w:pPr>
      <w:r w:rsidRPr="005B5418">
        <w:rPr>
          <w:rFonts w:eastAsia="Arial Unicode MS" w:cs="Arial"/>
          <w:szCs w:val="22"/>
        </w:rPr>
        <w:t>SFFAS 44</w:t>
      </w:r>
      <w:r w:rsidRPr="005B5418">
        <w:rPr>
          <w:rFonts w:cs="Arial"/>
          <w:szCs w:val="22"/>
        </w:rPr>
        <w:tab/>
      </w:r>
      <w:r w:rsidRPr="005B5418">
        <w:rPr>
          <w:rFonts w:cs="Arial"/>
          <w:i/>
          <w:szCs w:val="22"/>
        </w:rPr>
        <w:t>Accounting for Impairment of General Property, Plant, And Equipment Remaining In Use</w:t>
      </w:r>
      <w:r w:rsidRPr="005B5418">
        <w:rPr>
          <w:rFonts w:cs="Arial"/>
          <w:szCs w:val="22"/>
        </w:rPr>
        <w:t xml:space="preserve"> (2013)</w:t>
      </w:r>
    </w:p>
    <w:p w14:paraId="72C2D522" w14:textId="1F831CB0" w:rsidR="00E2427E" w:rsidRPr="005B5418" w:rsidRDefault="00E2427E" w:rsidP="003B61E9">
      <w:pPr>
        <w:pStyle w:val="FAMtest"/>
        <w:rPr>
          <w:rFonts w:cs="Arial"/>
          <w:szCs w:val="22"/>
        </w:rPr>
      </w:pPr>
      <w:r w:rsidRPr="005B5418">
        <w:rPr>
          <w:rFonts w:eastAsia="Arial Unicode MS" w:cs="Arial"/>
          <w:szCs w:val="22"/>
        </w:rPr>
        <w:t>SFFAS 45</w:t>
      </w:r>
      <w:r w:rsidRPr="005B5418">
        <w:rPr>
          <w:rFonts w:cs="Arial"/>
          <w:szCs w:val="22"/>
        </w:rPr>
        <w:t xml:space="preserve"> </w:t>
      </w:r>
      <w:r w:rsidRPr="005B5418">
        <w:rPr>
          <w:rFonts w:cs="Arial"/>
          <w:szCs w:val="22"/>
        </w:rPr>
        <w:tab/>
      </w:r>
      <w:r w:rsidRPr="005B5418">
        <w:rPr>
          <w:rFonts w:cs="Arial"/>
          <w:i/>
          <w:szCs w:val="22"/>
        </w:rPr>
        <w:t>Deferral of the Transition to Basic Information for Long-Term Projections</w:t>
      </w:r>
      <w:r w:rsidRPr="005B5418">
        <w:rPr>
          <w:rFonts w:cs="Arial"/>
          <w:szCs w:val="22"/>
        </w:rPr>
        <w:t xml:space="preserve"> (2013)</w:t>
      </w:r>
    </w:p>
    <w:p w14:paraId="37775B5C" w14:textId="03F03E5E" w:rsidR="00E2427E" w:rsidRPr="005B5418" w:rsidRDefault="00E2427E" w:rsidP="003B61E9">
      <w:pPr>
        <w:pStyle w:val="FAMtest"/>
        <w:rPr>
          <w:rFonts w:cs="Arial"/>
          <w:szCs w:val="22"/>
        </w:rPr>
      </w:pPr>
      <w:r w:rsidRPr="005B5418">
        <w:rPr>
          <w:rFonts w:eastAsia="Arial Unicode MS" w:cs="Arial"/>
          <w:szCs w:val="22"/>
        </w:rPr>
        <w:t>SFFAS 46</w:t>
      </w:r>
      <w:r w:rsidRPr="005B5418">
        <w:rPr>
          <w:rFonts w:cs="Arial"/>
          <w:szCs w:val="22"/>
        </w:rPr>
        <w:t xml:space="preserve"> </w:t>
      </w:r>
      <w:r w:rsidRPr="005B5418">
        <w:rPr>
          <w:rFonts w:cs="Arial"/>
          <w:szCs w:val="22"/>
        </w:rPr>
        <w:tab/>
      </w:r>
      <w:r w:rsidRPr="005B5418">
        <w:rPr>
          <w:rFonts w:cs="Arial"/>
          <w:i/>
          <w:szCs w:val="22"/>
        </w:rPr>
        <w:t>Deferral of the Transition to Basic Information for Long-Term Projections</w:t>
      </w:r>
      <w:r w:rsidRPr="005B5418">
        <w:rPr>
          <w:rFonts w:cs="Arial"/>
          <w:szCs w:val="22"/>
        </w:rPr>
        <w:t xml:space="preserve"> (2014)</w:t>
      </w:r>
    </w:p>
    <w:p w14:paraId="78F8A25F" w14:textId="329558FE" w:rsidR="00E2427E" w:rsidRPr="005B5418" w:rsidRDefault="00E2427E" w:rsidP="003B61E9">
      <w:pPr>
        <w:pStyle w:val="FAMtest"/>
        <w:rPr>
          <w:rFonts w:cs="Arial"/>
          <w:szCs w:val="22"/>
        </w:rPr>
      </w:pPr>
      <w:r w:rsidRPr="005B5418">
        <w:rPr>
          <w:rFonts w:eastAsia="Arial Unicode MS" w:cs="Arial"/>
          <w:szCs w:val="22"/>
        </w:rPr>
        <w:t>SFFAS 47</w:t>
      </w:r>
      <w:r w:rsidRPr="005B5418">
        <w:rPr>
          <w:rFonts w:cs="Arial"/>
          <w:szCs w:val="22"/>
        </w:rPr>
        <w:t xml:space="preserve"> </w:t>
      </w:r>
      <w:r w:rsidRPr="005B5418">
        <w:rPr>
          <w:rFonts w:cs="Arial"/>
          <w:szCs w:val="22"/>
        </w:rPr>
        <w:tab/>
      </w:r>
      <w:r w:rsidRPr="005B5418">
        <w:rPr>
          <w:rFonts w:cs="Arial"/>
          <w:i/>
          <w:szCs w:val="22"/>
        </w:rPr>
        <w:t>Reporting Entity</w:t>
      </w:r>
      <w:r w:rsidRPr="005B5418">
        <w:rPr>
          <w:rFonts w:cs="Arial"/>
          <w:szCs w:val="22"/>
        </w:rPr>
        <w:t xml:space="preserve"> (2014)</w:t>
      </w:r>
    </w:p>
    <w:p w14:paraId="757A216D" w14:textId="2683CEA2" w:rsidR="00E2427E" w:rsidRPr="005B5418" w:rsidRDefault="00E2427E" w:rsidP="003B61E9">
      <w:pPr>
        <w:pStyle w:val="FAMtest"/>
        <w:rPr>
          <w:rFonts w:cs="Arial"/>
          <w:szCs w:val="22"/>
        </w:rPr>
      </w:pPr>
      <w:r w:rsidRPr="005B5418">
        <w:rPr>
          <w:rFonts w:eastAsia="Arial Unicode MS" w:cs="Arial"/>
          <w:szCs w:val="22"/>
        </w:rPr>
        <w:t>SFFAS 48</w:t>
      </w:r>
      <w:r w:rsidRPr="005B5418">
        <w:rPr>
          <w:rFonts w:cs="Arial"/>
          <w:szCs w:val="22"/>
        </w:rPr>
        <w:tab/>
      </w:r>
      <w:r w:rsidRPr="005B5418">
        <w:rPr>
          <w:rFonts w:cs="Arial"/>
          <w:i/>
          <w:szCs w:val="22"/>
        </w:rPr>
        <w:t xml:space="preserve">Opening Balances for Inventory, Operating Materials </w:t>
      </w:r>
      <w:r w:rsidR="00F971CD" w:rsidRPr="005B5418">
        <w:rPr>
          <w:rFonts w:cs="Arial"/>
          <w:i/>
          <w:szCs w:val="22"/>
        </w:rPr>
        <w:t xml:space="preserve">and </w:t>
      </w:r>
      <w:r w:rsidRPr="005B5418">
        <w:rPr>
          <w:rFonts w:cs="Arial"/>
          <w:i/>
          <w:szCs w:val="22"/>
        </w:rPr>
        <w:t>Supplies, and Stockpile Materials</w:t>
      </w:r>
      <w:r w:rsidRPr="005B5418">
        <w:rPr>
          <w:rFonts w:cs="Arial"/>
          <w:szCs w:val="22"/>
        </w:rPr>
        <w:t xml:space="preserve"> (2016)</w:t>
      </w:r>
    </w:p>
    <w:p w14:paraId="696149CE" w14:textId="554357FB" w:rsidR="00E2427E" w:rsidRPr="005B5418" w:rsidRDefault="00E2427E" w:rsidP="003B61E9">
      <w:pPr>
        <w:pStyle w:val="FAMtest"/>
        <w:rPr>
          <w:rFonts w:cs="Arial"/>
          <w:szCs w:val="22"/>
        </w:rPr>
      </w:pPr>
      <w:r w:rsidRPr="005B5418">
        <w:rPr>
          <w:rFonts w:eastAsia="Arial Unicode MS" w:cs="Arial"/>
          <w:szCs w:val="22"/>
        </w:rPr>
        <w:t>SFFAS 49</w:t>
      </w:r>
      <w:r w:rsidRPr="005B5418">
        <w:rPr>
          <w:rFonts w:cs="Arial"/>
          <w:szCs w:val="22"/>
        </w:rPr>
        <w:tab/>
      </w:r>
      <w:r w:rsidRPr="005B5418">
        <w:rPr>
          <w:rFonts w:cs="Arial"/>
          <w:i/>
          <w:szCs w:val="22"/>
        </w:rPr>
        <w:t>Public-Private Partnerships: Disclosure Requirements</w:t>
      </w:r>
      <w:r w:rsidRPr="005B5418">
        <w:rPr>
          <w:rFonts w:cs="Arial"/>
          <w:szCs w:val="22"/>
        </w:rPr>
        <w:t xml:space="preserve"> (2016)</w:t>
      </w:r>
    </w:p>
    <w:p w14:paraId="545963BD" w14:textId="3A839561" w:rsidR="00E2427E" w:rsidRPr="005B5418" w:rsidRDefault="00E2427E" w:rsidP="003B61E9">
      <w:pPr>
        <w:pStyle w:val="FAMtest"/>
        <w:rPr>
          <w:rFonts w:cs="Arial"/>
          <w:szCs w:val="22"/>
        </w:rPr>
      </w:pPr>
      <w:r w:rsidRPr="005B5418">
        <w:rPr>
          <w:rFonts w:eastAsia="Arial Unicode MS" w:cs="Arial"/>
          <w:szCs w:val="22"/>
        </w:rPr>
        <w:t>SFFAS 50</w:t>
      </w:r>
      <w:r w:rsidRPr="005B5418">
        <w:rPr>
          <w:rFonts w:cs="Arial"/>
          <w:szCs w:val="22"/>
        </w:rPr>
        <w:tab/>
      </w:r>
      <w:r w:rsidRPr="005B5418">
        <w:rPr>
          <w:rFonts w:cs="Arial"/>
          <w:i/>
          <w:szCs w:val="22"/>
        </w:rPr>
        <w:t>Establishing Opening Balances for General Property, Plan</w:t>
      </w:r>
      <w:r w:rsidR="00A334D5" w:rsidRPr="005B5418">
        <w:rPr>
          <w:rFonts w:cs="Arial"/>
          <w:i/>
          <w:szCs w:val="22"/>
        </w:rPr>
        <w:t>t</w:t>
      </w:r>
      <w:r w:rsidRPr="005B5418">
        <w:rPr>
          <w:rFonts w:cs="Arial"/>
          <w:i/>
          <w:szCs w:val="22"/>
        </w:rPr>
        <w:t>, and Equipment: Amending SFFAS 6, SFFAS 10, SFFAS 23, and Rescinding SFFAS 35</w:t>
      </w:r>
      <w:r w:rsidRPr="005B5418">
        <w:rPr>
          <w:rFonts w:cs="Arial"/>
          <w:szCs w:val="22"/>
        </w:rPr>
        <w:t xml:space="preserve"> (2016)</w:t>
      </w:r>
    </w:p>
    <w:p w14:paraId="045425D3" w14:textId="7FCCD972" w:rsidR="00E2427E" w:rsidRPr="005B5418" w:rsidRDefault="00E2427E" w:rsidP="003B61E9">
      <w:pPr>
        <w:pStyle w:val="FAMtest"/>
        <w:rPr>
          <w:rFonts w:cs="Arial"/>
          <w:szCs w:val="22"/>
        </w:rPr>
      </w:pPr>
      <w:r w:rsidRPr="005B5418">
        <w:rPr>
          <w:rFonts w:eastAsia="Arial Unicode MS" w:cs="Arial"/>
          <w:szCs w:val="22"/>
        </w:rPr>
        <w:t>SFFAS 51</w:t>
      </w:r>
      <w:r w:rsidRPr="005B5418">
        <w:rPr>
          <w:rFonts w:cs="Arial"/>
          <w:szCs w:val="22"/>
        </w:rPr>
        <w:tab/>
      </w:r>
      <w:r w:rsidRPr="005B5418">
        <w:rPr>
          <w:rFonts w:cs="Arial"/>
          <w:i/>
          <w:szCs w:val="22"/>
        </w:rPr>
        <w:t>Insurance Programs</w:t>
      </w:r>
      <w:r w:rsidRPr="005B5418">
        <w:rPr>
          <w:rFonts w:cs="Arial"/>
          <w:szCs w:val="22"/>
        </w:rPr>
        <w:t xml:space="preserve"> (2017)</w:t>
      </w:r>
    </w:p>
    <w:p w14:paraId="2B3BD32A" w14:textId="70BED76F" w:rsidR="00E2427E" w:rsidRPr="005B5418" w:rsidRDefault="00E2427E" w:rsidP="003B61E9">
      <w:pPr>
        <w:pStyle w:val="FAMtest"/>
        <w:rPr>
          <w:rFonts w:cs="Arial"/>
          <w:szCs w:val="22"/>
        </w:rPr>
      </w:pPr>
      <w:r w:rsidRPr="005B5418">
        <w:rPr>
          <w:rFonts w:eastAsia="Arial Unicode MS" w:cs="Arial"/>
          <w:szCs w:val="22"/>
        </w:rPr>
        <w:t>SFFAS 52</w:t>
      </w:r>
      <w:r w:rsidRPr="005B5418">
        <w:rPr>
          <w:rFonts w:cs="Arial"/>
          <w:szCs w:val="22"/>
        </w:rPr>
        <w:tab/>
      </w:r>
      <w:r w:rsidRPr="005B5418">
        <w:rPr>
          <w:rFonts w:cs="Arial"/>
          <w:i/>
          <w:szCs w:val="22"/>
        </w:rPr>
        <w:t>Tax Expenditures</w:t>
      </w:r>
      <w:r w:rsidRPr="005B5418">
        <w:rPr>
          <w:rFonts w:cs="Arial"/>
          <w:szCs w:val="22"/>
        </w:rPr>
        <w:t xml:space="preserve"> (2017)</w:t>
      </w:r>
      <w:r w:rsidRPr="005B5418">
        <w:rPr>
          <w:rStyle w:val="FootnoteReference"/>
          <w:rFonts w:cs="Arial"/>
          <w:szCs w:val="22"/>
        </w:rPr>
        <w:footnoteReference w:id="292"/>
      </w:r>
    </w:p>
    <w:p w14:paraId="3120BEFC" w14:textId="645BA240" w:rsidR="00E2427E" w:rsidRPr="005B5418" w:rsidRDefault="00E2427E" w:rsidP="003B61E9">
      <w:pPr>
        <w:pStyle w:val="FAMtest"/>
        <w:rPr>
          <w:rFonts w:cs="Arial"/>
          <w:szCs w:val="22"/>
        </w:rPr>
      </w:pPr>
      <w:r w:rsidRPr="005B5418">
        <w:rPr>
          <w:rFonts w:eastAsia="Arial Unicode MS" w:cs="Arial"/>
          <w:szCs w:val="22"/>
        </w:rPr>
        <w:t>SFFAS 53</w:t>
      </w:r>
      <w:r w:rsidRPr="005B5418">
        <w:rPr>
          <w:rFonts w:cs="Arial"/>
          <w:szCs w:val="22"/>
        </w:rPr>
        <w:tab/>
      </w:r>
      <w:r w:rsidRPr="005B5418">
        <w:rPr>
          <w:rFonts w:cs="Arial"/>
          <w:i/>
          <w:szCs w:val="22"/>
        </w:rPr>
        <w:t>Budget and Accrual Reconciliation</w:t>
      </w:r>
      <w:r w:rsidRPr="005B5418">
        <w:rPr>
          <w:rFonts w:cs="Arial"/>
          <w:szCs w:val="22"/>
        </w:rPr>
        <w:t xml:space="preserve"> (2017)</w:t>
      </w:r>
    </w:p>
    <w:p w14:paraId="504BA363" w14:textId="6F2C2DD4" w:rsidR="00E2427E" w:rsidRPr="005B5418" w:rsidRDefault="00E2427E" w:rsidP="003B61E9">
      <w:pPr>
        <w:pStyle w:val="FAMtest"/>
        <w:rPr>
          <w:rFonts w:cs="Arial"/>
          <w:color w:val="FFFFFF"/>
          <w:szCs w:val="22"/>
        </w:rPr>
      </w:pPr>
      <w:r w:rsidRPr="005B5418">
        <w:rPr>
          <w:rFonts w:eastAsia="Arial Unicode MS" w:cs="Arial"/>
          <w:szCs w:val="22"/>
        </w:rPr>
        <w:t>SFFAS 54</w:t>
      </w:r>
      <w:r w:rsidRPr="005B5418">
        <w:rPr>
          <w:rFonts w:cs="Arial"/>
          <w:szCs w:val="22"/>
        </w:rPr>
        <w:t xml:space="preserve"> </w:t>
      </w:r>
      <w:r w:rsidRPr="005B5418">
        <w:rPr>
          <w:rFonts w:cs="Arial"/>
          <w:szCs w:val="22"/>
        </w:rPr>
        <w:tab/>
      </w:r>
      <w:r w:rsidRPr="005B5418">
        <w:rPr>
          <w:rFonts w:cs="Arial"/>
          <w:i/>
          <w:szCs w:val="22"/>
        </w:rPr>
        <w:t>Leases</w:t>
      </w:r>
      <w:r w:rsidRPr="005B5418">
        <w:rPr>
          <w:rFonts w:cs="Arial"/>
          <w:szCs w:val="22"/>
        </w:rPr>
        <w:t xml:space="preserve"> (2018)</w:t>
      </w:r>
    </w:p>
    <w:p w14:paraId="00C7DEA4" w14:textId="0CE71382" w:rsidR="00E2427E" w:rsidRPr="005B5418" w:rsidRDefault="00E2427E" w:rsidP="007A7A92">
      <w:pPr>
        <w:pStyle w:val="FAMtest"/>
        <w:rPr>
          <w:rFonts w:cs="Arial"/>
          <w:i/>
          <w:szCs w:val="22"/>
        </w:rPr>
      </w:pPr>
      <w:r w:rsidRPr="005B5418">
        <w:rPr>
          <w:rFonts w:eastAsia="Arial Unicode MS" w:cs="Arial"/>
        </w:rPr>
        <w:t>SFFAS 55</w:t>
      </w:r>
      <w:r w:rsidRPr="005B5418">
        <w:rPr>
          <w:rFonts w:cs="Arial"/>
          <w:color w:val="FFFFFF"/>
        </w:rPr>
        <w:tab/>
      </w:r>
      <w:r w:rsidRPr="005B5418">
        <w:rPr>
          <w:rFonts w:cs="Arial"/>
          <w:i/>
          <w:szCs w:val="22"/>
        </w:rPr>
        <w:t xml:space="preserve">Amending Inter-entity Cost Provisions </w:t>
      </w:r>
      <w:r w:rsidRPr="005B5418">
        <w:rPr>
          <w:rFonts w:cs="Arial"/>
          <w:iCs/>
          <w:szCs w:val="22"/>
        </w:rPr>
        <w:t>(2018)</w:t>
      </w:r>
    </w:p>
    <w:p w14:paraId="0EB4EC9C" w14:textId="17E40E83" w:rsidR="002447D0" w:rsidRPr="005B5418" w:rsidRDefault="00E2427E" w:rsidP="007A7A92">
      <w:pPr>
        <w:pStyle w:val="FAMtest"/>
        <w:rPr>
          <w:rFonts w:cs="Arial"/>
          <w:i/>
          <w:szCs w:val="22"/>
        </w:rPr>
      </w:pPr>
      <w:r w:rsidRPr="005B5418">
        <w:rPr>
          <w:rFonts w:cs="Arial"/>
          <w:iCs/>
          <w:szCs w:val="22"/>
        </w:rPr>
        <w:t>SFFAS 56</w:t>
      </w:r>
      <w:r w:rsidRPr="005B5418">
        <w:rPr>
          <w:rFonts w:cs="Arial"/>
          <w:i/>
          <w:szCs w:val="22"/>
        </w:rPr>
        <w:t xml:space="preserve">      Classified Activities </w:t>
      </w:r>
      <w:r w:rsidRPr="005B5418">
        <w:rPr>
          <w:rFonts w:cs="Arial"/>
          <w:iCs/>
          <w:szCs w:val="22"/>
        </w:rPr>
        <w:t>(2018)</w:t>
      </w:r>
      <w:r w:rsidRPr="005B5418">
        <w:rPr>
          <w:rFonts w:cs="Arial"/>
          <w:i/>
          <w:szCs w:val="22"/>
        </w:rPr>
        <w:t xml:space="preserve"> </w:t>
      </w:r>
    </w:p>
    <w:p w14:paraId="4DE5C489" w14:textId="53754469" w:rsidR="00E2427E" w:rsidRPr="005B5418" w:rsidRDefault="002447D0" w:rsidP="007A7A92">
      <w:pPr>
        <w:pStyle w:val="FAMtest"/>
        <w:rPr>
          <w:rFonts w:cs="Arial"/>
          <w:i/>
          <w:szCs w:val="22"/>
        </w:rPr>
      </w:pPr>
      <w:r w:rsidRPr="005B5418">
        <w:rPr>
          <w:rFonts w:cs="Arial"/>
          <w:iCs/>
          <w:szCs w:val="22"/>
        </w:rPr>
        <w:t>SFFAS 57</w:t>
      </w:r>
      <w:r w:rsidRPr="005B5418">
        <w:rPr>
          <w:rFonts w:cs="Arial"/>
          <w:i/>
          <w:szCs w:val="22"/>
        </w:rPr>
        <w:t xml:space="preserve">      Omnibus Amendments </w:t>
      </w:r>
      <w:r w:rsidRPr="005B5418">
        <w:rPr>
          <w:rFonts w:cs="Arial"/>
          <w:iCs/>
          <w:szCs w:val="22"/>
        </w:rPr>
        <w:t>(2019)</w:t>
      </w:r>
      <w:r w:rsidRPr="005B5418">
        <w:rPr>
          <w:rFonts w:cs="Arial"/>
          <w:i/>
          <w:szCs w:val="22"/>
        </w:rPr>
        <w:tab/>
      </w:r>
      <w:r w:rsidR="00E2427E" w:rsidRPr="005B5418">
        <w:rPr>
          <w:rFonts w:cs="Arial"/>
          <w:i/>
          <w:szCs w:val="22"/>
        </w:rPr>
        <w:t xml:space="preserve">    </w:t>
      </w:r>
    </w:p>
    <w:p w14:paraId="02B19307" w14:textId="230D787B" w:rsidR="007537EC" w:rsidRPr="005B5418" w:rsidRDefault="007537EC" w:rsidP="007A7A92">
      <w:pPr>
        <w:pStyle w:val="FAMtest"/>
        <w:rPr>
          <w:iCs/>
          <w:szCs w:val="22"/>
        </w:rPr>
      </w:pPr>
      <w:r w:rsidRPr="005B5418">
        <w:rPr>
          <w:rFonts w:cs="Arial"/>
          <w:iCs/>
          <w:szCs w:val="22"/>
        </w:rPr>
        <w:t>SFFAS 58</w:t>
      </w:r>
      <w:r w:rsidR="005C577A" w:rsidRPr="005B5418">
        <w:rPr>
          <w:rFonts w:cs="Arial"/>
          <w:i/>
          <w:szCs w:val="22"/>
        </w:rPr>
        <w:t xml:space="preserve"> </w:t>
      </w:r>
      <w:r w:rsidRPr="005B5418">
        <w:rPr>
          <w:i/>
          <w:szCs w:val="22"/>
        </w:rPr>
        <w:t xml:space="preserve">     </w:t>
      </w:r>
      <w:r w:rsidRPr="005B5418">
        <w:rPr>
          <w:i/>
          <w:iCs/>
          <w:szCs w:val="22"/>
        </w:rPr>
        <w:t xml:space="preserve">Deferral of the Effective </w:t>
      </w:r>
      <w:r w:rsidR="00A334D5" w:rsidRPr="005B5418">
        <w:rPr>
          <w:i/>
          <w:iCs/>
          <w:szCs w:val="22"/>
        </w:rPr>
        <w:t xml:space="preserve">Date </w:t>
      </w:r>
      <w:r w:rsidRPr="005B5418">
        <w:rPr>
          <w:i/>
          <w:iCs/>
          <w:szCs w:val="22"/>
        </w:rPr>
        <w:t>of SFFAS 54, Leases</w:t>
      </w:r>
      <w:r w:rsidR="0044407A" w:rsidRPr="005B5418">
        <w:rPr>
          <w:i/>
          <w:szCs w:val="22"/>
        </w:rPr>
        <w:t xml:space="preserve"> </w:t>
      </w:r>
      <w:r w:rsidR="0044407A" w:rsidRPr="005B5418">
        <w:rPr>
          <w:iCs/>
          <w:szCs w:val="22"/>
        </w:rPr>
        <w:t>(2020)</w:t>
      </w:r>
    </w:p>
    <w:p w14:paraId="716227D7" w14:textId="56D3C5B2" w:rsidR="00E65E96" w:rsidRPr="005B5418" w:rsidRDefault="00E65E96" w:rsidP="007A7A92">
      <w:pPr>
        <w:pStyle w:val="FAMtest"/>
        <w:rPr>
          <w:i/>
          <w:szCs w:val="22"/>
        </w:rPr>
      </w:pPr>
      <w:r w:rsidRPr="005B5418">
        <w:rPr>
          <w:iCs/>
          <w:szCs w:val="22"/>
        </w:rPr>
        <w:t>SFFAS 59</w:t>
      </w:r>
      <w:r w:rsidR="00087B11" w:rsidRPr="005B5418">
        <w:rPr>
          <w:i/>
          <w:szCs w:val="22"/>
        </w:rPr>
        <w:tab/>
      </w:r>
      <w:r w:rsidRPr="005B5418">
        <w:rPr>
          <w:i/>
          <w:iCs/>
          <w:szCs w:val="22"/>
        </w:rPr>
        <w:t>Accounting and Reporting of Government Land</w:t>
      </w:r>
      <w:r w:rsidRPr="005B5418">
        <w:rPr>
          <w:i/>
          <w:szCs w:val="22"/>
        </w:rPr>
        <w:t xml:space="preserve"> </w:t>
      </w:r>
      <w:r w:rsidRPr="005B5418">
        <w:rPr>
          <w:iCs/>
          <w:szCs w:val="22"/>
        </w:rPr>
        <w:t>(2021)</w:t>
      </w:r>
      <w:r w:rsidRPr="005B5418">
        <w:rPr>
          <w:rStyle w:val="FootnoteReference"/>
          <w:rFonts w:cs="Arial"/>
          <w:iCs/>
        </w:rPr>
        <w:footnoteReference w:id="293"/>
      </w:r>
    </w:p>
    <w:p w14:paraId="25A9AC46" w14:textId="5A74AF3A" w:rsidR="00241247" w:rsidRPr="005B5418" w:rsidRDefault="00241247" w:rsidP="007A7A92">
      <w:pPr>
        <w:pStyle w:val="FAMtest"/>
        <w:rPr>
          <w:i/>
          <w:szCs w:val="22"/>
        </w:rPr>
      </w:pPr>
      <w:r w:rsidRPr="005B5418">
        <w:rPr>
          <w:iCs/>
          <w:szCs w:val="22"/>
        </w:rPr>
        <w:lastRenderedPageBreak/>
        <w:t>SFFAS 60</w:t>
      </w:r>
      <w:r w:rsidR="00087B11" w:rsidRPr="005B5418">
        <w:rPr>
          <w:i/>
          <w:szCs w:val="22"/>
        </w:rPr>
        <w:tab/>
      </w:r>
      <w:r w:rsidRPr="005B5418">
        <w:rPr>
          <w:i/>
          <w:iCs/>
          <w:szCs w:val="22"/>
        </w:rPr>
        <w:t>Omnibus Amendments: Lease-Related Topics</w:t>
      </w:r>
      <w:r w:rsidRPr="005B5418">
        <w:rPr>
          <w:i/>
          <w:szCs w:val="22"/>
        </w:rPr>
        <w:t xml:space="preserve"> </w:t>
      </w:r>
      <w:r w:rsidRPr="005B5418">
        <w:rPr>
          <w:iCs/>
          <w:szCs w:val="22"/>
        </w:rPr>
        <w:t>(2021)</w:t>
      </w:r>
    </w:p>
    <w:p w14:paraId="47E37605" w14:textId="617757FE" w:rsidR="00212579" w:rsidRPr="005B5418" w:rsidRDefault="00212579" w:rsidP="007A7A92">
      <w:pPr>
        <w:pStyle w:val="FAMtest"/>
        <w:rPr>
          <w:i/>
          <w:szCs w:val="22"/>
        </w:rPr>
      </w:pPr>
      <w:r w:rsidRPr="005B5418">
        <w:rPr>
          <w:iCs/>
          <w:szCs w:val="22"/>
        </w:rPr>
        <w:t>SFFAS 61</w:t>
      </w:r>
      <w:r w:rsidR="00087B11" w:rsidRPr="005B5418">
        <w:rPr>
          <w:i/>
          <w:szCs w:val="22"/>
        </w:rPr>
        <w:tab/>
      </w:r>
      <w:r w:rsidRPr="005B5418">
        <w:rPr>
          <w:i/>
          <w:iCs/>
          <w:szCs w:val="22"/>
        </w:rPr>
        <w:t>Omnibus Amendments: Lease-Related Topics II</w:t>
      </w:r>
      <w:r w:rsidRPr="005B5418">
        <w:rPr>
          <w:szCs w:val="22"/>
        </w:rPr>
        <w:t xml:space="preserve"> </w:t>
      </w:r>
      <w:r w:rsidRPr="005B5418">
        <w:rPr>
          <w:iCs/>
          <w:szCs w:val="22"/>
        </w:rPr>
        <w:t>(2023)</w:t>
      </w:r>
    </w:p>
    <w:p w14:paraId="5256730C" w14:textId="70148DF2" w:rsidR="00977B89" w:rsidRPr="005B5418" w:rsidRDefault="00977B89" w:rsidP="007A7A92">
      <w:pPr>
        <w:pStyle w:val="FAMtest"/>
        <w:rPr>
          <w:i/>
          <w:szCs w:val="22"/>
        </w:rPr>
      </w:pPr>
      <w:r w:rsidRPr="005B5418">
        <w:rPr>
          <w:iCs/>
          <w:szCs w:val="22"/>
        </w:rPr>
        <w:t>SFFAS 62</w:t>
      </w:r>
      <w:r w:rsidR="00087B11" w:rsidRPr="005B5418">
        <w:rPr>
          <w:i/>
          <w:szCs w:val="22"/>
        </w:rPr>
        <w:tab/>
      </w:r>
      <w:r w:rsidRPr="005B5418">
        <w:rPr>
          <w:i/>
          <w:iCs/>
          <w:szCs w:val="22"/>
        </w:rPr>
        <w:t>Transitional Amendment to SFFAS 54</w:t>
      </w:r>
      <w:r w:rsidRPr="005B5418">
        <w:rPr>
          <w:i/>
          <w:szCs w:val="22"/>
        </w:rPr>
        <w:t xml:space="preserve"> </w:t>
      </w:r>
      <w:r w:rsidRPr="005B5418">
        <w:rPr>
          <w:iCs/>
          <w:szCs w:val="22"/>
        </w:rPr>
        <w:t>(2023)</w:t>
      </w:r>
    </w:p>
    <w:p w14:paraId="09C950C4" w14:textId="1FB1A81B" w:rsidR="00A344D3" w:rsidRPr="007A7A92" w:rsidRDefault="00A344D3" w:rsidP="007A7A92">
      <w:pPr>
        <w:pStyle w:val="FAMtest"/>
        <w:rPr>
          <w:rFonts w:cs="Arial"/>
          <w:iCs/>
          <w:szCs w:val="22"/>
        </w:rPr>
      </w:pPr>
      <w:r w:rsidRPr="005B5418">
        <w:rPr>
          <w:iCs/>
          <w:szCs w:val="22"/>
        </w:rPr>
        <w:t>SFFAS 63</w:t>
      </w:r>
      <w:r w:rsidRPr="005B5418">
        <w:rPr>
          <w:i/>
          <w:szCs w:val="22"/>
        </w:rPr>
        <w:t xml:space="preserve">       </w:t>
      </w:r>
      <w:r w:rsidRPr="005B5418">
        <w:rPr>
          <w:i/>
          <w:iCs/>
          <w:szCs w:val="22"/>
        </w:rPr>
        <w:t>Omnibus Amendments</w:t>
      </w:r>
      <w:r w:rsidR="007D7D9D" w:rsidRPr="005B5418">
        <w:rPr>
          <w:i/>
          <w:iCs/>
          <w:szCs w:val="22"/>
        </w:rPr>
        <w:t>: 2024-1: Amending Statements of Federal Financial Accounting Standards</w:t>
      </w:r>
      <w:r w:rsidR="007D7D9D" w:rsidRPr="007A7A92">
        <w:rPr>
          <w:i/>
          <w:iCs/>
          <w:szCs w:val="22"/>
        </w:rPr>
        <w:t xml:space="preserve"> 38, 49, and Technical Bulletin 2011-1</w:t>
      </w:r>
      <w:r w:rsidRPr="007A7A92">
        <w:rPr>
          <w:szCs w:val="22"/>
        </w:rPr>
        <w:t xml:space="preserve"> </w:t>
      </w:r>
      <w:r w:rsidRPr="007A7A92">
        <w:rPr>
          <w:iCs/>
          <w:szCs w:val="22"/>
        </w:rPr>
        <w:t>(2024)</w:t>
      </w:r>
    </w:p>
    <w:p w14:paraId="5D9F5B11" w14:textId="7500D186" w:rsidR="007537EC" w:rsidRPr="00791E1B" w:rsidRDefault="00791E1B" w:rsidP="005425ED">
      <w:pPr>
        <w:spacing w:line="240" w:lineRule="auto"/>
        <w:ind w:left="1800" w:hanging="1440"/>
        <w:rPr>
          <w:rFonts w:ascii="Arial" w:hAnsi="Arial" w:cs="Arial"/>
        </w:rPr>
      </w:pPr>
      <w:r>
        <w:rPr>
          <w:rFonts w:ascii="Arial" w:hAnsi="Arial" w:cs="Arial"/>
        </w:rPr>
        <w:t xml:space="preserve">SFFAS 64       </w:t>
      </w:r>
      <w:r w:rsidRPr="005425ED">
        <w:rPr>
          <w:rFonts w:ascii="Arial" w:eastAsia="Times New Roman" w:hAnsi="Arial" w:cs="Times New Roman"/>
          <w:i/>
          <w:iCs/>
        </w:rPr>
        <w:t>Management’s Discussion and Analysis: Rescinding and Replacing SFFAS 15</w:t>
      </w:r>
      <w:r>
        <w:rPr>
          <w:rFonts w:ascii="Arial" w:eastAsia="Times New Roman" w:hAnsi="Arial" w:cs="Times New Roman"/>
          <w:i/>
          <w:iCs/>
        </w:rPr>
        <w:t xml:space="preserve"> </w:t>
      </w:r>
      <w:r>
        <w:rPr>
          <w:rFonts w:ascii="Arial" w:eastAsia="Times New Roman" w:hAnsi="Arial" w:cs="Times New Roman"/>
        </w:rPr>
        <w:t>(2024)</w:t>
      </w:r>
      <w:r>
        <w:rPr>
          <w:rStyle w:val="FootnoteReference"/>
          <w:rFonts w:ascii="Arial" w:eastAsia="Times New Roman" w:hAnsi="Arial" w:cs="Times New Roman"/>
        </w:rPr>
        <w:footnoteReference w:id="294"/>
      </w:r>
    </w:p>
    <w:p w14:paraId="4575849A" w14:textId="77777777" w:rsidR="00F750D7" w:rsidRDefault="00F750D7" w:rsidP="003B61E9">
      <w:pPr>
        <w:spacing w:line="240" w:lineRule="auto"/>
        <w:rPr>
          <w:rFonts w:ascii="Arial" w:hAnsi="Arial" w:cs="Arial"/>
        </w:rPr>
      </w:pPr>
    </w:p>
    <w:p w14:paraId="486CD13A" w14:textId="77777777" w:rsidR="00F750D7" w:rsidRDefault="00F750D7" w:rsidP="003B61E9">
      <w:pPr>
        <w:spacing w:line="240" w:lineRule="auto"/>
        <w:rPr>
          <w:rFonts w:ascii="Arial" w:hAnsi="Arial" w:cs="Arial"/>
        </w:rPr>
      </w:pPr>
    </w:p>
    <w:p w14:paraId="11A36A47" w14:textId="77777777" w:rsidR="00F750D7" w:rsidRPr="00AA514B" w:rsidRDefault="00F750D7" w:rsidP="003B61E9">
      <w:pPr>
        <w:spacing w:line="240" w:lineRule="auto"/>
        <w:rPr>
          <w:rFonts w:ascii="Arial" w:hAnsi="Arial" w:cs="Arial"/>
        </w:rPr>
        <w:sectPr w:rsidR="00F750D7" w:rsidRPr="00AA514B" w:rsidSect="00571B6D">
          <w:pgSz w:w="12240" w:h="15840" w:code="1"/>
          <w:pgMar w:top="1440" w:right="1440" w:bottom="1440" w:left="1440" w:header="720" w:footer="720" w:gutter="0"/>
          <w:cols w:space="708"/>
          <w:docGrid w:linePitch="326"/>
        </w:sectPr>
      </w:pPr>
      <w:r>
        <w:rPr>
          <w:rFonts w:ascii="Arial" w:hAnsi="Arial" w:cs="Arial"/>
        </w:rPr>
        <w:tab/>
      </w:r>
    </w:p>
    <w:p w14:paraId="4530CEDB" w14:textId="19197C8F" w:rsidR="00E2427E" w:rsidRPr="00BA5E1D" w:rsidRDefault="00E2427E" w:rsidP="003B61E9">
      <w:pPr>
        <w:spacing w:line="240" w:lineRule="auto"/>
        <w:jc w:val="center"/>
        <w:rPr>
          <w:rFonts w:ascii="Arial" w:hAnsi="Arial" w:cs="Arial"/>
        </w:rPr>
      </w:pPr>
      <w:r w:rsidRPr="00BA5E1D">
        <w:rPr>
          <w:rFonts w:ascii="Arial" w:hAnsi="Arial" w:cs="Arial"/>
        </w:rPr>
        <w:lastRenderedPageBreak/>
        <w:t>[This page intentionally left blank.]</w:t>
      </w:r>
    </w:p>
    <w:p w14:paraId="7C7C6FB6" w14:textId="77777777" w:rsidR="00E2427E" w:rsidRPr="00501E32" w:rsidRDefault="00E2427E" w:rsidP="003B61E9">
      <w:pPr>
        <w:spacing w:line="240" w:lineRule="auto"/>
        <w:rPr>
          <w:rFonts w:cs="Arial"/>
        </w:rPr>
      </w:pPr>
    </w:p>
    <w:p w14:paraId="4CD6963F" w14:textId="77777777" w:rsidR="007576B7" w:rsidRPr="00501E32" w:rsidRDefault="007576B7" w:rsidP="003B61E9">
      <w:pPr>
        <w:spacing w:line="240" w:lineRule="auto"/>
        <w:rPr>
          <w:rFonts w:cs="Arial"/>
        </w:rPr>
      </w:pPr>
    </w:p>
    <w:sectPr w:rsidR="007576B7" w:rsidRPr="00501E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0F93" w14:textId="77777777" w:rsidR="004A68D5" w:rsidRDefault="004A68D5" w:rsidP="00F45069">
      <w:pPr>
        <w:spacing w:after="0" w:line="240" w:lineRule="auto"/>
      </w:pPr>
      <w:r>
        <w:separator/>
      </w:r>
    </w:p>
  </w:endnote>
  <w:endnote w:type="continuationSeparator" w:id="0">
    <w:p w14:paraId="4CFB368D" w14:textId="77777777" w:rsidR="004A68D5" w:rsidRDefault="004A68D5" w:rsidP="00F45069">
      <w:pPr>
        <w:spacing w:after="0" w:line="240" w:lineRule="auto"/>
      </w:pPr>
      <w:r>
        <w:continuationSeparator/>
      </w:r>
    </w:p>
  </w:endnote>
  <w:endnote w:type="continuationNotice" w:id="1">
    <w:p w14:paraId="360F321A" w14:textId="77777777" w:rsidR="004A68D5" w:rsidRDefault="004A6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DED8" w14:textId="57E924EC" w:rsidR="00AB3FC6" w:rsidRPr="0011333B" w:rsidRDefault="009B4994" w:rsidP="00A96FC8">
    <w:pPr>
      <w:pStyle w:val="Footer"/>
      <w:rPr>
        <w:rFonts w:ascii="Arial" w:hAnsi="Arial" w:cs="Arial"/>
      </w:rPr>
    </w:pPr>
    <w:r>
      <w:rPr>
        <w:rFonts w:ascii="Arial" w:hAnsi="Arial"/>
      </w:rPr>
      <w:t>August</w:t>
    </w:r>
    <w:r w:rsidR="00D807FE">
      <w:rPr>
        <w:rFonts w:ascii="Arial" w:hAnsi="Arial" w:cs="Arial"/>
      </w:rPr>
      <w:t xml:space="preserve"> </w:t>
    </w:r>
    <w:r w:rsidR="007D4579">
      <w:rPr>
        <w:rFonts w:ascii="Arial" w:hAnsi="Arial" w:cs="Arial"/>
      </w:rPr>
      <w:t>2025</w:t>
    </w:r>
    <w:r w:rsidR="00AB3FC6">
      <w:rPr>
        <w:rFonts w:ascii="Arial" w:hAnsi="Arial" w:cs="Arial"/>
      </w:rPr>
      <w:tab/>
      <w:t>GAO/CIGIE Financial Audit Manual</w:t>
    </w:r>
    <w:r w:rsidR="00AB3FC6">
      <w:rPr>
        <w:rFonts w:ascii="Arial" w:hAnsi="Arial" w:cs="Arial"/>
      </w:rPr>
      <w:tab/>
      <w:t xml:space="preserve">Page </w:t>
    </w:r>
    <w:r w:rsidR="00AB3FC6" w:rsidRPr="00FC67DF">
      <w:rPr>
        <w:rFonts w:ascii="Arial" w:hAnsi="Arial" w:cs="Arial"/>
      </w:rPr>
      <w:fldChar w:fldCharType="begin"/>
    </w:r>
    <w:r w:rsidR="00AB3FC6" w:rsidRPr="00FC67DF">
      <w:rPr>
        <w:rFonts w:ascii="Arial" w:hAnsi="Arial" w:cs="Arial"/>
      </w:rPr>
      <w:instrText xml:space="preserve"> PAGE   \* MERGEFORMAT </w:instrText>
    </w:r>
    <w:r w:rsidR="00AB3FC6" w:rsidRPr="00FC67DF">
      <w:rPr>
        <w:rFonts w:ascii="Arial" w:hAnsi="Arial" w:cs="Arial"/>
      </w:rPr>
      <w:fldChar w:fldCharType="separate"/>
    </w:r>
    <w:r w:rsidR="00CA1548">
      <w:rPr>
        <w:rFonts w:ascii="Arial" w:hAnsi="Arial" w:cs="Arial"/>
        <w:noProof/>
      </w:rPr>
      <w:t>iv</w:t>
    </w:r>
    <w:r w:rsidR="00AB3FC6" w:rsidRPr="00FC67DF">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DBAB" w14:textId="050FAEE2" w:rsidR="00AB3FC6" w:rsidRPr="005B3AEF" w:rsidRDefault="009B4994">
    <w:pPr>
      <w:pStyle w:val="Footer"/>
      <w:rPr>
        <w:rFonts w:ascii="Arial" w:hAnsi="Arial" w:cs="Arial"/>
      </w:rPr>
    </w:pPr>
    <w:r>
      <w:rPr>
        <w:rFonts w:ascii="Arial" w:hAnsi="Arial"/>
      </w:rPr>
      <w:t>August</w:t>
    </w:r>
    <w:r w:rsidR="001A1CDB">
      <w:rPr>
        <w:rFonts w:ascii="Arial" w:hAnsi="Arial" w:cs="Arial"/>
      </w:rPr>
      <w:t xml:space="preserve"> </w:t>
    </w:r>
    <w:r w:rsidR="007D4579">
      <w:rPr>
        <w:rFonts w:ascii="Arial" w:hAnsi="Arial" w:cs="Arial"/>
      </w:rPr>
      <w:t>2025</w:t>
    </w:r>
    <w:r w:rsidR="00AB3FC6">
      <w:rPr>
        <w:rFonts w:ascii="Arial" w:hAnsi="Arial" w:cs="Arial"/>
      </w:rPr>
      <w:tab/>
      <w:t xml:space="preserve">GAO/CIGIE Financial Audit Manual </w:t>
    </w:r>
    <w:r w:rsidR="00AB3FC6">
      <w:rPr>
        <w:rFonts w:ascii="Arial" w:hAnsi="Arial" w:cs="Arial"/>
      </w:rPr>
      <w:tab/>
      <w:t>Page 2010-</w:t>
    </w:r>
    <w:r w:rsidR="00AB3FC6" w:rsidRPr="00CB6BB5">
      <w:rPr>
        <w:rFonts w:ascii="Arial" w:hAnsi="Arial" w:cs="Arial"/>
      </w:rPr>
      <w:fldChar w:fldCharType="begin"/>
    </w:r>
    <w:r w:rsidR="00AB3FC6" w:rsidRPr="00CB6BB5">
      <w:rPr>
        <w:rFonts w:ascii="Arial" w:hAnsi="Arial" w:cs="Arial"/>
      </w:rPr>
      <w:instrText xml:space="preserve"> PAGE   \* MERGEFORMAT </w:instrText>
    </w:r>
    <w:r w:rsidR="00AB3FC6" w:rsidRPr="00CB6BB5">
      <w:rPr>
        <w:rFonts w:ascii="Arial" w:hAnsi="Arial" w:cs="Arial"/>
      </w:rPr>
      <w:fldChar w:fldCharType="separate"/>
    </w:r>
    <w:r w:rsidR="00CA1548">
      <w:rPr>
        <w:rFonts w:ascii="Arial" w:hAnsi="Arial" w:cs="Arial"/>
        <w:noProof/>
      </w:rPr>
      <w:t>241</w:t>
    </w:r>
    <w:r w:rsidR="00AB3FC6" w:rsidRPr="00CB6BB5">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4862" w14:textId="77777777" w:rsidR="004A68D5" w:rsidRDefault="004A68D5" w:rsidP="00F45069">
      <w:pPr>
        <w:spacing w:after="0" w:line="240" w:lineRule="auto"/>
      </w:pPr>
      <w:r>
        <w:separator/>
      </w:r>
    </w:p>
  </w:footnote>
  <w:footnote w:type="continuationSeparator" w:id="0">
    <w:p w14:paraId="7D53064F" w14:textId="77777777" w:rsidR="004A68D5" w:rsidRDefault="004A68D5" w:rsidP="00F45069">
      <w:pPr>
        <w:spacing w:after="0" w:line="240" w:lineRule="auto"/>
      </w:pPr>
      <w:r>
        <w:continuationSeparator/>
      </w:r>
    </w:p>
  </w:footnote>
  <w:footnote w:type="continuationNotice" w:id="1">
    <w:p w14:paraId="4C215FE9" w14:textId="77777777" w:rsidR="004A68D5" w:rsidRDefault="004A68D5">
      <w:pPr>
        <w:spacing w:after="0" w:line="240" w:lineRule="auto"/>
      </w:pPr>
    </w:p>
  </w:footnote>
  <w:footnote w:id="2">
    <w:p w14:paraId="13127001" w14:textId="4C0052E3" w:rsidR="00AB3FC6" w:rsidRDefault="00AB3FC6" w:rsidP="00687C1C">
      <w:pPr>
        <w:autoSpaceDE w:val="0"/>
        <w:autoSpaceDN w:val="0"/>
        <w:adjustRightInd w:val="0"/>
        <w:spacing w:after="0" w:line="240" w:lineRule="auto"/>
      </w:pPr>
      <w:r>
        <w:rPr>
          <w:rStyle w:val="FootnoteReference"/>
        </w:rPr>
        <w:footnoteRef/>
      </w:r>
      <w:r w:rsidRPr="00352E59">
        <w:rPr>
          <w:rFonts w:ascii="Arial" w:hAnsi="Arial" w:cs="Arial"/>
          <w:sz w:val="18"/>
          <w:szCs w:val="18"/>
        </w:rPr>
        <w:t>Administrative assignments to component reporting entities are typically made in laws and</w:t>
      </w:r>
      <w:r>
        <w:rPr>
          <w:rFonts w:ascii="Arial" w:hAnsi="Arial" w:cs="Arial"/>
          <w:sz w:val="18"/>
          <w:szCs w:val="18"/>
        </w:rPr>
        <w:t xml:space="preserve"> </w:t>
      </w:r>
      <w:r w:rsidRPr="00352E59">
        <w:rPr>
          <w:rFonts w:ascii="Arial" w:hAnsi="Arial" w:cs="Arial"/>
          <w:sz w:val="18"/>
          <w:szCs w:val="18"/>
        </w:rPr>
        <w:t>policy documents</w:t>
      </w:r>
      <w:r>
        <w:rPr>
          <w:rFonts w:ascii="Arial" w:hAnsi="Arial" w:cs="Arial"/>
          <w:sz w:val="18"/>
          <w:szCs w:val="18"/>
        </w:rPr>
        <w:t>,</w:t>
      </w:r>
      <w:r w:rsidRPr="00352E59">
        <w:rPr>
          <w:rFonts w:ascii="Arial" w:hAnsi="Arial" w:cs="Arial"/>
          <w:sz w:val="18"/>
          <w:szCs w:val="18"/>
        </w:rPr>
        <w:t xml:space="preserve"> such as statutes, budget documents, regulations, or strategic plans.</w:t>
      </w:r>
      <w:r>
        <w:rPr>
          <w:rFonts w:ascii="Arial" w:hAnsi="Arial" w:cs="Arial"/>
          <w:sz w:val="18"/>
          <w:szCs w:val="18"/>
        </w:rPr>
        <w:t xml:space="preserve"> </w:t>
      </w:r>
      <w:r w:rsidRPr="00352E59">
        <w:rPr>
          <w:rFonts w:ascii="Arial" w:hAnsi="Arial" w:cs="Arial"/>
          <w:sz w:val="18"/>
          <w:szCs w:val="18"/>
        </w:rPr>
        <w:t>Administrative assignments can be identified by evaluating:</w:t>
      </w:r>
      <w:r>
        <w:rPr>
          <w:rFonts w:ascii="Arial" w:hAnsi="Arial" w:cs="Arial"/>
          <w:sz w:val="18"/>
          <w:szCs w:val="18"/>
        </w:rPr>
        <w:t xml:space="preserve"> (a) scope of the budget process, (b) accountability established within a component reporting entity, and (c) misleading to exclude and/or misleading to include.</w:t>
      </w:r>
    </w:p>
  </w:footnote>
  <w:footnote w:id="3">
    <w:p w14:paraId="1C613D6C" w14:textId="6ABCCEBB" w:rsidR="00AB3FC6" w:rsidRDefault="00AB3FC6" w:rsidP="00E96346">
      <w:pPr>
        <w:pStyle w:val="FootnoteText"/>
      </w:pPr>
      <w:r w:rsidRPr="005B4C99">
        <w:rPr>
          <w:rStyle w:val="FootnoteReference"/>
        </w:rPr>
        <w:footnoteRef/>
      </w:r>
      <w:r w:rsidRPr="005B4C99">
        <w:t xml:space="preserve">Generally, the component reporting entity assigned the largest share (based on the most significant administrative role) of responsibilities should include the consolidation entity. The reporting entity needs to coordinate with Treasury and OMB as to the administrative assignments. </w:t>
      </w:r>
    </w:p>
  </w:footnote>
  <w:footnote w:id="4">
    <w:p w14:paraId="6C3AC54C" w14:textId="02C8BE7B" w:rsidR="00AB3FC6" w:rsidRDefault="00AB3FC6" w:rsidP="00E96346">
      <w:pPr>
        <w:pStyle w:val="FootnoteText"/>
      </w:pPr>
      <w:r>
        <w:rPr>
          <w:rStyle w:val="FootnoteReference"/>
        </w:rPr>
        <w:footnoteRef/>
      </w:r>
      <w:r w:rsidRPr="005136E0">
        <w:t>Certain information, such as SBR</w:t>
      </w:r>
      <w:r w:rsidR="001A6AFE">
        <w:t>-</w:t>
      </w:r>
      <w:r w:rsidRPr="005136E0">
        <w:t>related information, is presented on a combined basis rather than a consolidated basis.</w:t>
      </w:r>
    </w:p>
  </w:footnote>
  <w:footnote w:id="5">
    <w:p w14:paraId="18760FF3" w14:textId="648A6123" w:rsidR="00AB3FC6" w:rsidRDefault="00AB3FC6" w:rsidP="00E96346">
      <w:pPr>
        <w:pStyle w:val="FootnoteText"/>
      </w:pPr>
      <w:r>
        <w:rPr>
          <w:rStyle w:val="FootnoteReference"/>
        </w:rPr>
        <w:footnoteRef/>
      </w:r>
      <w:r>
        <w:t xml:space="preserve">If information is aggregated, aggregation may be based on disclosure entity type, class, investment type, or a particular event deemed significant to the reporting entity. </w:t>
      </w:r>
    </w:p>
  </w:footnote>
  <w:footnote w:id="6">
    <w:p w14:paraId="044EAA3C" w14:textId="67BE8574" w:rsidR="00AB3FC6" w:rsidRDefault="00AB3FC6" w:rsidP="00E96346">
      <w:pPr>
        <w:pStyle w:val="FootnoteText"/>
      </w:pPr>
      <w:r>
        <w:rPr>
          <w:rStyle w:val="FootnoteReference"/>
        </w:rPr>
        <w:footnoteRef/>
      </w:r>
      <w:r>
        <w:t xml:space="preserve">Integration is accomplished by providing a single comprehensive note regarding the disclosure entity or entities and related balances, or by incorporating references to relevant notes </w:t>
      </w:r>
      <w:r w:rsidRPr="00153A39">
        <w:t>relat</w:t>
      </w:r>
      <w:r>
        <w:t>ed</w:t>
      </w:r>
      <w:r w:rsidRPr="00153A39">
        <w:t xml:space="preserve"> to the disclosure entity or entities </w:t>
      </w:r>
      <w:r>
        <w:t xml:space="preserve">elsewhere in the GPFFR. </w:t>
      </w:r>
    </w:p>
  </w:footnote>
  <w:footnote w:id="7">
    <w:p w14:paraId="58E561D0" w14:textId="22EC30DF" w:rsidR="00AB3FC6" w:rsidRDefault="00AB3FC6" w:rsidP="00E96346">
      <w:pPr>
        <w:pStyle w:val="FootnoteText"/>
      </w:pPr>
      <w:r>
        <w:rPr>
          <w:rStyle w:val="FootnoteReference"/>
        </w:rPr>
        <w:footnoteRef/>
      </w:r>
      <w:r>
        <w:t xml:space="preserve">See </w:t>
      </w:r>
      <w:r w:rsidRPr="002F66C1">
        <w:t>examples that may meet the objectives in S</w:t>
      </w:r>
      <w:r>
        <w:t>FFAS 47, para. 75</w:t>
      </w:r>
    </w:p>
  </w:footnote>
  <w:footnote w:id="8">
    <w:p w14:paraId="72E6543B" w14:textId="6EC90C02" w:rsidR="00AB3FC6" w:rsidRDefault="00AB3FC6" w:rsidP="00E96346">
      <w:pPr>
        <w:pStyle w:val="FootnoteText"/>
      </w:pPr>
      <w:r>
        <w:rPr>
          <w:rStyle w:val="FootnoteReference"/>
        </w:rPr>
        <w:footnoteRef/>
      </w:r>
      <w:r>
        <w:t>Significant influence is the power to participate in the policy decisions of an entity but not control those policies. (SFFAS 47, para. 82)</w:t>
      </w:r>
    </w:p>
  </w:footnote>
  <w:footnote w:id="9">
    <w:p w14:paraId="093A5C50" w14:textId="660BF055" w:rsidR="00AB3FC6" w:rsidRDefault="00AB3FC6" w:rsidP="00E96346">
      <w:pPr>
        <w:pStyle w:val="FootnoteText"/>
      </w:pPr>
      <w:r>
        <w:rPr>
          <w:rStyle w:val="FootnoteReference"/>
        </w:rPr>
        <w:footnoteRef/>
      </w:r>
      <w:r>
        <w:t xml:space="preserve">RSI refers to required supplementary information other than the MD&amp;A. </w:t>
      </w:r>
      <w:r w:rsidRPr="00490D41">
        <w:rPr>
          <w:i/>
          <w:iCs/>
        </w:rPr>
        <w:t xml:space="preserve"> </w:t>
      </w:r>
    </w:p>
  </w:footnote>
  <w:footnote w:id="10">
    <w:p w14:paraId="1EF42CBA" w14:textId="6CD8B655" w:rsidR="00AB3FC6" w:rsidRDefault="00AB3FC6" w:rsidP="00E96346">
      <w:pPr>
        <w:pStyle w:val="FootnoteText"/>
      </w:pPr>
      <w:r>
        <w:rPr>
          <w:rStyle w:val="FootnoteReference"/>
        </w:rPr>
        <w:footnoteRef/>
      </w:r>
      <w:r>
        <w:t xml:space="preserve">If the agency produces an AFR, please note that a Performance Section need not be included, but performance information must be included in the MD&amp;A, as discussed in A-136, section II.2.2.  </w:t>
      </w:r>
    </w:p>
  </w:footnote>
  <w:footnote w:id="11">
    <w:p w14:paraId="45DCA18E" w14:textId="2347DF04" w:rsidR="009E1F29" w:rsidRDefault="009E1F29">
      <w:pPr>
        <w:pStyle w:val="FootnoteText"/>
      </w:pPr>
      <w:r>
        <w:rPr>
          <w:rStyle w:val="FootnoteReference"/>
        </w:rPr>
        <w:footnoteRef/>
      </w:r>
      <w:r w:rsidR="00DF58B7" w:rsidRPr="00DF58B7">
        <w:t xml:space="preserve">An entity not early implementing SFFAS 64 for FY 2025 may nonetheless discuss and analyze information described in paragraphs 12-13 of SFFAS 64, to the extent the MD&amp;A also meets the requirements of SFFAS 15. Also, per A-136, the MD&amp;A should (1) be balanced (presenting positive and negative results), integrated, concise, and understandable (which is consistent with paragraphs </w:t>
      </w:r>
      <w:r w:rsidR="00F4344A">
        <w:t>8</w:t>
      </w:r>
      <w:r w:rsidR="00DF58B7" w:rsidRPr="00DF58B7">
        <w:t>-11 of SFFAS 64</w:t>
      </w:r>
      <w:r w:rsidR="00DF58B7">
        <w:t>)</w:t>
      </w:r>
      <w:r w:rsidR="00DF58B7" w:rsidRPr="00DF58B7">
        <w:t xml:space="preserve">, and (2) contain a section entitled “Analysis of Systems, Controls, and Legal Compliance” required by Circular A-123, </w:t>
      </w:r>
      <w:r w:rsidR="00DF58B7" w:rsidRPr="005425ED">
        <w:rPr>
          <w:i/>
          <w:iCs/>
        </w:rPr>
        <w:t>Management’s Responsibility for Enterprise Risk Management and Internal Control.</w:t>
      </w:r>
    </w:p>
  </w:footnote>
  <w:footnote w:id="12">
    <w:p w14:paraId="1C5B0FB3" w14:textId="1ECE362C" w:rsidR="00EC4501" w:rsidRDefault="00EC4501" w:rsidP="00EC4501">
      <w:pPr>
        <w:pStyle w:val="FootnoteText"/>
      </w:pPr>
      <w:r>
        <w:rPr>
          <w:rStyle w:val="FootnoteReference"/>
        </w:rPr>
        <w:footnoteRef/>
      </w:r>
      <w:r>
        <w:t xml:space="preserve">The specific topics mentioned in Concepts for Management’s Discussion and Analysis are examples of items that might be relevant for MD&amp;A of a given entity. </w:t>
      </w:r>
      <w:r w:rsidRPr="005B5418">
        <w:t>(SFFAS 15, para</w:t>
      </w:r>
      <w:r>
        <w:t xml:space="preserve">. </w:t>
      </w:r>
      <w:r w:rsidRPr="005B5418">
        <w:t>6)</w:t>
      </w:r>
    </w:p>
  </w:footnote>
  <w:footnote w:id="13">
    <w:p w14:paraId="1E5B9DA9" w14:textId="3878A36A" w:rsidR="0099490B" w:rsidRDefault="0099490B">
      <w:pPr>
        <w:pStyle w:val="FootnoteText"/>
      </w:pPr>
      <w:r>
        <w:rPr>
          <w:rStyle w:val="FootnoteReference"/>
        </w:rPr>
        <w:footnoteRef/>
      </w:r>
      <w:r w:rsidR="00D24507" w:rsidRPr="00D24507">
        <w:t>Entities may consider using appropriate captions within MD&amp;A that would improve readability</w:t>
      </w:r>
      <w:r>
        <w:t>.</w:t>
      </w:r>
    </w:p>
  </w:footnote>
  <w:footnote w:id="14">
    <w:p w14:paraId="02AC27E8" w14:textId="704D6949" w:rsidR="00DE2EEE" w:rsidRDefault="00DE2EEE">
      <w:pPr>
        <w:pStyle w:val="FootnoteText"/>
      </w:pPr>
      <w:r w:rsidRPr="005B5418">
        <w:rPr>
          <w:rStyle w:val="FootnoteReference"/>
        </w:rPr>
        <w:footnoteRef/>
      </w:r>
      <w:r w:rsidR="00395490">
        <w:t>I</w:t>
      </w:r>
      <w:r w:rsidRPr="005B5418">
        <w:t>nformation about the agency’s success in achieving key performance goals for the year is required under the Reports Consolidation Act of 2000</w:t>
      </w:r>
      <w:r w:rsidR="005E08A5">
        <w:t>, which is codified, as amended, in part at 31 U.S.C. § 3516</w:t>
      </w:r>
      <w:r w:rsidRPr="005B5418">
        <w:t>. (A-136, section II.2.2)</w:t>
      </w:r>
    </w:p>
  </w:footnote>
  <w:footnote w:id="15">
    <w:p w14:paraId="64F02F9B" w14:textId="03950B09" w:rsidR="00AB3FC6" w:rsidRDefault="00AB3FC6" w:rsidP="00E96346">
      <w:pPr>
        <w:pStyle w:val="FootnoteText"/>
      </w:pPr>
      <w:r>
        <w:rPr>
          <w:rStyle w:val="FootnoteReference"/>
        </w:rPr>
        <w:footnoteRef/>
      </w:r>
      <w:r>
        <w:t>See A-136, section II.2.4.</w:t>
      </w:r>
    </w:p>
  </w:footnote>
  <w:footnote w:id="16">
    <w:p w14:paraId="2E10F308" w14:textId="2A4CA1B5" w:rsidR="00AB3FC6" w:rsidRPr="007C4B13" w:rsidRDefault="00AB3FC6" w:rsidP="00E96346">
      <w:pPr>
        <w:pStyle w:val="FootnoteText"/>
      </w:pPr>
      <w:r w:rsidRPr="002776B9">
        <w:rPr>
          <w:rStyle w:val="FootnoteReference"/>
        </w:rPr>
        <w:footnoteRef/>
      </w:r>
      <w:r>
        <w:t>The c</w:t>
      </w:r>
      <w:r w:rsidRPr="001F4F19">
        <w:t>losed group population</w:t>
      </w:r>
      <w:r>
        <w:t xml:space="preserve"> comprises</w:t>
      </w:r>
      <w:r w:rsidRPr="001F4F19">
        <w:t xml:space="preserve"> persons who, as of a valuation date, are participants in a social insurance program as</w:t>
      </w:r>
      <w:r w:rsidRPr="007C4B13">
        <w:t xml:space="preserve"> beneficiaries, covered workers, or payers of </w:t>
      </w:r>
      <w:r>
        <w:t>dedicated</w:t>
      </w:r>
      <w:r w:rsidRPr="007C4B13">
        <w:t xml:space="preserve"> taxes or premiums.</w:t>
      </w:r>
      <w:r>
        <w:t xml:space="preserve"> </w:t>
      </w:r>
      <w:r w:rsidRPr="007C4B13">
        <w:t>(SFFAS 37,</w:t>
      </w:r>
      <w:r>
        <w:t xml:space="preserve"> </w:t>
      </w:r>
      <w:r w:rsidRPr="007C4B13">
        <w:t>par</w:t>
      </w:r>
      <w:r>
        <w:t>a</w:t>
      </w:r>
      <w:r w:rsidRPr="007C4B13">
        <w:t xml:space="preserve">.15)  </w:t>
      </w:r>
    </w:p>
    <w:p w14:paraId="5B484BE0" w14:textId="23CDB89A" w:rsidR="00AB3FC6" w:rsidRPr="00FF51F3" w:rsidRDefault="00AB3FC6" w:rsidP="00E96346">
      <w:pPr>
        <w:pStyle w:val="FootnoteText"/>
      </w:pPr>
      <w:r>
        <w:t>The c</w:t>
      </w:r>
      <w:r w:rsidRPr="007C4B13">
        <w:t>losed group measure is the net present value of all expenditures to or on behalf of the closed group population participating in a social insurance program and all contributions or other income from or on behalf of those participants over a given projecti</w:t>
      </w:r>
      <w:r w:rsidRPr="00FF51F3">
        <w:t>on period.</w:t>
      </w:r>
      <w:r>
        <w:t xml:space="preserve"> </w:t>
      </w:r>
      <w:r w:rsidRPr="00FF51F3">
        <w:t>(SFFAS 37, par</w:t>
      </w:r>
      <w:r>
        <w:t>a</w:t>
      </w:r>
      <w:r w:rsidRPr="00FF51F3">
        <w:t>.16)</w:t>
      </w:r>
    </w:p>
    <w:p w14:paraId="7F93C5A2" w14:textId="77777777" w:rsidR="00AB3FC6" w:rsidRPr="0095334B" w:rsidRDefault="00AB3FC6" w:rsidP="00E96346">
      <w:pPr>
        <w:pStyle w:val="FootnoteText"/>
      </w:pPr>
    </w:p>
  </w:footnote>
  <w:footnote w:id="17">
    <w:p w14:paraId="608E7A18" w14:textId="77777777" w:rsidR="008E14ED" w:rsidRDefault="008E14ED" w:rsidP="008E14ED">
      <w:pPr>
        <w:pStyle w:val="FootnoteText"/>
      </w:pPr>
      <w:r>
        <w:rPr>
          <w:rStyle w:val="FootnoteReference"/>
        </w:rPr>
        <w:footnoteRef/>
      </w:r>
      <w:r w:rsidRPr="005A0A19">
        <w:t>The MD&amp;A must contain management assurances related to</w:t>
      </w:r>
      <w:r>
        <w:t xml:space="preserve"> </w:t>
      </w:r>
      <w:r w:rsidRPr="00F30400">
        <w:t>31 U.S.C. § 3512(c) and (d)</w:t>
      </w:r>
      <w:r>
        <w:t>, commonly known as</w:t>
      </w:r>
      <w:r w:rsidRPr="005A0A19">
        <w:t xml:space="preserve"> the Federal Managers</w:t>
      </w:r>
      <w:r>
        <w:t>’</w:t>
      </w:r>
      <w:r w:rsidRPr="005A0A19">
        <w:t xml:space="preserve"> Financial Integrity Act of 1982 (FMFIA</w:t>
      </w:r>
      <w:r>
        <w:t>)</w:t>
      </w:r>
      <w:r w:rsidRPr="005A0A19">
        <w:t xml:space="preserve"> and</w:t>
      </w:r>
      <w:r>
        <w:t>, for applicable federal executive entities,</w:t>
      </w:r>
      <w:r w:rsidRPr="005A0A19">
        <w:t xml:space="preserve"> the Federal Financial Management Improvement Act of 1996 (FFMIA) (</w:t>
      </w:r>
      <w:r>
        <w:t>reprinted in</w:t>
      </w:r>
      <w:r w:rsidRPr="00D95D2E">
        <w:t xml:space="preserve"> </w:t>
      </w:r>
      <w:r w:rsidRPr="005A0A19">
        <w:t>31 U.S.C. §</w:t>
      </w:r>
      <w:r>
        <w:t xml:space="preserve"> </w:t>
      </w:r>
      <w:r w:rsidRPr="005A0A19">
        <w:t xml:space="preserve">3512 note) in either a single statement or two separate statements signed by the </w:t>
      </w:r>
      <w:r>
        <w:t>a</w:t>
      </w:r>
      <w:r w:rsidRPr="005A0A19">
        <w:t xml:space="preserve">gency </w:t>
      </w:r>
      <w:r>
        <w:t>h</w:t>
      </w:r>
      <w:r w:rsidRPr="005A0A19">
        <w:t>ead. (A-136, section II.2.4)</w:t>
      </w:r>
    </w:p>
  </w:footnote>
  <w:footnote w:id="18">
    <w:p w14:paraId="4024310A" w14:textId="7BD3A391" w:rsidR="00AB3FC6" w:rsidRDefault="00AB3FC6" w:rsidP="00E96346">
      <w:pPr>
        <w:pStyle w:val="FootnoteText"/>
      </w:pPr>
      <w:r>
        <w:rPr>
          <w:rStyle w:val="FootnoteReference"/>
        </w:rPr>
        <w:footnoteRef/>
      </w:r>
      <w:r>
        <w:t>The FMFIA</w:t>
      </w:r>
      <w:r w:rsidRPr="00E34C51">
        <w:t xml:space="preserve"> </w:t>
      </w:r>
      <w:r>
        <w:t xml:space="preserve">statement must be in a </w:t>
      </w:r>
      <w:r w:rsidRPr="00E34C51">
        <w:t>section</w:t>
      </w:r>
      <w:r>
        <w:t xml:space="preserve"> of the MD&amp;A l</w:t>
      </w:r>
      <w:r w:rsidRPr="00E34C51">
        <w:t xml:space="preserve">abeled </w:t>
      </w:r>
      <w:r>
        <w:t xml:space="preserve">as </w:t>
      </w:r>
      <w:r w:rsidRPr="00E34C51">
        <w:t>“Analysis of Systems, Control, and Legal Compliance.”</w:t>
      </w:r>
      <w:r>
        <w:t xml:space="preserve"> (See A-136, section II.2.4)</w:t>
      </w:r>
    </w:p>
  </w:footnote>
  <w:footnote w:id="19">
    <w:p w14:paraId="6E663843" w14:textId="45B4D404" w:rsidR="005C0C87" w:rsidRDefault="005C0C87" w:rsidP="005C0C87">
      <w:pPr>
        <w:pStyle w:val="FootnoteText"/>
      </w:pPr>
      <w:r>
        <w:rPr>
          <w:rStyle w:val="FootnoteReference"/>
        </w:rPr>
        <w:footnoteRef/>
      </w:r>
      <w:r>
        <w:t>This could be accomplished by (i) emphasizing the vital few matters that are necessary to support the information</w:t>
      </w:r>
      <w:r w:rsidR="000F4F1E">
        <w:t xml:space="preserve"> </w:t>
      </w:r>
      <w:r>
        <w:t>required in Information Discussed and Analyzed in MD&amp;A; (ii) summarizing and referring to relevant detailed information from other areas of the GPFFR; (iii) summarizing detailed information found in other relevant sources outside of the GPFFR and indicating how that information can be obtained; (iv) limiting duplicative content within the MD&amp;A; and (v) presenting only information that is relevant for the current reporting period. (SFFAS 64, para. 9)</w:t>
      </w:r>
    </w:p>
  </w:footnote>
  <w:footnote w:id="20">
    <w:p w14:paraId="039CD3A0" w14:textId="453674F8" w:rsidR="00CA0917" w:rsidRDefault="00CA0917" w:rsidP="00CA0917">
      <w:pPr>
        <w:pStyle w:val="FootnoteText"/>
      </w:pPr>
      <w:r>
        <w:rPr>
          <w:rStyle w:val="FootnoteReference"/>
        </w:rPr>
        <w:footnoteRef/>
      </w:r>
      <w:r>
        <w:t>Key “performance results” refers to both performance accomplishments and performance challenges. Management</w:t>
      </w:r>
      <w:r w:rsidR="000F4F1E">
        <w:t xml:space="preserve"> </w:t>
      </w:r>
      <w:r>
        <w:t xml:space="preserve">uses judgment in identifying what performance results are key to the reporting entity. </w:t>
      </w:r>
      <w:r w:rsidRPr="0070287D">
        <w:t xml:space="preserve">(SFFAS </w:t>
      </w:r>
      <w:r>
        <w:t>64</w:t>
      </w:r>
      <w:r w:rsidRPr="0070287D">
        <w:t xml:space="preserve">, </w:t>
      </w:r>
      <w:r w:rsidRPr="00D7086C">
        <w:t>par</w:t>
      </w:r>
      <w:r>
        <w:t>a</w:t>
      </w:r>
      <w:r w:rsidRPr="00D7086C">
        <w:t>. 1</w:t>
      </w:r>
      <w:r>
        <w:t>2, fn</w:t>
      </w:r>
      <w:r w:rsidR="002163A2">
        <w:t xml:space="preserve"> </w:t>
      </w:r>
      <w:r>
        <w:t>4</w:t>
      </w:r>
      <w:r w:rsidRPr="0070287D">
        <w:t>)</w:t>
      </w:r>
    </w:p>
  </w:footnote>
  <w:footnote w:id="21">
    <w:p w14:paraId="46DF16A0" w14:textId="23FC5AA1" w:rsidR="00DF0B3C" w:rsidRDefault="00DF0B3C">
      <w:pPr>
        <w:pStyle w:val="FootnoteText"/>
      </w:pPr>
      <w:r w:rsidRPr="005B5418">
        <w:rPr>
          <w:rStyle w:val="FootnoteReference"/>
        </w:rPr>
        <w:footnoteRef/>
      </w:r>
      <w:r w:rsidR="00395490">
        <w:t>I</w:t>
      </w:r>
      <w:r w:rsidRPr="005B5418">
        <w:t>nformation about the agency’s success in achieving key performance goals for the year is required under the Reports Consolidation Act of 2000</w:t>
      </w:r>
      <w:r w:rsidR="00F23ECA">
        <w:t>, which is codified, as amended, in part at 31 U.S.C. § 3516</w:t>
      </w:r>
      <w:r w:rsidRPr="005B5418">
        <w:t>. (A-136, section II.2.2)</w:t>
      </w:r>
      <w:r w:rsidR="000F4F1E">
        <w:t>.</w:t>
      </w:r>
    </w:p>
  </w:footnote>
  <w:footnote w:id="22">
    <w:p w14:paraId="434E434A" w14:textId="4F78FF9F" w:rsidR="002163A2" w:rsidRDefault="002163A2">
      <w:pPr>
        <w:pStyle w:val="FootnoteText"/>
      </w:pPr>
      <w:r>
        <w:rPr>
          <w:rStyle w:val="FootnoteReference"/>
        </w:rPr>
        <w:footnoteRef/>
      </w:r>
      <w:r w:rsidRPr="002163A2">
        <w:t>If actual costs are not available, the explanation should provide obligations incurred or associated outlays.</w:t>
      </w:r>
      <w:r>
        <w:t xml:space="preserve"> </w:t>
      </w:r>
      <w:r w:rsidRPr="0070287D">
        <w:t xml:space="preserve">(SFFAS </w:t>
      </w:r>
      <w:r>
        <w:t>64</w:t>
      </w:r>
      <w:r w:rsidRPr="0070287D">
        <w:t xml:space="preserve">, </w:t>
      </w:r>
      <w:r w:rsidRPr="00D7086C">
        <w:t>par</w:t>
      </w:r>
      <w:r>
        <w:t>a</w:t>
      </w:r>
      <w:r w:rsidRPr="00D7086C">
        <w:t>. 1</w:t>
      </w:r>
      <w:r>
        <w:t>2, fn 6</w:t>
      </w:r>
      <w:r w:rsidRPr="0070287D">
        <w:t>)</w:t>
      </w:r>
    </w:p>
  </w:footnote>
  <w:footnote w:id="23">
    <w:p w14:paraId="1838A283" w14:textId="3AB281C3" w:rsidR="002163A2" w:rsidRDefault="002163A2">
      <w:pPr>
        <w:pStyle w:val="FootnoteText"/>
      </w:pPr>
      <w:r>
        <w:rPr>
          <w:rStyle w:val="FootnoteReference"/>
        </w:rPr>
        <w:footnoteRef/>
      </w:r>
      <w:r w:rsidRPr="002163A2">
        <w:t>For the purposes of MD&amp;A, “significant opportunities” are anything that may have a significant positive effect on a reporting entity’s ability to achieve its performance results. Management should use judgment in determining significant opportunities.</w:t>
      </w:r>
      <w:r>
        <w:t xml:space="preserve"> </w:t>
      </w:r>
      <w:r w:rsidRPr="0070287D">
        <w:t xml:space="preserve">(SFFAS </w:t>
      </w:r>
      <w:r>
        <w:t>64</w:t>
      </w:r>
      <w:r w:rsidRPr="0070287D">
        <w:t xml:space="preserve">, </w:t>
      </w:r>
      <w:r w:rsidRPr="00D7086C">
        <w:t>par</w:t>
      </w:r>
      <w:r>
        <w:t>a</w:t>
      </w:r>
      <w:r w:rsidRPr="00D7086C">
        <w:t>. 1</w:t>
      </w:r>
      <w:r>
        <w:t>2, fn 7</w:t>
      </w:r>
      <w:r w:rsidRPr="0070287D">
        <w:t>)</w:t>
      </w:r>
    </w:p>
  </w:footnote>
  <w:footnote w:id="24">
    <w:p w14:paraId="66321FA8" w14:textId="55322DED" w:rsidR="002163A2" w:rsidRDefault="002163A2" w:rsidP="002163A2">
      <w:pPr>
        <w:pStyle w:val="FootnoteText"/>
      </w:pPr>
      <w:r>
        <w:rPr>
          <w:rStyle w:val="FootnoteReference"/>
        </w:rPr>
        <w:footnoteRef/>
      </w:r>
      <w:r>
        <w:t>For the purposes of MD&amp;A, “significant risks” are the effect of significant uncertainty on a reporting entity’s ability to</w:t>
      </w:r>
      <w:r w:rsidR="000F4F1E">
        <w:t xml:space="preserve"> </w:t>
      </w:r>
      <w:r>
        <w:t xml:space="preserve">achieve its performance results. Management should use judgment in determining significant risks. </w:t>
      </w:r>
      <w:r w:rsidRPr="0070287D">
        <w:t xml:space="preserve">(SFFAS </w:t>
      </w:r>
      <w:r>
        <w:t>64</w:t>
      </w:r>
      <w:r w:rsidRPr="0070287D">
        <w:t xml:space="preserve">, </w:t>
      </w:r>
      <w:r w:rsidRPr="00D7086C">
        <w:t>par</w:t>
      </w:r>
      <w:r>
        <w:t>a</w:t>
      </w:r>
      <w:r w:rsidRPr="00D7086C">
        <w:t>. 1</w:t>
      </w:r>
      <w:r>
        <w:t>2, fn 9</w:t>
      </w:r>
      <w:r w:rsidRPr="0070287D">
        <w:t>)</w:t>
      </w:r>
    </w:p>
  </w:footnote>
  <w:footnote w:id="25">
    <w:p w14:paraId="6BD70727" w14:textId="0118C327" w:rsidR="00C61775" w:rsidRDefault="00C61775">
      <w:pPr>
        <w:pStyle w:val="FootnoteText"/>
      </w:pPr>
      <w:r>
        <w:rPr>
          <w:rStyle w:val="FootnoteReference"/>
        </w:rPr>
        <w:footnoteRef/>
      </w:r>
      <w:r>
        <w:t>T</w:t>
      </w:r>
      <w:r w:rsidRPr="00C61775">
        <w:t>he agency</w:t>
      </w:r>
      <w:r w:rsidR="00C3397B">
        <w:t>’</w:t>
      </w:r>
      <w:r w:rsidRPr="00C61775">
        <w:t>s financial management systems includ</w:t>
      </w:r>
      <w:r>
        <w:t>e</w:t>
      </w:r>
      <w:r w:rsidRPr="00C61775">
        <w:t xml:space="preserve"> systems critical to financial reporting and financial control</w:t>
      </w:r>
      <w:r>
        <w:t>. (A-136, section II.2.4)</w:t>
      </w:r>
    </w:p>
  </w:footnote>
  <w:footnote w:id="26">
    <w:p w14:paraId="5BCEDC45" w14:textId="250430FF" w:rsidR="006E667B" w:rsidRDefault="006E667B">
      <w:pPr>
        <w:pStyle w:val="FootnoteText"/>
      </w:pPr>
      <w:r>
        <w:rPr>
          <w:rStyle w:val="FootnoteReference"/>
        </w:rPr>
        <w:footnoteRef/>
      </w:r>
      <w:r w:rsidRPr="005B5418">
        <w:t>See also A-136, section II.2.4.</w:t>
      </w:r>
    </w:p>
  </w:footnote>
  <w:footnote w:id="27">
    <w:p w14:paraId="214A84EA" w14:textId="77777777" w:rsidR="001153DE" w:rsidRDefault="001153DE" w:rsidP="001153DE">
      <w:pPr>
        <w:pStyle w:val="FootnoteText"/>
      </w:pPr>
      <w:r>
        <w:rPr>
          <w:rStyle w:val="FootnoteReference"/>
        </w:rPr>
        <w:footnoteRef/>
      </w:r>
      <w:r w:rsidRPr="005A0A19">
        <w:t>The MD&amp;A must contain management assurances related to</w:t>
      </w:r>
      <w:r>
        <w:t xml:space="preserve"> </w:t>
      </w:r>
      <w:r w:rsidRPr="00F30400">
        <w:t>31 U.S.C. § 3512(c) and (d)</w:t>
      </w:r>
      <w:r>
        <w:t>, commonly known as</w:t>
      </w:r>
      <w:r w:rsidRPr="005A0A19">
        <w:t xml:space="preserve"> the Federal Managers</w:t>
      </w:r>
      <w:r>
        <w:t>’</w:t>
      </w:r>
      <w:r w:rsidRPr="005A0A19">
        <w:t xml:space="preserve"> Financial Integrity Act of 1982 (FMFIA</w:t>
      </w:r>
      <w:r>
        <w:t>)</w:t>
      </w:r>
      <w:r w:rsidRPr="005A0A19">
        <w:t xml:space="preserve"> and</w:t>
      </w:r>
      <w:r>
        <w:t>, for applicable federal executive entities,</w:t>
      </w:r>
      <w:r w:rsidRPr="005A0A19">
        <w:t xml:space="preserve"> the Federal Financial Management Improvement Act of 1996 (FFMIA) (</w:t>
      </w:r>
      <w:r>
        <w:t>reprinted in</w:t>
      </w:r>
      <w:r w:rsidRPr="00D95D2E">
        <w:t xml:space="preserve"> </w:t>
      </w:r>
      <w:r w:rsidRPr="005A0A19">
        <w:t>31 U.S.C. §</w:t>
      </w:r>
      <w:r>
        <w:t xml:space="preserve"> </w:t>
      </w:r>
      <w:r w:rsidRPr="005A0A19">
        <w:t xml:space="preserve">3512 note) in either a single statement or two separate statements signed by the </w:t>
      </w:r>
      <w:r>
        <w:t>a</w:t>
      </w:r>
      <w:r w:rsidRPr="005A0A19">
        <w:t xml:space="preserve">gency </w:t>
      </w:r>
      <w:r>
        <w:t>h</w:t>
      </w:r>
      <w:r w:rsidRPr="005A0A19">
        <w:t>ead. (A-136, section II.2.4)</w:t>
      </w:r>
    </w:p>
  </w:footnote>
  <w:footnote w:id="28">
    <w:p w14:paraId="5A64B3CA" w14:textId="4F376883" w:rsidR="00820447" w:rsidRDefault="00820447">
      <w:pPr>
        <w:pStyle w:val="FootnoteText"/>
      </w:pPr>
      <w:r>
        <w:rPr>
          <w:rStyle w:val="FootnoteReference"/>
        </w:rPr>
        <w:footnoteRef/>
      </w:r>
      <w:r w:rsidRPr="00820447">
        <w:t>The FMFIA statement must be in a section of the MD&amp;A labeled as “Analysis of Systems, Control, and Legal Compliance.” (See A-136, section II.2.4)</w:t>
      </w:r>
    </w:p>
  </w:footnote>
  <w:footnote w:id="29">
    <w:p w14:paraId="06F30F3C" w14:textId="77777777" w:rsidR="00500DF2" w:rsidRPr="007C4B13" w:rsidRDefault="00500DF2" w:rsidP="00500DF2">
      <w:pPr>
        <w:pStyle w:val="FootnoteText"/>
      </w:pPr>
      <w:r w:rsidRPr="002776B9">
        <w:rPr>
          <w:rStyle w:val="FootnoteReference"/>
        </w:rPr>
        <w:footnoteRef/>
      </w:r>
      <w:r>
        <w:t>The c</w:t>
      </w:r>
      <w:r w:rsidRPr="001F4F19">
        <w:t>losed group population</w:t>
      </w:r>
      <w:r>
        <w:t xml:space="preserve"> comprises</w:t>
      </w:r>
      <w:r w:rsidRPr="001F4F19">
        <w:t xml:space="preserve"> persons who, as of a valuation date, are participants in a social insurance program as</w:t>
      </w:r>
      <w:r w:rsidRPr="007C4B13">
        <w:t xml:space="preserve"> beneficiaries, covered workers, or payers of </w:t>
      </w:r>
      <w:r>
        <w:t>dedicated</w:t>
      </w:r>
      <w:r w:rsidRPr="007C4B13">
        <w:t xml:space="preserve"> taxes or premiums.</w:t>
      </w:r>
      <w:r>
        <w:t xml:space="preserve"> </w:t>
      </w:r>
      <w:r w:rsidRPr="007C4B13">
        <w:t>(SFFAS 37,</w:t>
      </w:r>
      <w:r>
        <w:t xml:space="preserve"> </w:t>
      </w:r>
      <w:r w:rsidRPr="007C4B13">
        <w:t>par</w:t>
      </w:r>
      <w:r>
        <w:t>a</w:t>
      </w:r>
      <w:r w:rsidRPr="007C4B13">
        <w:t xml:space="preserve">.15)  </w:t>
      </w:r>
    </w:p>
    <w:p w14:paraId="359C3668" w14:textId="77777777" w:rsidR="00500DF2" w:rsidRPr="00FF51F3" w:rsidRDefault="00500DF2" w:rsidP="00500DF2">
      <w:pPr>
        <w:pStyle w:val="FootnoteText"/>
      </w:pPr>
      <w:r>
        <w:t>The c</w:t>
      </w:r>
      <w:r w:rsidRPr="007C4B13">
        <w:t>losed group measure is the net present value of all expenditures to or on behalf of the closed group population participating in a social insurance program and all contributions or other income from or on behalf of those participants over a given projecti</w:t>
      </w:r>
      <w:r w:rsidRPr="00FF51F3">
        <w:t>on period.</w:t>
      </w:r>
      <w:r>
        <w:t xml:space="preserve"> </w:t>
      </w:r>
      <w:r w:rsidRPr="00FF51F3">
        <w:t>(SFFAS 37, par</w:t>
      </w:r>
      <w:r>
        <w:t>a</w:t>
      </w:r>
      <w:r w:rsidRPr="00FF51F3">
        <w:t>.16)</w:t>
      </w:r>
    </w:p>
    <w:p w14:paraId="44E003CE" w14:textId="77777777" w:rsidR="00500DF2" w:rsidRPr="0095334B" w:rsidRDefault="00500DF2" w:rsidP="00500DF2">
      <w:pPr>
        <w:pStyle w:val="FootnoteText"/>
      </w:pPr>
    </w:p>
  </w:footnote>
  <w:footnote w:id="30">
    <w:p w14:paraId="517D36C0" w14:textId="76CAEF5B" w:rsidR="004D0BE0" w:rsidRDefault="004D0BE0" w:rsidP="004D0BE0">
      <w:pPr>
        <w:pStyle w:val="FootnoteText"/>
      </w:pPr>
      <w:r>
        <w:rPr>
          <w:rStyle w:val="FootnoteReference"/>
        </w:rPr>
        <w:footnoteRef/>
      </w:r>
      <w:r w:rsidR="00FD6120">
        <w:t>This checklist</w:t>
      </w:r>
      <w:r>
        <w:t xml:space="preserve"> contains questions related to comparative financial statements. Entities required to use a single-year presentation should mark such questions as N/A, unless otherwise required by FASAB guidance. </w:t>
      </w:r>
    </w:p>
  </w:footnote>
  <w:footnote w:id="31">
    <w:p w14:paraId="31BD990C" w14:textId="1288FAF4" w:rsidR="00AB3FC6" w:rsidRDefault="00AB3FC6" w:rsidP="00E96346">
      <w:pPr>
        <w:pStyle w:val="FootnoteText"/>
      </w:pPr>
      <w:r>
        <w:rPr>
          <w:rStyle w:val="FootnoteReference"/>
        </w:rPr>
        <w:footnoteRef/>
      </w:r>
      <w:r>
        <w:t>Also see A-136, section II.3.1.</w:t>
      </w:r>
    </w:p>
  </w:footnote>
  <w:footnote w:id="32">
    <w:p w14:paraId="5783472C" w14:textId="7ACBE2E1" w:rsidR="00687117" w:rsidRDefault="00687117">
      <w:pPr>
        <w:pStyle w:val="FootnoteText"/>
      </w:pPr>
      <w:r>
        <w:rPr>
          <w:rStyle w:val="FootnoteReference"/>
        </w:rPr>
        <w:footnoteRef/>
      </w:r>
      <w:r w:rsidR="00492237">
        <w:t>FASAB renamed t</w:t>
      </w:r>
      <w:r>
        <w:t>he Accounting and Auditing Policy Committee (AAPC) to the Accounting Standards Implementation Committee (ASIC) in 2025.</w:t>
      </w:r>
    </w:p>
  </w:footnote>
  <w:footnote w:id="33">
    <w:p w14:paraId="55C91026" w14:textId="05B67B0E" w:rsidR="00AB3FC6" w:rsidRPr="00D17DBA" w:rsidRDefault="00AB3FC6" w:rsidP="00E96346">
      <w:pPr>
        <w:pStyle w:val="FootnoteText"/>
      </w:pPr>
      <w:r w:rsidRPr="00D17DBA">
        <w:rPr>
          <w:rStyle w:val="FootnoteReference"/>
        </w:rPr>
        <w:footnoteRef/>
      </w:r>
      <w:r w:rsidRPr="00D17DBA">
        <w:t>A federal reporting entity should not follow the accounting treatment specified in accounting principles for similar transactions or events in cases in which those accounting principles either (</w:t>
      </w:r>
      <w:r>
        <w:t>1</w:t>
      </w:r>
      <w:r w:rsidRPr="00D17DBA">
        <w:t>) specifically prohibit the application of the accounting treatment to the particular transaction or event or (</w:t>
      </w:r>
      <w:r>
        <w:t>2</w:t>
      </w:r>
      <w:r w:rsidRPr="00D17DBA">
        <w:t>) indicate that the accounting treatment should not be applied to other transactions or events by analogy. (SFFAS 34, par</w:t>
      </w:r>
      <w:r>
        <w:t>a</w:t>
      </w:r>
      <w:r w:rsidRPr="00D17DBA">
        <w:t xml:space="preserve">. 7) </w:t>
      </w:r>
    </w:p>
  </w:footnote>
  <w:footnote w:id="34">
    <w:p w14:paraId="40C1AC80" w14:textId="4D770B78" w:rsidR="00AB3FC6" w:rsidRPr="00D17DBA" w:rsidRDefault="00AB3FC6" w:rsidP="00E96346">
      <w:pPr>
        <w:pStyle w:val="FootnoteText"/>
      </w:pPr>
      <w:r w:rsidRPr="00D17DBA">
        <w:rPr>
          <w:rStyle w:val="FootnoteReference"/>
        </w:rPr>
        <w:footnoteRef/>
      </w:r>
      <w:r w:rsidRPr="00D17DBA">
        <w:t>Other accounting literature includes</w:t>
      </w:r>
      <w:r>
        <w:t>,</w:t>
      </w:r>
      <w:r w:rsidRPr="00D17DBA">
        <w:t xml:space="preserve"> for example, FASAB Concepts Statements; the pronouncements referred to in </w:t>
      </w:r>
      <w:r>
        <w:t xml:space="preserve">question </w:t>
      </w:r>
      <w:r w:rsidRPr="00D17DBA">
        <w:t xml:space="preserve">1b when </w:t>
      </w:r>
      <w:r>
        <w:t xml:space="preserve">FASAB has </w:t>
      </w:r>
      <w:r w:rsidRPr="00D17DBA">
        <w:t>not</w:t>
      </w:r>
      <w:r>
        <w:t xml:space="preserve"> made them</w:t>
      </w:r>
      <w:r w:rsidRPr="00D17DBA">
        <w:t xml:space="preserve"> specifically applicable to federal reporting entities; pronouncements of other accounting and financial reporting standards-setting bodies, such as </w:t>
      </w:r>
      <w:r>
        <w:t>FASB</w:t>
      </w:r>
      <w:r w:rsidRPr="00D17DBA">
        <w:t xml:space="preserve">, Governmental Accounting Standards Board, International Accounting Standards Board, and International Public Sector Accounting Standards Board; </w:t>
      </w:r>
      <w:r>
        <w:t xml:space="preserve">standards of </w:t>
      </w:r>
      <w:r w:rsidRPr="00D17DBA">
        <w:t>professional associations or regulatory agencies; and accounting textbooks, handbooks, and articles. (SFFAS 34, par</w:t>
      </w:r>
      <w:r>
        <w:t>a</w:t>
      </w:r>
      <w:r w:rsidRPr="00D17DBA">
        <w:t>. 8)</w:t>
      </w:r>
    </w:p>
  </w:footnote>
  <w:footnote w:id="35">
    <w:p w14:paraId="6C76C304" w14:textId="0711C087" w:rsidR="00AB3FC6" w:rsidRDefault="00AB3FC6" w:rsidP="00E96346">
      <w:pPr>
        <w:pStyle w:val="FootnoteText"/>
      </w:pPr>
      <w:r>
        <w:rPr>
          <w:rStyle w:val="FootnoteReference"/>
        </w:rPr>
        <w:footnoteRef/>
      </w:r>
      <w:r>
        <w:t xml:space="preserve">For purposes of this checklist, “specific line title” represents any line item except for Other Assets and Other Liabilities. </w:t>
      </w:r>
    </w:p>
  </w:footnote>
  <w:footnote w:id="36">
    <w:p w14:paraId="23246F89" w14:textId="03FE7592" w:rsidR="00AB3FC6" w:rsidRDefault="00AB3FC6" w:rsidP="00E96346">
      <w:pPr>
        <w:pStyle w:val="FootnoteText"/>
      </w:pPr>
      <w:r>
        <w:rPr>
          <w:rStyle w:val="FootnoteReference"/>
        </w:rPr>
        <w:footnoteRef/>
      </w:r>
      <w:r w:rsidRPr="0070287D">
        <w:t xml:space="preserve">The Federal Reserve </w:t>
      </w:r>
      <w:r>
        <w:t xml:space="preserve">System </w:t>
      </w:r>
      <w:r w:rsidRPr="0070287D">
        <w:t xml:space="preserve">and government-sponsored enterprises </w:t>
      </w:r>
      <w:r>
        <w:t xml:space="preserve">(GSE) </w:t>
      </w:r>
      <w:r w:rsidRPr="0070287D">
        <w:t xml:space="preserve">are </w:t>
      </w:r>
      <w:r>
        <w:t xml:space="preserve">not </w:t>
      </w:r>
      <w:r w:rsidRPr="0070287D">
        <w:t xml:space="preserve">considered </w:t>
      </w:r>
      <w:r>
        <w:t xml:space="preserve">consolidation </w:t>
      </w:r>
      <w:r w:rsidRPr="0070287D">
        <w:t>entities for this purpose</w:t>
      </w:r>
      <w:r>
        <w:t xml:space="preserve"> and accordingly </w:t>
      </w:r>
      <w:r w:rsidRPr="009E349B">
        <w:t>assets</w:t>
      </w:r>
      <w:r>
        <w:t xml:space="preserve"> related to these entities are other than intragovernmental assets. GSEs are federally chartered but privately owned and operated.</w:t>
      </w:r>
    </w:p>
  </w:footnote>
  <w:footnote w:id="37">
    <w:p w14:paraId="47D790A5" w14:textId="54BAE532" w:rsidR="00AB3FC6" w:rsidRDefault="00AB3FC6" w:rsidP="00E96346">
      <w:pPr>
        <w:pStyle w:val="FootnoteText"/>
      </w:pPr>
      <w:r w:rsidRPr="00997551">
        <w:rPr>
          <w:rStyle w:val="FootnoteReference"/>
        </w:rPr>
        <w:footnoteRef/>
      </w:r>
      <w:r w:rsidRPr="00997551">
        <w:t>No interest will be recognized as revenue on accounts receivable and investments deemed uncollectible until the interest is collected.</w:t>
      </w:r>
      <w:r w:rsidR="00191402">
        <w:t xml:space="preserve"> (A-136, section II.3.2.3)</w:t>
      </w:r>
    </w:p>
  </w:footnote>
  <w:footnote w:id="38">
    <w:p w14:paraId="33D4D46C" w14:textId="20380C95" w:rsidR="00AB3FC6" w:rsidRDefault="00AB3FC6" w:rsidP="00E96346">
      <w:pPr>
        <w:pStyle w:val="FootnoteText"/>
      </w:pPr>
      <w:r>
        <w:rPr>
          <w:rStyle w:val="FootnoteReference"/>
        </w:rPr>
        <w:footnoteRef/>
      </w:r>
      <w:r>
        <w:t>No asset dollar amount is to be shown, except for multi-use heritage assets, which are capitalized and reported as part of PP&amp;E.</w:t>
      </w:r>
    </w:p>
  </w:footnote>
  <w:footnote w:id="39">
    <w:p w14:paraId="06E5FBD8" w14:textId="5CE0A555" w:rsidR="00AB3FC6" w:rsidRDefault="00AB3FC6" w:rsidP="00E96346">
      <w:pPr>
        <w:pStyle w:val="FootnoteText"/>
      </w:pPr>
      <w:r>
        <w:rPr>
          <w:rStyle w:val="FootnoteReference"/>
        </w:rPr>
        <w:footnoteRef/>
      </w:r>
      <w:r>
        <w:t>Liabilities covered by budgetary resources are incurred</w:t>
      </w:r>
      <w:r w:rsidRPr="00C772B5">
        <w:t xml:space="preserve"> liabilities</w:t>
      </w:r>
      <w:r>
        <w:t xml:space="preserve"> that will be covered by available budgetary resources encompassing not only new budget authority but also other resources available to cover liabilities for specified purposes in a given year (SFFAS 5, fn 1 in summary). Budgetary resources include (1) new budget authority; (2) unobligated balances of budgetary resources at the beginning of the year or net transfers of prior year balances during the year; (3) spending authority from offsetting collections (credited to an appropriation or fund account); (4) recoveries of unexpired budget authority through downward adjustments of prior year obligations; and (5) permanent indefinite appropriations or borrowing authority, which have been enacted and signed into law as of the Balance Sheet date, provided that the resources may be apportioned by OMB without further action by the Congress and without a contingency having to be met. (A-136, section II.3.2.4) </w:t>
      </w:r>
    </w:p>
  </w:footnote>
  <w:footnote w:id="40">
    <w:p w14:paraId="3FFB4152" w14:textId="2451E14F" w:rsidR="00AB3FC6" w:rsidRDefault="00AB3FC6" w:rsidP="00E96346">
      <w:pPr>
        <w:pStyle w:val="FootnoteText"/>
      </w:pPr>
      <w:r>
        <w:rPr>
          <w:rStyle w:val="FootnoteReference"/>
        </w:rPr>
        <w:footnoteRef/>
      </w:r>
      <w:r>
        <w:t xml:space="preserve">Liabilities not covered by budgetary resources are liabilities that will require budgetary </w:t>
      </w:r>
      <w:r w:rsidRPr="008306F0">
        <w:t>resources</w:t>
      </w:r>
      <w:r w:rsidR="00130184" w:rsidRPr="008306F0">
        <w:t xml:space="preserve"> in the future</w:t>
      </w:r>
      <w:r w:rsidRPr="008306F0">
        <w:t>.</w:t>
      </w:r>
      <w:r>
        <w:t xml:space="preserve"> (A-136, section II.3.2.4) </w:t>
      </w:r>
    </w:p>
  </w:footnote>
  <w:footnote w:id="41">
    <w:p w14:paraId="2505B4F1" w14:textId="405CF6E6" w:rsidR="00AB3FC6" w:rsidRDefault="00AB3FC6" w:rsidP="00E96346">
      <w:pPr>
        <w:pStyle w:val="FootnoteText"/>
      </w:pPr>
      <w:r>
        <w:rPr>
          <w:rStyle w:val="FootnoteReference"/>
        </w:rPr>
        <w:footnoteRef/>
      </w:r>
      <w:r>
        <w:t>Liabilities not requiring budgetary resources are liabilities that have not in the past required and will not in the future require the use of budgetary resources, for example, liabilities for clearing accounts, non-fiduciary deposit funds, custodial collections, and unearned revenue.</w:t>
      </w:r>
    </w:p>
  </w:footnote>
  <w:footnote w:id="42">
    <w:p w14:paraId="66FB4655" w14:textId="43B4CA1F" w:rsidR="00AB3FC6" w:rsidRPr="00D17DBA" w:rsidRDefault="00AB3FC6" w:rsidP="00E96346">
      <w:pPr>
        <w:pStyle w:val="FootnoteText"/>
      </w:pPr>
      <w:r w:rsidRPr="00D17DBA">
        <w:rPr>
          <w:rStyle w:val="FootnoteReference"/>
        </w:rPr>
        <w:footnoteRef/>
      </w:r>
      <w:r>
        <w:t>“P</w:t>
      </w:r>
      <w:r w:rsidRPr="00D17DBA">
        <w:t>robabl</w:t>
      </w:r>
      <w:r>
        <w:t>e”</w:t>
      </w:r>
      <w:r w:rsidRPr="00D17DBA">
        <w:t xml:space="preserve"> refers to that which can be reasonably expected or is believed to be more likely than not on the basis of available evidence or logic. However, in the context of assessing the outcome of matters of pending or threatened litigation and unasserted claims and recognizing an associated liability, “probable” refers to that which is likely, not to that which is “more likely than not.” (SFFAS 5, par</w:t>
      </w:r>
      <w:r>
        <w:t>a</w:t>
      </w:r>
      <w:r w:rsidRPr="00D17DBA">
        <w:t xml:space="preserve">. 33 and fn 15a) </w:t>
      </w:r>
    </w:p>
  </w:footnote>
  <w:footnote w:id="43">
    <w:p w14:paraId="50C62157" w14:textId="5687118E" w:rsidR="00AB3FC6" w:rsidRPr="00D17DBA" w:rsidRDefault="00AB3FC6" w:rsidP="00E96346">
      <w:pPr>
        <w:pStyle w:val="FootnoteText"/>
        <w:rPr>
          <w:rStyle w:val="FootnoteReference"/>
          <w:rFonts w:asciiTheme="minorHAnsi" w:eastAsiaTheme="minorHAnsi" w:hAnsiTheme="minorHAnsi" w:cstheme="minorBidi"/>
          <w:sz w:val="16"/>
          <w:szCs w:val="22"/>
        </w:rPr>
      </w:pPr>
      <w:r w:rsidRPr="00D17DBA">
        <w:rPr>
          <w:rStyle w:val="FootnoteReference"/>
        </w:rPr>
        <w:footnoteRef/>
      </w:r>
      <w:r w:rsidRPr="00D17DBA">
        <w:t>Measurable refers to that which can be quantified in monetary units with sufficient reliability to be reasonably estimable. (SFFAC 5, par</w:t>
      </w:r>
      <w:r>
        <w:t>a</w:t>
      </w:r>
      <w:r w:rsidRPr="00D17DBA">
        <w:t>. 5)</w:t>
      </w:r>
    </w:p>
  </w:footnote>
  <w:footnote w:id="44">
    <w:p w14:paraId="16F2B1A3" w14:textId="593CF282" w:rsidR="008D5A08" w:rsidRDefault="008D5A08" w:rsidP="008D5A08">
      <w:pPr>
        <w:pStyle w:val="FootnoteText"/>
      </w:pPr>
      <w:r>
        <w:rPr>
          <w:rStyle w:val="FootnoteReference"/>
        </w:rPr>
        <w:footnoteRef/>
      </w:r>
      <w:r>
        <w:t>For government-acknowledged events, the federal entity should recognize the liability and expense when both of the following two criteria have been met: (1) the Congress has appropriated or authorized (i.e., through authorization legislation) resources and (2) an exchange occurs (e.g., when a contractor performs repairs) or nonexchange amounts are unpaid as of the reporting date (e.g., direct payments to disaster victims), whichever applies</w:t>
      </w:r>
      <w:r w:rsidRPr="005748AD">
        <w:t>. (SFFAS 5, para. 31)</w:t>
      </w:r>
      <w:r w:rsidR="007E7DAA">
        <w:t xml:space="preserve">. </w:t>
      </w:r>
      <w:r w:rsidR="007E7DAA" w:rsidRPr="005B5418">
        <w:t>Also see TR 2.</w:t>
      </w:r>
    </w:p>
  </w:footnote>
  <w:footnote w:id="45">
    <w:p w14:paraId="62D44730" w14:textId="7AFF6870" w:rsidR="00AB3FC6" w:rsidRDefault="00AB3FC6" w:rsidP="00E96346">
      <w:pPr>
        <w:pStyle w:val="FootnoteText"/>
      </w:pPr>
      <w:r>
        <w:rPr>
          <w:rStyle w:val="FootnoteReference"/>
        </w:rPr>
        <w:footnoteRef/>
      </w:r>
      <w:r w:rsidRPr="0070287D">
        <w:t xml:space="preserve">The Federal Reserve </w:t>
      </w:r>
      <w:r>
        <w:t xml:space="preserve">System </w:t>
      </w:r>
      <w:r w:rsidRPr="0070287D">
        <w:t xml:space="preserve">and government-sponsored enterprises </w:t>
      </w:r>
      <w:r>
        <w:t xml:space="preserve">(GSE) </w:t>
      </w:r>
      <w:r w:rsidRPr="0070287D">
        <w:t xml:space="preserve">are </w:t>
      </w:r>
      <w:r>
        <w:t xml:space="preserve">not </w:t>
      </w:r>
      <w:r w:rsidRPr="0070287D">
        <w:t xml:space="preserve">considered </w:t>
      </w:r>
      <w:r>
        <w:t xml:space="preserve">consolidation </w:t>
      </w:r>
      <w:r w:rsidRPr="0070287D">
        <w:t>entities for this purpose</w:t>
      </w:r>
      <w:r>
        <w:t xml:space="preserve"> and accordingly liabilities related to these entities are other than intragovernmental liabilities. GSEs are federally chartered but privately owned and operated.</w:t>
      </w:r>
    </w:p>
    <w:p w14:paraId="5BF9E71D" w14:textId="5D6A6851" w:rsidR="00AB3FC6" w:rsidRDefault="00AB3FC6" w:rsidP="00E96346">
      <w:pPr>
        <w:pStyle w:val="FootnoteText"/>
      </w:pPr>
      <w:r>
        <w:t xml:space="preserve"> </w:t>
      </w:r>
    </w:p>
  </w:footnote>
  <w:footnote w:id="46">
    <w:p w14:paraId="2873B1E5" w14:textId="5AE8E63F" w:rsidR="00AB3FC6" w:rsidRDefault="00AB3FC6" w:rsidP="00E96346">
      <w:pPr>
        <w:pStyle w:val="FootnoteText"/>
      </w:pPr>
      <w:r>
        <w:rPr>
          <w:rStyle w:val="FootnoteReference"/>
        </w:rPr>
        <w:footnoteRef/>
      </w:r>
      <w:r>
        <w:t>Significant entities are required to present Funds from Dedicated Collections on a consolidated basis. (A-136, section II.3.4.1) Non-significant entities have the option of either presenting Funds from Dedicated Collections on a consolidated basis or a combined basis. The presentation must be labeled accordingly. (SFFAS 27, para 19a)</w:t>
      </w:r>
    </w:p>
  </w:footnote>
  <w:footnote w:id="47">
    <w:p w14:paraId="0D42C0A7" w14:textId="128B390E" w:rsidR="00AB3FC6" w:rsidRDefault="00AB3FC6" w:rsidP="00E96346">
      <w:pPr>
        <w:pStyle w:val="FootnoteText"/>
      </w:pPr>
      <w:r>
        <w:rPr>
          <w:rStyle w:val="FootnoteReference"/>
        </w:rPr>
        <w:footnoteRef/>
      </w:r>
      <w:r>
        <w:t>Also see section II.3.8.1, Summary of Significant Accounting Policies, concerning imputed inter-entity costs.</w:t>
      </w:r>
    </w:p>
  </w:footnote>
  <w:footnote w:id="48">
    <w:p w14:paraId="54E58FDF" w14:textId="71309A1C" w:rsidR="00AB3FC6" w:rsidRDefault="00AB3FC6" w:rsidP="00E96346">
      <w:pPr>
        <w:pStyle w:val="FootnoteText"/>
      </w:pPr>
      <w:r>
        <w:rPr>
          <w:rStyle w:val="FootnoteReference"/>
        </w:rPr>
        <w:footnoteRef/>
      </w:r>
      <w:r>
        <w:t>Non-production costs are costs that are linked to events other than the production of goods and services, for example, reorganization costs. (SFFAS 4, para. 104)</w:t>
      </w:r>
    </w:p>
  </w:footnote>
  <w:footnote w:id="49">
    <w:p w14:paraId="713A14A0" w14:textId="73D7873D" w:rsidR="00AB3FC6" w:rsidRDefault="00AB3FC6" w:rsidP="00E96346">
      <w:pPr>
        <w:pStyle w:val="FootnoteText"/>
      </w:pPr>
      <w:r>
        <w:rPr>
          <w:rStyle w:val="FootnoteReference"/>
        </w:rPr>
        <w:footnoteRef/>
      </w:r>
      <w:r>
        <w:t xml:space="preserve">In the case of OPEB, the reporting entity is generally the administrator entity as well. </w:t>
      </w:r>
    </w:p>
  </w:footnote>
  <w:footnote w:id="50">
    <w:p w14:paraId="05CD499D" w14:textId="2B9A80CA" w:rsidR="00AB3FC6" w:rsidRDefault="00AB3FC6" w:rsidP="00E96346">
      <w:pPr>
        <w:pStyle w:val="FootnoteText"/>
      </w:pPr>
      <w:r>
        <w:rPr>
          <w:rStyle w:val="FootnoteReference"/>
        </w:rPr>
        <w:footnoteRef/>
      </w:r>
      <w:r>
        <w:t xml:space="preserve">“Net cost” and “net cost of operations” are used interchangeably. </w:t>
      </w:r>
    </w:p>
  </w:footnote>
  <w:footnote w:id="51">
    <w:p w14:paraId="6B07611F" w14:textId="10A3D8A9" w:rsidR="00AB3FC6" w:rsidRPr="00680642" w:rsidRDefault="00AB3FC6" w:rsidP="00E96346">
      <w:pPr>
        <w:pStyle w:val="FootnoteText"/>
      </w:pPr>
      <w:r w:rsidRPr="00680642">
        <w:rPr>
          <w:rStyle w:val="FootnoteReference"/>
        </w:rPr>
        <w:footnoteRef/>
      </w:r>
      <w:r w:rsidRPr="00680642">
        <w:t>These include health</w:t>
      </w:r>
      <w:r>
        <w:t xml:space="preserve"> insurance</w:t>
      </w:r>
      <w:r w:rsidRPr="00680642">
        <w:t>, life insurance, pension, and other retirement benefits, but not other postemployment benefits. (SFFAS 4, par</w:t>
      </w:r>
      <w:r>
        <w:t>as</w:t>
      </w:r>
      <w:r w:rsidRPr="00680642">
        <w:t>. 93</w:t>
      </w:r>
      <w:r>
        <w:t>–</w:t>
      </w:r>
      <w:r w:rsidRPr="00680642">
        <w:t xml:space="preserve">97)  </w:t>
      </w:r>
    </w:p>
  </w:footnote>
  <w:footnote w:id="52">
    <w:p w14:paraId="1525E2EB" w14:textId="52F04BF8" w:rsidR="00AB3FC6" w:rsidRPr="00D17DBA" w:rsidRDefault="00AB3FC6" w:rsidP="00E96346">
      <w:pPr>
        <w:pStyle w:val="FootnoteText"/>
      </w:pPr>
      <w:r w:rsidRPr="00680642">
        <w:rPr>
          <w:rStyle w:val="FootnoteReference"/>
        </w:rPr>
        <w:footnoteRef/>
      </w:r>
      <w:r w:rsidRPr="00610361">
        <w:t>Acquisition costs of heritage assets are part of the costs of the entity or the program that makes the property acquisitions. (SFFAS 4, par</w:t>
      </w:r>
      <w:r>
        <w:t>a</w:t>
      </w:r>
      <w:r w:rsidRPr="00610361">
        <w:t>. 103, fn 31)</w:t>
      </w:r>
      <w:r w:rsidRPr="00D17DBA">
        <w:t xml:space="preserve"> </w:t>
      </w:r>
    </w:p>
  </w:footnote>
  <w:footnote w:id="53">
    <w:p w14:paraId="697F0033" w14:textId="4FD5BE6B" w:rsidR="00AB3FC6" w:rsidRDefault="00AB3FC6" w:rsidP="00E96346">
      <w:pPr>
        <w:pStyle w:val="FootnoteText"/>
      </w:pPr>
      <w:r>
        <w:rPr>
          <w:rStyle w:val="FootnoteReference"/>
        </w:rPr>
        <w:footnoteRef/>
      </w:r>
      <w:r>
        <w:t>Despite</w:t>
      </w:r>
      <w:r w:rsidRPr="0062211B">
        <w:t xml:space="preserve"> the absence of a requirement </w:t>
      </w:r>
      <w:r>
        <w:t xml:space="preserve">concerning </w:t>
      </w:r>
      <w:r w:rsidRPr="0062211B">
        <w:t>non</w:t>
      </w:r>
      <w:r>
        <w:t>-</w:t>
      </w:r>
      <w:r w:rsidRPr="0062211B">
        <w:t>business-type activities</w:t>
      </w:r>
      <w:r>
        <w:t>, reporting entities</w:t>
      </w:r>
      <w:r w:rsidRPr="0062211B">
        <w:t xml:space="preserve"> may elect to recognize imputed cost and corresponding imputed financing for other types of inter-entity costs.</w:t>
      </w:r>
      <w:r>
        <w:t xml:space="preserve"> </w:t>
      </w:r>
    </w:p>
  </w:footnote>
  <w:footnote w:id="54">
    <w:p w14:paraId="0E3CDEEF" w14:textId="027767C1" w:rsidR="00AB3FC6" w:rsidRDefault="00AB3FC6" w:rsidP="00E96346">
      <w:pPr>
        <w:pStyle w:val="FootnoteText"/>
      </w:pPr>
      <w:r>
        <w:rPr>
          <w:rStyle w:val="FootnoteReference"/>
        </w:rPr>
        <w:footnoteRef/>
      </w:r>
      <w:r>
        <w:t xml:space="preserve">Significant entities are required to present </w:t>
      </w:r>
      <w:r w:rsidRPr="00C10DE8">
        <w:t>Funds from Dedicated Collections</w:t>
      </w:r>
      <w:r w:rsidRPr="00455052">
        <w:t xml:space="preserve"> </w:t>
      </w:r>
      <w:r>
        <w:t>on a consolidated basis. (A-136, section II.3.4.1) Non-significant entities have the option of either presenting Funds from Dedicated Collections on a consolidated basis or a combined basis. The presentation must be labeled accordingly. (SFFAS 27, para 19a)</w:t>
      </w:r>
    </w:p>
  </w:footnote>
  <w:footnote w:id="55">
    <w:p w14:paraId="4E346AD1" w14:textId="77777777" w:rsidR="00AB3FC6" w:rsidRPr="00D17DBA" w:rsidRDefault="00AB3FC6" w:rsidP="00E96346">
      <w:pPr>
        <w:pStyle w:val="FootnoteText"/>
      </w:pPr>
      <w:r w:rsidRPr="00D17DBA">
        <w:rPr>
          <w:rStyle w:val="FootnoteReference"/>
        </w:rPr>
        <w:footnoteRef/>
      </w:r>
      <w:r w:rsidRPr="00D17DBA">
        <w:t>Some examples of “other adjustments” include reductions of appropriations and cancellations of expired appropriation expenditure accounts. (A-136, section II.</w:t>
      </w:r>
      <w:r>
        <w:t>3</w:t>
      </w:r>
      <w:r w:rsidRPr="00D17DBA">
        <w:t>.</w:t>
      </w:r>
      <w:r>
        <w:t>4</w:t>
      </w:r>
      <w:r w:rsidRPr="00D17DBA">
        <w:t>.</w:t>
      </w:r>
      <w:r>
        <w:t>4</w:t>
      </w:r>
      <w:r w:rsidRPr="00D17DBA">
        <w:t xml:space="preserve">) </w:t>
      </w:r>
    </w:p>
  </w:footnote>
  <w:footnote w:id="56">
    <w:p w14:paraId="16FCEB09" w14:textId="0F49399B" w:rsidR="00AB3FC6" w:rsidRPr="00D17DBA" w:rsidRDefault="00AB3FC6" w:rsidP="00E96346">
      <w:pPr>
        <w:pStyle w:val="FootnoteText"/>
      </w:pPr>
      <w:r w:rsidRPr="00D17DBA">
        <w:rPr>
          <w:rStyle w:val="FootnoteReference"/>
        </w:rPr>
        <w:footnoteRef/>
      </w:r>
      <w:r w:rsidRPr="00D17DBA">
        <w:t>Goods and services (including amounts capitalized) are considered received when a liability is established. Benefits are considered to be provided when a liability is established. Grants are considered to be provided when grantees meet the requirements that allow them to use the grants. (SFFAS 7, par</w:t>
      </w:r>
      <w:r>
        <w:t>a</w:t>
      </w:r>
      <w:r w:rsidRPr="00D17DBA">
        <w:t xml:space="preserve">. 72) </w:t>
      </w:r>
    </w:p>
  </w:footnote>
  <w:footnote w:id="57">
    <w:p w14:paraId="7FD16F43" w14:textId="4BB032A7" w:rsidR="00AB3FC6" w:rsidRPr="00D17DBA" w:rsidRDefault="00AB3FC6" w:rsidP="00E96346">
      <w:pPr>
        <w:pStyle w:val="FootnoteText"/>
      </w:pPr>
      <w:r w:rsidRPr="00D17DBA">
        <w:rPr>
          <w:rStyle w:val="FootnoteReference"/>
        </w:rPr>
        <w:footnoteRef/>
      </w:r>
      <w:r w:rsidRPr="00D17DBA">
        <w:t>“Appropriations used” does not increase net position. It is subtracted from “unexpended appropriations” and added to “cumulative results of operations”</w:t>
      </w:r>
      <w:r>
        <w:t>.</w:t>
      </w:r>
      <w:r w:rsidRPr="00D17DBA">
        <w:t xml:space="preserve"> (A-136, section II.</w:t>
      </w:r>
      <w:r>
        <w:t>3</w:t>
      </w:r>
      <w:r w:rsidRPr="00D17DBA">
        <w:t>.</w:t>
      </w:r>
      <w:r>
        <w:t>4</w:t>
      </w:r>
      <w:r w:rsidRPr="00D17DBA">
        <w:t>.</w:t>
      </w:r>
      <w:r>
        <w:t>4</w:t>
      </w:r>
      <w:r w:rsidRPr="00D17DBA">
        <w:t xml:space="preserve">) </w:t>
      </w:r>
    </w:p>
  </w:footnote>
  <w:footnote w:id="58">
    <w:p w14:paraId="20A669FC" w14:textId="4E88BF3F" w:rsidR="00AB3FC6" w:rsidRPr="00D17DBA" w:rsidRDefault="00AB3FC6" w:rsidP="00E96346">
      <w:pPr>
        <w:pStyle w:val="FootnoteText"/>
      </w:pPr>
      <w:r w:rsidRPr="00D17DBA">
        <w:rPr>
          <w:rStyle w:val="FootnoteReference"/>
        </w:rPr>
        <w:footnoteRef/>
      </w:r>
      <w:r w:rsidRPr="00D17DBA">
        <w:t>SFFAS 7, par</w:t>
      </w:r>
      <w:r>
        <w:t>a.</w:t>
      </w:r>
      <w:r w:rsidRPr="00D17DBA">
        <w:t xml:space="preserve"> 60</w:t>
      </w:r>
      <w:r>
        <w:t>,</w:t>
      </w:r>
      <w:r w:rsidRPr="00D17DBA">
        <w:t xml:space="preserve"> also specifies principles for the application of this standard by (1) trust funds legally entitled to excise taxes collected and (2) trust funds legally entitled to receive Social Security taxes accrued. See the custodial activities section of this checklist for these items, if applicable. (SFFAS </w:t>
      </w:r>
      <w:r>
        <w:t xml:space="preserve">7, </w:t>
      </w:r>
      <w:r w:rsidRPr="00D17DBA">
        <w:t>par</w:t>
      </w:r>
      <w:r>
        <w:t>as.</w:t>
      </w:r>
      <w:r w:rsidRPr="00D17DBA">
        <w:t xml:space="preserve"> 60.1</w:t>
      </w:r>
      <w:r>
        <w:t>–</w:t>
      </w:r>
      <w:r w:rsidRPr="00D17DBA">
        <w:t>60.2)</w:t>
      </w:r>
    </w:p>
  </w:footnote>
  <w:footnote w:id="59">
    <w:p w14:paraId="2B3C99C7" w14:textId="4F9B6DAD" w:rsidR="00AB3FC6" w:rsidRPr="00D17DBA" w:rsidRDefault="00AB3FC6" w:rsidP="00E96346">
      <w:pPr>
        <w:pStyle w:val="FootnoteText"/>
      </w:pPr>
      <w:r w:rsidRPr="00D17DBA">
        <w:rPr>
          <w:rStyle w:val="FootnoteReference"/>
        </w:rPr>
        <w:footnoteRef/>
      </w:r>
      <w:r w:rsidRPr="00D17DBA">
        <w:t>Nonappropriated balances include financing sources and revenue not reported as unexpended appropriations. (A-136, section II.</w:t>
      </w:r>
      <w:r>
        <w:t>3</w:t>
      </w:r>
      <w:r w:rsidRPr="00D17DBA">
        <w:t>.</w:t>
      </w:r>
      <w:r>
        <w:t>4</w:t>
      </w:r>
      <w:r w:rsidRPr="00D17DBA">
        <w:t>.</w:t>
      </w:r>
      <w:r>
        <w:t>4</w:t>
      </w:r>
      <w:r w:rsidRPr="00D17DBA">
        <w:t xml:space="preserve">) </w:t>
      </w:r>
    </w:p>
  </w:footnote>
  <w:footnote w:id="60">
    <w:p w14:paraId="4EE427BB" w14:textId="6DE445BF" w:rsidR="00AB3FC6" w:rsidRPr="00D17DBA" w:rsidRDefault="00AB3FC6" w:rsidP="00E96346">
      <w:pPr>
        <w:pStyle w:val="FootnoteText"/>
      </w:pPr>
      <w:r w:rsidRPr="00D17DBA">
        <w:rPr>
          <w:rStyle w:val="FootnoteReference"/>
        </w:rPr>
        <w:footnoteRef/>
      </w:r>
      <w:r w:rsidRPr="00D17DBA">
        <w:t>FASAB Technical Bulletin 2003-1 offers specific guidance dealing with transfers arising from the creation of the Department of Homeland Security and other transfers of operations between federal entities directed by the Homeland Security Act of 2002 (</w:t>
      </w:r>
      <w:r>
        <w:t>Pub. L. No.</w:t>
      </w:r>
      <w:r w:rsidRPr="00D17DBA">
        <w:t xml:space="preserve"> 107-296</w:t>
      </w:r>
      <w:r>
        <w:t xml:space="preserve">, </w:t>
      </w:r>
      <w:r w:rsidRPr="00EC500B">
        <w:t>116 Stat. 2135 (Nov. 25, 2002)</w:t>
      </w:r>
      <w:r w:rsidRPr="00D17DBA">
        <w:t>). (TB 2003-1 par</w:t>
      </w:r>
      <w:r>
        <w:t>a</w:t>
      </w:r>
      <w:r w:rsidRPr="00D17DBA">
        <w:t>. I (summary) and 1 (text)</w:t>
      </w:r>
      <w:r>
        <w:t>.</w:t>
      </w:r>
      <w:r w:rsidRPr="00D17DBA">
        <w:t>)</w:t>
      </w:r>
    </w:p>
  </w:footnote>
  <w:footnote w:id="61">
    <w:p w14:paraId="21D512DE" w14:textId="7ABBB304" w:rsidR="00AB3FC6" w:rsidRPr="00D17DBA" w:rsidRDefault="00AB3FC6" w:rsidP="00E96346">
      <w:pPr>
        <w:pStyle w:val="FootnoteText"/>
      </w:pPr>
      <w:r w:rsidRPr="00D17DBA">
        <w:rPr>
          <w:rStyle w:val="FootnoteReference"/>
        </w:rPr>
        <w:footnoteRef/>
      </w:r>
      <w:r w:rsidRPr="00D17DBA">
        <w:t>This amount includes intragovernmental transfers into or out of capitalized assets during the current reporting year. (SFFAS 7, par</w:t>
      </w:r>
      <w:r>
        <w:t>a</w:t>
      </w:r>
      <w:r w:rsidRPr="00D17DBA">
        <w:t>. 74)</w:t>
      </w:r>
    </w:p>
  </w:footnote>
  <w:footnote w:id="62">
    <w:p w14:paraId="1C7CDC87" w14:textId="24ADDFB1" w:rsidR="00AB3FC6" w:rsidRDefault="00AB3FC6" w:rsidP="00E96346">
      <w:pPr>
        <w:pStyle w:val="FootnoteText"/>
      </w:pPr>
      <w:r>
        <w:rPr>
          <w:rStyle w:val="FootnoteReference"/>
        </w:rPr>
        <w:footnoteRef/>
      </w:r>
      <w:r>
        <w:t>Errors in financial statements include those from mathematical mistakes, mistakes in the application of accounting principles, or oversight or misuse of facts that existed at the time the statements were prepared.</w:t>
      </w:r>
    </w:p>
  </w:footnote>
  <w:footnote w:id="63">
    <w:p w14:paraId="7D24F75D" w14:textId="326E03C8" w:rsidR="00AB3FC6" w:rsidRDefault="00AB3FC6" w:rsidP="00E96346">
      <w:pPr>
        <w:pStyle w:val="FootnoteText"/>
      </w:pPr>
      <w:r>
        <w:rPr>
          <w:rStyle w:val="FootnoteReference"/>
        </w:rPr>
        <w:footnoteRef/>
      </w:r>
      <w:r>
        <w:t>Prior period financial statements should only be restated for corrections of errors that have caused any statements</w:t>
      </w:r>
      <w:r w:rsidR="004A12F7">
        <w:t xml:space="preserve"> or disclosures</w:t>
      </w:r>
      <w:r>
        <w:t xml:space="preserve"> to be materially misstated</w:t>
      </w:r>
      <w:r w:rsidRPr="004A12F7">
        <w:t>.</w:t>
      </w:r>
    </w:p>
  </w:footnote>
  <w:footnote w:id="64">
    <w:p w14:paraId="0E32A033" w14:textId="0B65FC66" w:rsidR="00AB3FC6" w:rsidRDefault="00AB3FC6" w:rsidP="00E96346">
      <w:pPr>
        <w:pStyle w:val="FootnoteText"/>
      </w:pPr>
      <w:r>
        <w:rPr>
          <w:rStyle w:val="FootnoteReference"/>
        </w:rPr>
        <w:footnoteRef/>
      </w:r>
      <w:r>
        <w:t>A change in accounting principle is a change from one generally accepted accounting principle to another that can be justified as preferable. Changes in accounting principles include those resulting from the adoption of new federal accounting standards.</w:t>
      </w:r>
    </w:p>
  </w:footnote>
  <w:footnote w:id="65">
    <w:p w14:paraId="47389048" w14:textId="3499ECBC" w:rsidR="00AB3FC6" w:rsidRDefault="00AB3FC6" w:rsidP="00E96346">
      <w:pPr>
        <w:pStyle w:val="FootnoteText"/>
      </w:pPr>
      <w:r>
        <w:rPr>
          <w:rStyle w:val="FootnoteReference"/>
        </w:rPr>
        <w:footnoteRef/>
      </w:r>
      <w:r>
        <w:t>The imputed financing amount includes financing of certain costs by one federal entity on behalf of another federal entity (e.g., the payment of certain employee benefit costs by the Office of Personnel Management for employees of other federal agencies).</w:t>
      </w:r>
    </w:p>
  </w:footnote>
  <w:footnote w:id="66">
    <w:p w14:paraId="6003E622" w14:textId="5B0B8811" w:rsidR="00AB3FC6" w:rsidRPr="00C92712" w:rsidRDefault="00AB3FC6" w:rsidP="00E96346">
      <w:pPr>
        <w:pStyle w:val="FootnoteText"/>
      </w:pPr>
      <w:r w:rsidRPr="00D17DBA">
        <w:rPr>
          <w:rStyle w:val="FootnoteReference"/>
        </w:rPr>
        <w:footnoteRef/>
      </w:r>
      <w:r w:rsidRPr="00D17DBA">
        <w:t xml:space="preserve">Agencies use the </w:t>
      </w:r>
      <w:r>
        <w:t>Central Accounting Reporting System to report disbursem</w:t>
      </w:r>
      <w:r w:rsidRPr="0059376E">
        <w:t xml:space="preserve">ent and collection activity. </w:t>
      </w:r>
      <w:r w:rsidRPr="00C92712">
        <w:t xml:space="preserve"> </w:t>
      </w:r>
    </w:p>
  </w:footnote>
  <w:footnote w:id="67">
    <w:p w14:paraId="10A0873D" w14:textId="4D7D97FF" w:rsidR="00AB3FC6" w:rsidRDefault="00AB3FC6" w:rsidP="00E96346">
      <w:pPr>
        <w:pStyle w:val="FootnoteText"/>
      </w:pPr>
      <w:r>
        <w:rPr>
          <w:rStyle w:val="FootnoteReference"/>
        </w:rPr>
        <w:footnoteRef/>
      </w:r>
      <w:r>
        <w:t xml:space="preserve">GTAS information is used to produce the fourth quarter SF133. </w:t>
      </w:r>
    </w:p>
  </w:footnote>
  <w:footnote w:id="68">
    <w:p w14:paraId="7970DD50" w14:textId="3F9FCEF4" w:rsidR="00AB3FC6" w:rsidRDefault="00AB3FC6" w:rsidP="00E96346">
      <w:pPr>
        <w:pStyle w:val="FootnoteText"/>
      </w:pPr>
      <w:r>
        <w:rPr>
          <w:rStyle w:val="FootnoteReference"/>
        </w:rPr>
        <w:footnoteRef/>
      </w:r>
      <w:r>
        <w:t xml:space="preserve">Net outlays are derived by reducing gross outlays by actual offsetting collections. </w:t>
      </w:r>
    </w:p>
  </w:footnote>
  <w:footnote w:id="69">
    <w:p w14:paraId="79E74211" w14:textId="791B5C40" w:rsidR="00AB3FC6" w:rsidRDefault="00AB3FC6" w:rsidP="00E96346">
      <w:pPr>
        <w:pStyle w:val="FootnoteText"/>
      </w:pPr>
      <w:r>
        <w:rPr>
          <w:rStyle w:val="FootnoteReference"/>
        </w:rPr>
        <w:footnoteRef/>
      </w:r>
      <w:r w:rsidRPr="007D3C1A">
        <w:t>The accrual adjustment is not applicable to exchange revenues because exchange revenues are reported on an accrual basis.</w:t>
      </w:r>
    </w:p>
  </w:footnote>
  <w:footnote w:id="70">
    <w:p w14:paraId="37DE77B1" w14:textId="02FE204D" w:rsidR="00AB3FC6" w:rsidRDefault="00AB3FC6" w:rsidP="00E96346">
      <w:pPr>
        <w:pStyle w:val="FootnoteText"/>
      </w:pPr>
      <w:r>
        <w:rPr>
          <w:rStyle w:val="FootnoteReference"/>
        </w:rPr>
        <w:footnoteRef/>
      </w:r>
      <w:r w:rsidRPr="008C7592">
        <w:t>Although</w:t>
      </w:r>
      <w:r>
        <w:t xml:space="preserve"> SFFAS 17 lists UI for general public as social insurance, the requirements for the SOSI in para. 27(3) of SFFAS 17 specifically exclude UI. Therefore, a SOSI is not required for UI.</w:t>
      </w:r>
    </w:p>
  </w:footnote>
  <w:footnote w:id="71">
    <w:p w14:paraId="7B4AB679" w14:textId="7799A527" w:rsidR="00AB3FC6" w:rsidRDefault="00AB3FC6" w:rsidP="00E96346">
      <w:pPr>
        <w:pStyle w:val="FootnoteText"/>
      </w:pPr>
      <w:r>
        <w:rPr>
          <w:rStyle w:val="FootnoteReference"/>
        </w:rPr>
        <w:footnoteRef/>
      </w:r>
      <w:r>
        <w:t xml:space="preserve">Entities may identify related parties in </w:t>
      </w:r>
      <w:r w:rsidR="002B1AAC">
        <w:t xml:space="preserve">the </w:t>
      </w:r>
      <w:r w:rsidR="002B1AAC" w:rsidRPr="002B1AAC">
        <w:t xml:space="preserve">Reporting Entity and Summary of Significant Accounting Policies </w:t>
      </w:r>
      <w:r w:rsidR="002B1AAC">
        <w:t>note</w:t>
      </w:r>
      <w:r>
        <w:t xml:space="preserve"> or in another note(s). Also see </w:t>
      </w:r>
      <w:r w:rsidR="00EB3BD0">
        <w:t xml:space="preserve">section </w:t>
      </w:r>
      <w:r>
        <w:t>I of this checklist.</w:t>
      </w:r>
    </w:p>
  </w:footnote>
  <w:footnote w:id="72">
    <w:p w14:paraId="6CA2A255" w14:textId="2B6376B2" w:rsidR="00AB3FC6" w:rsidRDefault="00AB3FC6" w:rsidP="00E96346">
      <w:pPr>
        <w:pStyle w:val="FootnoteText"/>
      </w:pPr>
      <w:r>
        <w:rPr>
          <w:rStyle w:val="FootnoteReference"/>
        </w:rPr>
        <w:footnoteRef/>
      </w:r>
      <w:r>
        <w:t xml:space="preserve">Agencies with a large number of disclosure entities or balances resulting from transactions with disclosure entities may provide this information in a separate note and include a reference to that note in </w:t>
      </w:r>
      <w:r w:rsidR="002B1AAC">
        <w:t xml:space="preserve">the </w:t>
      </w:r>
      <w:r w:rsidR="002B1AAC" w:rsidRPr="002B1AAC">
        <w:t xml:space="preserve">Reporting Entity and Summary of Significant Accounting Policies </w:t>
      </w:r>
      <w:r w:rsidR="002B1AAC">
        <w:t>note</w:t>
      </w:r>
      <w:r>
        <w:t>.</w:t>
      </w:r>
    </w:p>
  </w:footnote>
  <w:footnote w:id="73">
    <w:p w14:paraId="221491B3" w14:textId="20FC3735" w:rsidR="008E3AA5" w:rsidRDefault="008E3AA5">
      <w:pPr>
        <w:pStyle w:val="FootnoteText"/>
      </w:pPr>
      <w:r>
        <w:rPr>
          <w:rStyle w:val="FootnoteReference"/>
        </w:rPr>
        <w:footnoteRef/>
      </w:r>
      <w:r w:rsidR="00C6193F" w:rsidRPr="00C6193F">
        <w:t>For FY 2025, entities subject to OMB Circular No. A-136 should report only single-year financial statements, notes, and RSI. Per A-136, comparative statements, notes, or RSI, or information from prior years should only be reported if required by FASAB guidance. (A-136, section I.1)</w:t>
      </w:r>
    </w:p>
  </w:footnote>
  <w:footnote w:id="74">
    <w:p w14:paraId="363A7956" w14:textId="34D946CB" w:rsidR="00AB3FC6" w:rsidRDefault="00AB3FC6" w:rsidP="00E96346">
      <w:pPr>
        <w:pStyle w:val="FootnoteText"/>
      </w:pPr>
      <w:r>
        <w:rPr>
          <w:rStyle w:val="FootnoteReference"/>
        </w:rPr>
        <w:footnoteRef/>
      </w:r>
      <w:r>
        <w:t>Fiduciary activities are the collection or receipt and the government’s management, protection, accounting, investment, and disposition of cash or other assets in which non-federal individuals or entities have an ownership interest.</w:t>
      </w:r>
    </w:p>
  </w:footnote>
  <w:footnote w:id="75">
    <w:p w14:paraId="7C4DA5CA" w14:textId="5CF51A96" w:rsidR="00AB3FC6" w:rsidRPr="00D17DBA" w:rsidRDefault="00AB3FC6" w:rsidP="00E96346">
      <w:pPr>
        <w:pStyle w:val="FootnoteText"/>
      </w:pPr>
      <w:r w:rsidRPr="00D17DBA">
        <w:rPr>
          <w:rStyle w:val="FootnoteReference"/>
        </w:rPr>
        <w:footnoteRef/>
      </w:r>
      <w:r w:rsidRPr="00D17DBA">
        <w:t xml:space="preserve">Contract authority is a statutory authority </w:t>
      </w:r>
      <w:r>
        <w:t xml:space="preserve">(2 U.S.C. § 622(2)) </w:t>
      </w:r>
      <w:r w:rsidRPr="00D17DBA">
        <w:t xml:space="preserve">under which </w:t>
      </w:r>
      <w:r>
        <w:t xml:space="preserve">an entity may enter into </w:t>
      </w:r>
      <w:r w:rsidRPr="00D17DBA">
        <w:t xml:space="preserve">contracts or </w:t>
      </w:r>
      <w:r>
        <w:t xml:space="preserve">incur </w:t>
      </w:r>
      <w:r w:rsidRPr="00D17DBA">
        <w:t xml:space="preserve">other obligations </w:t>
      </w:r>
      <w:r>
        <w:t>before</w:t>
      </w:r>
      <w:r w:rsidRPr="00D17DBA">
        <w:t xml:space="preserve"> receiving an appropriation </w:t>
      </w:r>
      <w:r>
        <w:t xml:space="preserve">sufficient </w:t>
      </w:r>
      <w:r w:rsidRPr="00D17DBA">
        <w:t xml:space="preserve">for the payment of </w:t>
      </w:r>
      <w:r>
        <w:t xml:space="preserve">the </w:t>
      </w:r>
      <w:r w:rsidRPr="00D17DBA">
        <w:t>obligations</w:t>
      </w:r>
      <w:r>
        <w:t xml:space="preserve"> incurred</w:t>
      </w:r>
      <w:r w:rsidRPr="00D17DBA">
        <w:t>. (</w:t>
      </w:r>
      <w:r>
        <w:t xml:space="preserve">see </w:t>
      </w:r>
      <w:r w:rsidRPr="00D17DBA">
        <w:t>SFFAS 1, par</w:t>
      </w:r>
      <w:r>
        <w:t>a</w:t>
      </w:r>
      <w:r w:rsidRPr="00D17DBA">
        <w:t xml:space="preserve">. 34) </w:t>
      </w:r>
    </w:p>
  </w:footnote>
  <w:footnote w:id="76">
    <w:p w14:paraId="49DE3683" w14:textId="47821D08" w:rsidR="00AB3FC6" w:rsidRDefault="00AB3FC6" w:rsidP="00E96346">
      <w:pPr>
        <w:pStyle w:val="FootnoteText"/>
      </w:pPr>
      <w:r>
        <w:rPr>
          <w:rStyle w:val="FootnoteReference"/>
        </w:rPr>
        <w:footnoteRef/>
      </w:r>
      <w:r>
        <w:t>The unobligated balance is the amount of funds available to the entity against which no claims have been recorded. (SFFAS 1, para. 38)</w:t>
      </w:r>
    </w:p>
  </w:footnote>
  <w:footnote w:id="77">
    <w:p w14:paraId="6CDE0A71" w14:textId="2E779A45" w:rsidR="00AB3FC6" w:rsidRDefault="00AB3FC6" w:rsidP="00E96346">
      <w:pPr>
        <w:pStyle w:val="FootnoteText"/>
      </w:pPr>
      <w:r>
        <w:rPr>
          <w:rStyle w:val="FootnoteReference"/>
        </w:rPr>
        <w:footnoteRef/>
      </w:r>
      <w:r>
        <w:t>The obligated balance not yet disbursed is the amount of funds against which budgetary obligations have been incurred, but disbursements have not been made. (SFFAS 1, para. 37)</w:t>
      </w:r>
    </w:p>
  </w:footnote>
  <w:footnote w:id="78">
    <w:p w14:paraId="1D437C80" w14:textId="319A8D89" w:rsidR="00AB3FC6" w:rsidRDefault="00AB3FC6" w:rsidP="00E96346">
      <w:pPr>
        <w:pStyle w:val="FootnoteText"/>
      </w:pPr>
      <w:r>
        <w:rPr>
          <w:rStyle w:val="FootnoteReference"/>
        </w:rPr>
        <w:footnoteRef/>
      </w:r>
      <w:r w:rsidRPr="00E93CBA">
        <w:t>Non</w:t>
      </w:r>
      <w:r>
        <w:t>-</w:t>
      </w:r>
      <w:r w:rsidRPr="00E93CBA">
        <w:t>budgetary</w:t>
      </w:r>
      <w:r>
        <w:t xml:space="preserve"> </w:t>
      </w:r>
      <w:r w:rsidRPr="00E93CBA">
        <w:t>FBWT includes unavailable receipt accounts, clearing accounts and other</w:t>
      </w:r>
      <w:r>
        <w:t xml:space="preserve"> </w:t>
      </w:r>
      <w:r w:rsidRPr="00E93CBA">
        <w:t>accounts that do not represent budget authority, as well as non-entity FBWT that is</w:t>
      </w:r>
      <w:r>
        <w:t xml:space="preserve"> </w:t>
      </w:r>
      <w:r w:rsidRPr="00E93CBA">
        <w:t xml:space="preserve">recognized on the </w:t>
      </w:r>
      <w:r>
        <w:t>B</w:t>
      </w:r>
      <w:r w:rsidRPr="00E93CBA">
        <w:t xml:space="preserve">alance </w:t>
      </w:r>
      <w:r>
        <w:t>S</w:t>
      </w:r>
      <w:r w:rsidRPr="00E93CBA">
        <w:t>heet.</w:t>
      </w:r>
      <w:r>
        <w:t xml:space="preserve"> (SFFAS 1, para. 38)</w:t>
      </w:r>
    </w:p>
  </w:footnote>
  <w:footnote w:id="79">
    <w:p w14:paraId="66595A34" w14:textId="6EE4DC31" w:rsidR="00FF64E7" w:rsidRDefault="00FF64E7">
      <w:pPr>
        <w:pStyle w:val="FootnoteText"/>
      </w:pPr>
      <w:r>
        <w:rPr>
          <w:rStyle w:val="FootnoteReference"/>
        </w:rPr>
        <w:footnoteRef/>
      </w:r>
      <w:r w:rsidRPr="00FF64E7">
        <w:t>Cash and other monetary assets also include central bank digital currencies.</w:t>
      </w:r>
      <w:r>
        <w:t xml:space="preserve"> (A-136, section II.3.2.3)</w:t>
      </w:r>
    </w:p>
  </w:footnote>
  <w:footnote w:id="80">
    <w:p w14:paraId="0472C1F1" w14:textId="6E08793B" w:rsidR="00AB3FC6" w:rsidRDefault="00AB3FC6" w:rsidP="00E96346">
      <w:pPr>
        <w:pStyle w:val="FootnoteText"/>
      </w:pPr>
      <w:r>
        <w:rPr>
          <w:rStyle w:val="FootnoteReference"/>
        </w:rPr>
        <w:footnoteRef/>
      </w:r>
      <w:r>
        <w:t xml:space="preserve">Non-entity cash is always restricted. </w:t>
      </w:r>
    </w:p>
  </w:footnote>
  <w:footnote w:id="81">
    <w:p w14:paraId="4186E57C" w14:textId="5E41B922" w:rsidR="00AB3FC6" w:rsidRDefault="00AB3FC6" w:rsidP="0059376E">
      <w:pPr>
        <w:pStyle w:val="BodyText"/>
        <w:spacing w:after="0" w:line="240" w:lineRule="auto"/>
        <w:jc w:val="left"/>
      </w:pPr>
      <w:r w:rsidRPr="00961CCA">
        <w:rPr>
          <w:rStyle w:val="FootnoteReference"/>
          <w:sz w:val="18"/>
          <w:szCs w:val="18"/>
        </w:rPr>
        <w:footnoteRef/>
      </w:r>
      <w:r w:rsidRPr="00554C1F">
        <w:rPr>
          <w:sz w:val="18"/>
          <w:szCs w:val="18"/>
        </w:rPr>
        <w:t xml:space="preserve">For investments in non-federal securities not accounted for in a manner comparable to the accounting treatment in SFFAS 2, agencies should consult FASB Accounting Standards Codifications </w:t>
      </w:r>
      <w:r w:rsidRPr="00A96F7B">
        <w:rPr>
          <w:sz w:val="18"/>
          <w:szCs w:val="18"/>
        </w:rPr>
        <w:t xml:space="preserve">for fair value </w:t>
      </w:r>
      <w:r w:rsidRPr="00961CCA">
        <w:rPr>
          <w:sz w:val="18"/>
          <w:szCs w:val="18"/>
        </w:rPr>
        <w:t>measurement and disclosure</w:t>
      </w:r>
      <w:r w:rsidRPr="00554C1F">
        <w:rPr>
          <w:sz w:val="18"/>
          <w:szCs w:val="18"/>
        </w:rPr>
        <w:t xml:space="preserve"> (ASC 320 Investments – Debt Securities, 321 Investments – Equity Securities, 323 Investments – Equity Method and Joint Ventures, 325 Investments – Other, and 820 Fair Value Measurement). However, </w:t>
      </w:r>
      <w:r>
        <w:rPr>
          <w:sz w:val="18"/>
          <w:szCs w:val="18"/>
        </w:rPr>
        <w:t>such</w:t>
      </w:r>
      <w:r w:rsidRPr="00554C1F">
        <w:rPr>
          <w:sz w:val="18"/>
          <w:szCs w:val="18"/>
        </w:rPr>
        <w:t xml:space="preserve"> guidance is not applicable to non-federal securities that are accounted for under SFFAS 2, </w:t>
      </w:r>
      <w:r w:rsidRPr="00337781">
        <w:rPr>
          <w:i/>
          <w:sz w:val="18"/>
          <w:szCs w:val="18"/>
        </w:rPr>
        <w:t>Accounting for Direct Loans and Loan Guarantees</w:t>
      </w:r>
      <w:r w:rsidRPr="00554C1F">
        <w:rPr>
          <w:sz w:val="18"/>
          <w:szCs w:val="18"/>
        </w:rPr>
        <w:t>. (See A-136</w:t>
      </w:r>
      <w:r>
        <w:rPr>
          <w:sz w:val="18"/>
          <w:szCs w:val="18"/>
        </w:rPr>
        <w:t>, s</w:t>
      </w:r>
      <w:r w:rsidRPr="00554C1F">
        <w:rPr>
          <w:sz w:val="18"/>
          <w:szCs w:val="18"/>
        </w:rPr>
        <w:t>ection II.3.2.3</w:t>
      </w:r>
      <w:r>
        <w:rPr>
          <w:sz w:val="18"/>
          <w:szCs w:val="18"/>
        </w:rPr>
        <w:t>.</w:t>
      </w:r>
      <w:r w:rsidRPr="00554C1F">
        <w:rPr>
          <w:sz w:val="18"/>
          <w:szCs w:val="18"/>
        </w:rPr>
        <w:t>)</w:t>
      </w:r>
    </w:p>
  </w:footnote>
  <w:footnote w:id="82">
    <w:p w14:paraId="6F1EA2F5" w14:textId="0A7C97B5" w:rsidR="00AB3FC6" w:rsidRDefault="00AB3FC6" w:rsidP="00E96346">
      <w:pPr>
        <w:pStyle w:val="FootnoteText"/>
      </w:pPr>
      <w:r>
        <w:rPr>
          <w:rStyle w:val="FootnoteReference"/>
        </w:rPr>
        <w:footnoteRef/>
      </w:r>
      <w:r>
        <w:t xml:space="preserve">The market value of investments in a group is calculated by the market price of securities of that group at the financial reporting date multiplied by the number of notes or bonds held at the financial reporting date. </w:t>
      </w:r>
    </w:p>
  </w:footnote>
  <w:footnote w:id="83">
    <w:p w14:paraId="055E73D7" w14:textId="4E6A87BC" w:rsidR="00AB3FC6" w:rsidRDefault="00AB3FC6" w:rsidP="00E96346">
      <w:pPr>
        <w:pStyle w:val="FootnoteText"/>
      </w:pPr>
      <w:r>
        <w:rPr>
          <w:rStyle w:val="FootnoteReference"/>
        </w:rPr>
        <w:footnoteRef/>
      </w:r>
      <w:r>
        <w:t>The note should explain the following issues: (1) The U.S. Treasury does not set aside assets to pay future expenditures associated with funds from dedicated collections. Instead, the cash generated from such funds is used by the U.S. Treasury for general governmental purposes. (2) Treasury securities are issued to the fund as evidence of dedicated collections and provide the fund with the authority to draw upon the U.S. Treasury for future authorized expenditures. (3) Treasury securities held by a fund from dedicated collections are an asset of the fund and a liability of the U.S. Treasury, so they are eliminated in consolidation for the U.S. government</w:t>
      </w:r>
      <w:r w:rsidR="00643402">
        <w:t>-</w:t>
      </w:r>
      <w:r>
        <w:t xml:space="preserve">wide financial statements. (4) When the fund from dedicated collections redeems its Treasury securities to make expenditures, the U.S. Treasury will finance those expenditures in the same manner that it finances all other expenditures. (SFFAS 27, paras. 27–28) </w:t>
      </w:r>
    </w:p>
  </w:footnote>
  <w:footnote w:id="84">
    <w:p w14:paraId="138EA2B3" w14:textId="78FB2A50" w:rsidR="00AB3FC6" w:rsidRDefault="00AB3FC6" w:rsidP="00E96346">
      <w:pPr>
        <w:pStyle w:val="FootnoteText"/>
      </w:pPr>
      <w:r>
        <w:rPr>
          <w:rStyle w:val="FootnoteReference"/>
        </w:rPr>
        <w:footnoteRef/>
      </w:r>
      <w:r w:rsidRPr="003218A2">
        <w:t>For investments in non-</w:t>
      </w:r>
      <w:r>
        <w:t>f</w:t>
      </w:r>
      <w:r w:rsidRPr="003218A2">
        <w:t>ederal securities, agencies should consult Accounting Standards Codification (ASC) 820</w:t>
      </w:r>
      <w:r>
        <w:t>,</w:t>
      </w:r>
      <w:r w:rsidRPr="003218A2">
        <w:t xml:space="preserve"> </w:t>
      </w:r>
      <w:r w:rsidRPr="00337781">
        <w:rPr>
          <w:i/>
        </w:rPr>
        <w:t>Fair Value Measurement</w:t>
      </w:r>
      <w:r>
        <w:t>,</w:t>
      </w:r>
      <w:r w:rsidRPr="003218A2">
        <w:t xml:space="preserve"> for the appropriate classification.</w:t>
      </w:r>
      <w:r>
        <w:t xml:space="preserve"> </w:t>
      </w:r>
      <w:r w:rsidRPr="00EE6CCA">
        <w:rPr>
          <w:rFonts w:cs="Times New Roman"/>
          <w:color w:val="000000"/>
          <w14:textFill>
            <w14:solidFill>
              <w14:srgbClr w14:val="000000">
                <w14:lumMod w14:val="75000"/>
              </w14:srgbClr>
            </w14:solidFill>
          </w14:textFill>
        </w:rPr>
        <w:t>Level 1 reflects the unadjusted quoted prices in active markets for identical assets that the reporting entity can access at the measurement date. Level 2 reflects inputs other than quoted prices in Level 1 that are directly or indirectly observable for the asset. Level 3 reflects unobservable inputs for the asset. Other</w:t>
      </w:r>
      <w:r>
        <w:rPr>
          <w:rFonts w:cs="Times New Roman"/>
        </w:rPr>
        <w:t xml:space="preserve"> </w:t>
      </w:r>
      <w:r w:rsidRPr="00EE6CCA">
        <w:rPr>
          <w:rFonts w:cs="Times New Roman"/>
          <w:color w:val="000000"/>
          <w14:textFill>
            <w14:solidFill>
              <w14:srgbClr w14:val="000000">
                <w14:lumMod w14:val="75000"/>
              </w14:srgbClr>
            </w14:solidFill>
          </w14:textFill>
        </w:rPr>
        <w:t xml:space="preserve">includes investments that are measured at fair value using the net asset value per share </w:t>
      </w:r>
      <w:r>
        <w:rPr>
          <w:rFonts w:cs="Times New Roman"/>
        </w:rPr>
        <w:t>of the investment a</w:t>
      </w:r>
      <w:r w:rsidRPr="00EE6CCA">
        <w:rPr>
          <w:rFonts w:cs="Times New Roman"/>
          <w:color w:val="000000"/>
          <w14:textFill>
            <w14:solidFill>
              <w14:srgbClr w14:val="000000">
                <w14:lumMod w14:val="75000"/>
              </w14:srgbClr>
            </w14:solidFill>
          </w14:textFill>
        </w:rPr>
        <w:t>nd have not been categorized in the fair value hierarchy</w:t>
      </w:r>
      <w:r>
        <w:rPr>
          <w:rFonts w:cs="Times New Roman"/>
        </w:rPr>
        <w:t>; for these a</w:t>
      </w:r>
      <w:r w:rsidRPr="00EE6CCA">
        <w:rPr>
          <w:rFonts w:cs="Times New Roman"/>
          <w:color w:val="000000"/>
          <w:spacing w:val="-1"/>
          <w14:textFill>
            <w14:solidFill>
              <w14:srgbClr w14:val="000000">
                <w14:lumMod w14:val="75000"/>
              </w14:srgbClr>
            </w14:solidFill>
          </w14:textFill>
        </w:rPr>
        <w:t xml:space="preserve">mounts, provide a description of </w:t>
      </w:r>
      <w:r>
        <w:rPr>
          <w:rFonts w:cs="Times New Roman"/>
          <w:color w:val="000000"/>
          <w:spacing w:val="-1"/>
          <w14:textFill>
            <w14:solidFill>
              <w14:srgbClr w14:val="000000">
                <w14:lumMod w14:val="75000"/>
              </w14:srgbClr>
            </w14:solidFill>
          </w14:textFill>
        </w:rPr>
        <w:t>securities.</w:t>
      </w:r>
    </w:p>
  </w:footnote>
  <w:footnote w:id="85">
    <w:p w14:paraId="62046B37" w14:textId="7DF6D41E" w:rsidR="00AB3FC6" w:rsidRDefault="00AB3FC6" w:rsidP="00E96346">
      <w:pPr>
        <w:pStyle w:val="FootnoteText"/>
      </w:pPr>
      <w:r>
        <w:rPr>
          <w:rStyle w:val="FootnoteReference"/>
        </w:rPr>
        <w:footnoteRef/>
      </w:r>
      <w:r w:rsidRPr="009A3F7D">
        <w:t>Per ASC 820, disclosure</w:t>
      </w:r>
      <w:r>
        <w:t xml:space="preserve"> of investments by type shall be on the basis of (1) the nature, characteristics, and risks of the investments and (2) t</w:t>
      </w:r>
      <w:r w:rsidRPr="003F2D68">
        <w:t>he level of the fair value hierarchy within which the fair value measurement is categorized</w:t>
      </w:r>
      <w:r>
        <w:t xml:space="preserve">. (See ASC 820-10-50, as well as other specific disclosure requirements, depending on the accounting guidance followed.) </w:t>
      </w:r>
      <w:r w:rsidRPr="009A3F7D">
        <w:t>Also see non-federal investments in A-136</w:t>
      </w:r>
      <w:r>
        <w:t>, section</w:t>
      </w:r>
      <w:r w:rsidRPr="009A3F7D">
        <w:t xml:space="preserve"> II.3.2.3.</w:t>
      </w:r>
    </w:p>
  </w:footnote>
  <w:footnote w:id="86">
    <w:p w14:paraId="5E92140A" w14:textId="52C8B229" w:rsidR="00AB3FC6" w:rsidRPr="00D17DBA" w:rsidRDefault="00AB3FC6" w:rsidP="00E96346">
      <w:pPr>
        <w:pStyle w:val="FootnoteText"/>
      </w:pPr>
      <w:r w:rsidRPr="00D17DBA">
        <w:rPr>
          <w:rStyle w:val="FootnoteReference"/>
        </w:rPr>
        <w:footnoteRef/>
      </w:r>
      <w:r w:rsidRPr="00D17DBA">
        <w:t>See also Federal Claims Collection Sta</w:t>
      </w:r>
      <w:r>
        <w:t>ndards (31 C.F.R. parts 900-904), which are issued by the departments of Justice and Treasury pursuant to the authority established in 31 U.S.C. chapter 37 in order to provide governmentwide debt collection procedures and standards.</w:t>
      </w:r>
    </w:p>
  </w:footnote>
  <w:footnote w:id="87">
    <w:p w14:paraId="2517B587" w14:textId="590A664A" w:rsidR="00AB3FC6" w:rsidRDefault="00AB3FC6" w:rsidP="00E96346">
      <w:pPr>
        <w:pStyle w:val="FootnoteText"/>
      </w:pPr>
      <w:r>
        <w:rPr>
          <w:rStyle w:val="FootnoteReference"/>
        </w:rPr>
        <w:footnoteRef/>
      </w:r>
      <w:r w:rsidRPr="00CC4F55">
        <w:t>Gross receivables will be reduced to net realizable value by an allowance for doubtful accounts.</w:t>
      </w:r>
    </w:p>
  </w:footnote>
  <w:footnote w:id="88">
    <w:p w14:paraId="199BB31E" w14:textId="5AA74391" w:rsidR="00AB3FC6" w:rsidRPr="00D17DBA" w:rsidRDefault="00AB3FC6" w:rsidP="00E96346">
      <w:pPr>
        <w:pStyle w:val="FootnoteText"/>
      </w:pPr>
      <w:r w:rsidRPr="00D17DBA">
        <w:rPr>
          <w:rStyle w:val="FootnoteReference"/>
        </w:rPr>
        <w:footnoteRef/>
      </w:r>
      <w:r w:rsidRPr="00D17DBA">
        <w:t xml:space="preserve">Undelivered orders are the value of goods and services ordered and obligated </w:t>
      </w:r>
      <w:r>
        <w:t>that have</w:t>
      </w:r>
      <w:r w:rsidRPr="00D17DBA">
        <w:t xml:space="preserve"> not </w:t>
      </w:r>
      <w:r>
        <w:t>been</w:t>
      </w:r>
      <w:r w:rsidRPr="00D17DBA">
        <w:t xml:space="preserve"> received.</w:t>
      </w:r>
      <w:r w:rsidRPr="002A771D">
        <w:t xml:space="preserve"> This amount includes any orders for which advance payment has been made but for which delivery or performance has not yet occurred</w:t>
      </w:r>
      <w:r>
        <w:t>.</w:t>
      </w:r>
      <w:r w:rsidRPr="00D17DBA">
        <w:t xml:space="preserve"> </w:t>
      </w:r>
    </w:p>
  </w:footnote>
  <w:footnote w:id="89">
    <w:p w14:paraId="05334CC9" w14:textId="6E01CC96" w:rsidR="00AB3FC6" w:rsidRPr="00D17DBA" w:rsidRDefault="00AB3FC6" w:rsidP="00E96346">
      <w:pPr>
        <w:pStyle w:val="FootnoteText"/>
      </w:pPr>
      <w:r w:rsidRPr="00D17DBA">
        <w:rPr>
          <w:rStyle w:val="FootnoteReference"/>
        </w:rPr>
        <w:footnoteRef/>
      </w:r>
      <w:r w:rsidRPr="00D17DBA">
        <w:t>The original discount rate is the rate that was originally used to calculate the present value of the liability when the guaranteed loans were disbursed, after adjusting for the interest rate reestimate. (SFFAS 2, par</w:t>
      </w:r>
      <w:r>
        <w:t>a</w:t>
      </w:r>
      <w:r w:rsidRPr="00D17DBA">
        <w:t xml:space="preserve">. 50) </w:t>
      </w:r>
    </w:p>
  </w:footnote>
  <w:footnote w:id="90">
    <w:p w14:paraId="1C15680E" w14:textId="0C637D44" w:rsidR="00AB3FC6" w:rsidRPr="00D17DBA" w:rsidRDefault="00AB3FC6" w:rsidP="00E96346">
      <w:pPr>
        <w:pStyle w:val="FootnoteText"/>
      </w:pPr>
      <w:r w:rsidRPr="00D17DBA">
        <w:rPr>
          <w:rStyle w:val="FootnoteReference"/>
        </w:rPr>
        <w:footnoteRef/>
      </w:r>
      <w:r w:rsidRPr="00D17DBA">
        <w:t>The interest subsidy cost of direct loans is the excess of the amount of the loans disbursed over the present value of the interest and principal payments required by loan contracts discounted at the applicable Treasury rate</w:t>
      </w:r>
      <w:r>
        <w:t>. F</w:t>
      </w:r>
      <w:r w:rsidRPr="00D17DBA">
        <w:t>or loan guarantees</w:t>
      </w:r>
      <w:r>
        <w:t>,</w:t>
      </w:r>
      <w:r w:rsidRPr="00D17DBA">
        <w:t xml:space="preserve"> it is the present value of estimated interest supplement payments. (SFFAS 2, par</w:t>
      </w:r>
      <w:r>
        <w:t>a</w:t>
      </w:r>
      <w:r w:rsidRPr="00D17DBA">
        <w:t xml:space="preserve">. 26) </w:t>
      </w:r>
    </w:p>
  </w:footnote>
  <w:footnote w:id="91">
    <w:p w14:paraId="7C459AED" w14:textId="370DBA17" w:rsidR="00AB3FC6" w:rsidRPr="00D17DBA" w:rsidRDefault="00AB3FC6" w:rsidP="00E96346">
      <w:pPr>
        <w:pStyle w:val="FootnoteText"/>
      </w:pPr>
      <w:r w:rsidRPr="00D17DBA">
        <w:rPr>
          <w:rStyle w:val="FootnoteReference"/>
        </w:rPr>
        <w:footnoteRef/>
      </w:r>
      <w:r w:rsidRPr="00D17DBA">
        <w:t>The default cost of direct loans or loan guarantees is measured at the present value of projected payment delinquencies and omissions minus projected net recoveries. (SFFAS 2, par</w:t>
      </w:r>
      <w:r>
        <w:t>as</w:t>
      </w:r>
      <w:r w:rsidRPr="00D17DBA">
        <w:t xml:space="preserve">. 27 and 27A) </w:t>
      </w:r>
    </w:p>
  </w:footnote>
  <w:footnote w:id="92">
    <w:p w14:paraId="15557EFF" w14:textId="4C3DC369" w:rsidR="00AB3FC6" w:rsidRDefault="00AB3FC6" w:rsidP="00E96346">
      <w:pPr>
        <w:pStyle w:val="FootnoteText"/>
      </w:pPr>
      <w:r>
        <w:rPr>
          <w:rStyle w:val="FootnoteReference"/>
        </w:rPr>
        <w:footnoteRef/>
      </w:r>
      <w:r>
        <w:t>Other subsidy costs consist of cash flows that are not included in calculating the interest, default costs, or in fees and other collections, which include the effect of prepayments within contract terms. (SFFAS 2, para. 29)</w:t>
      </w:r>
    </w:p>
  </w:footnote>
  <w:footnote w:id="93">
    <w:p w14:paraId="0BF5AAB9" w14:textId="31C3B118" w:rsidR="00AB3FC6" w:rsidRPr="00D17DBA" w:rsidRDefault="00AB3FC6" w:rsidP="00E96346">
      <w:pPr>
        <w:pStyle w:val="FootnoteText"/>
      </w:pPr>
      <w:r w:rsidRPr="00D17DBA">
        <w:rPr>
          <w:rStyle w:val="FootnoteReference"/>
        </w:rPr>
        <w:footnoteRef/>
      </w:r>
      <w:r w:rsidRPr="00D17DBA">
        <w:t xml:space="preserve">Under the interest method, the amortized amount is the difference between the nominal interest (face amount of loan times stated interest) and effective interest (present value of loan x discount rate). The effective interest rate is the average interest rate of marketable Treasury securities </w:t>
      </w:r>
      <w:r w:rsidRPr="008F121D">
        <w:t>with similar maturity that was used to calculate the present value of the direct loans when the direct loans were disbursed,</w:t>
      </w:r>
      <w:r w:rsidRPr="00D17DBA">
        <w:t xml:space="preserve"> after adjusting for the interest rate reestimate. (SFFAS 1, par</w:t>
      </w:r>
      <w:r>
        <w:t>a</w:t>
      </w:r>
      <w:r w:rsidRPr="00D17DBA">
        <w:t>. 71 and app. B</w:t>
      </w:r>
      <w:r>
        <w:t>;</w:t>
      </w:r>
      <w:r w:rsidRPr="00D17DBA">
        <w:t xml:space="preserve"> SFFAS 2, app. B, </w:t>
      </w:r>
      <w:r>
        <w:t>p</w:t>
      </w:r>
      <w:r w:rsidRPr="00D17DBA">
        <w:t xml:space="preserve">art I (B) (2)) </w:t>
      </w:r>
    </w:p>
  </w:footnote>
  <w:footnote w:id="94">
    <w:p w14:paraId="6AA32384" w14:textId="0072F101" w:rsidR="00AB3FC6" w:rsidRPr="00D17DBA" w:rsidRDefault="00AB3FC6" w:rsidP="00E96346">
      <w:pPr>
        <w:pStyle w:val="FootnoteText"/>
      </w:pPr>
      <w:r w:rsidRPr="00D17DBA">
        <w:rPr>
          <w:rStyle w:val="FootnoteReference"/>
        </w:rPr>
        <w:footnoteRef/>
      </w:r>
      <w:r w:rsidRPr="00D17DBA">
        <w:t>Cohort is a budget term that refers to all direct loans or loan guarantees of a program for which a subsidy appropriation is provided for a given fiscal year, even if disbursements occur in subsequent years. (SFFAS 2, par</w:t>
      </w:r>
      <w:r>
        <w:t>a</w:t>
      </w:r>
      <w:r w:rsidRPr="00D17DBA">
        <w:t>.</w:t>
      </w:r>
      <w:r>
        <w:t xml:space="preserve"> </w:t>
      </w:r>
      <w:r w:rsidRPr="00D17DBA">
        <w:t xml:space="preserve">32 (A)) </w:t>
      </w:r>
    </w:p>
  </w:footnote>
  <w:footnote w:id="95">
    <w:p w14:paraId="0F967485" w14:textId="6A1FBDB2" w:rsidR="00AB3FC6" w:rsidRPr="00D17DBA" w:rsidRDefault="00AB3FC6" w:rsidP="00E96346">
      <w:pPr>
        <w:pStyle w:val="FootnoteText"/>
      </w:pPr>
      <w:r w:rsidRPr="00D17DBA">
        <w:rPr>
          <w:rStyle w:val="FootnoteReference"/>
        </w:rPr>
        <w:footnoteRef/>
      </w:r>
      <w:r w:rsidRPr="00D17DBA">
        <w:t xml:space="preserve">This is the present value of the net cash inflows estimated under </w:t>
      </w:r>
      <w:r w:rsidRPr="00743CFB">
        <w:rPr>
          <w:i/>
        </w:rPr>
        <w:t>premodification</w:t>
      </w:r>
      <w:r w:rsidRPr="00D17DBA">
        <w:t xml:space="preserve"> terms discounted at the </w:t>
      </w:r>
      <w:r w:rsidRPr="00D17DBA">
        <w:rPr>
          <w:i/>
        </w:rPr>
        <w:t>current</w:t>
      </w:r>
      <w:r w:rsidRPr="00D17DBA">
        <w:t xml:space="preserve"> Treasury rate. (SFFAS 2, par</w:t>
      </w:r>
      <w:r>
        <w:t>a</w:t>
      </w:r>
      <w:r w:rsidRPr="00D17DBA">
        <w:t xml:space="preserve">. 45, fn 3) </w:t>
      </w:r>
    </w:p>
  </w:footnote>
  <w:footnote w:id="96">
    <w:p w14:paraId="1A00C592" w14:textId="0F59454E" w:rsidR="00AB3FC6" w:rsidRPr="00D17DBA" w:rsidRDefault="00AB3FC6" w:rsidP="00E96346">
      <w:pPr>
        <w:pStyle w:val="FootnoteText"/>
      </w:pPr>
      <w:r w:rsidRPr="00D17DBA">
        <w:rPr>
          <w:rStyle w:val="FootnoteReference"/>
        </w:rPr>
        <w:footnoteRef/>
      </w:r>
      <w:r w:rsidRPr="00D17DBA">
        <w:t xml:space="preserve">This is the present value of the net cash inflows estimated under </w:t>
      </w:r>
      <w:r w:rsidRPr="00D17DBA">
        <w:rPr>
          <w:i/>
        </w:rPr>
        <w:t>post</w:t>
      </w:r>
      <w:r w:rsidRPr="00743CFB">
        <w:rPr>
          <w:i/>
        </w:rPr>
        <w:t>modification</w:t>
      </w:r>
      <w:r w:rsidRPr="00D17DBA">
        <w:t xml:space="preserve"> terms discounted at the </w:t>
      </w:r>
      <w:r w:rsidRPr="00D17DBA">
        <w:rPr>
          <w:i/>
        </w:rPr>
        <w:t>current</w:t>
      </w:r>
      <w:r w:rsidRPr="00D17DBA">
        <w:t xml:space="preserve"> Treasury rate. (SFFAS 2, par</w:t>
      </w:r>
      <w:r>
        <w:t>a</w:t>
      </w:r>
      <w:r w:rsidRPr="00D17DBA">
        <w:t xml:space="preserve">. 45, fn 4) </w:t>
      </w:r>
    </w:p>
  </w:footnote>
  <w:footnote w:id="97">
    <w:p w14:paraId="2AA82ECF" w14:textId="085F1C27" w:rsidR="00AB3FC6" w:rsidRPr="00D17DBA" w:rsidRDefault="00AB3FC6" w:rsidP="00E96346">
      <w:pPr>
        <w:pStyle w:val="FootnoteText"/>
      </w:pPr>
      <w:r w:rsidRPr="00D17DBA">
        <w:rPr>
          <w:rStyle w:val="FootnoteReference"/>
        </w:rPr>
        <w:footnoteRef/>
      </w:r>
      <w:r w:rsidRPr="00D17DBA">
        <w:t xml:space="preserve">This is the present value of the net cash flows under </w:t>
      </w:r>
      <w:r w:rsidRPr="00D17DBA">
        <w:rPr>
          <w:i/>
        </w:rPr>
        <w:t>post</w:t>
      </w:r>
      <w:r w:rsidRPr="00743CFB">
        <w:rPr>
          <w:i/>
        </w:rPr>
        <w:t>modification</w:t>
      </w:r>
      <w:r w:rsidRPr="00D17DBA">
        <w:t xml:space="preserve"> terms discounted at the </w:t>
      </w:r>
      <w:r w:rsidRPr="00D17DBA">
        <w:rPr>
          <w:i/>
        </w:rPr>
        <w:t>current</w:t>
      </w:r>
      <w:r w:rsidRPr="00D17DBA">
        <w:t xml:space="preserve"> Treasury rate. (SFFAS 2, par</w:t>
      </w:r>
      <w:r>
        <w:t>a</w:t>
      </w:r>
      <w:r w:rsidRPr="00D17DBA">
        <w:t xml:space="preserve">. 49, fn 6) </w:t>
      </w:r>
    </w:p>
  </w:footnote>
  <w:footnote w:id="98">
    <w:p w14:paraId="11187A97" w14:textId="3F6B2126" w:rsidR="00AB3FC6" w:rsidRPr="00D17DBA" w:rsidRDefault="00AB3FC6" w:rsidP="00E96346">
      <w:pPr>
        <w:pStyle w:val="FootnoteText"/>
      </w:pPr>
      <w:r w:rsidRPr="00D17DBA">
        <w:rPr>
          <w:rStyle w:val="FootnoteReference"/>
        </w:rPr>
        <w:footnoteRef/>
      </w:r>
      <w:r w:rsidRPr="00D17DBA">
        <w:t xml:space="preserve">This is the present value of the net cash flows under </w:t>
      </w:r>
      <w:r w:rsidRPr="00D17DBA">
        <w:rPr>
          <w:i/>
        </w:rPr>
        <w:t>pre</w:t>
      </w:r>
      <w:r w:rsidRPr="00743CFB">
        <w:rPr>
          <w:i/>
        </w:rPr>
        <w:t>modification</w:t>
      </w:r>
      <w:r w:rsidRPr="00D17DBA">
        <w:t xml:space="preserve"> terms discounted at the </w:t>
      </w:r>
      <w:r w:rsidRPr="00D17DBA">
        <w:rPr>
          <w:i/>
        </w:rPr>
        <w:t>current</w:t>
      </w:r>
      <w:r w:rsidRPr="00D17DBA">
        <w:t xml:space="preserve"> Treasury rate. (SFFAS 2, par</w:t>
      </w:r>
      <w:r>
        <w:t>a</w:t>
      </w:r>
      <w:r w:rsidRPr="00D17DBA">
        <w:t xml:space="preserve">. 49, fn 7) </w:t>
      </w:r>
    </w:p>
  </w:footnote>
  <w:footnote w:id="99">
    <w:p w14:paraId="7323BFF4" w14:textId="30E82C06" w:rsidR="00AB3FC6" w:rsidRPr="00D17DBA" w:rsidRDefault="00AB3FC6" w:rsidP="00E96346">
      <w:pPr>
        <w:pStyle w:val="FootnoteText"/>
        <w:rPr>
          <w:i/>
          <w:color w:val="0000FF"/>
          <w14:textFill>
            <w14:solidFill>
              <w14:srgbClr w14:val="0000FF">
                <w14:lumMod w14:val="75000"/>
              </w14:srgbClr>
            </w14:solidFill>
          </w14:textFill>
        </w:rPr>
      </w:pPr>
      <w:r w:rsidRPr="00D17DBA">
        <w:rPr>
          <w:rStyle w:val="FootnoteReference"/>
        </w:rPr>
        <w:footnoteRef/>
      </w:r>
      <w:r w:rsidRPr="00D17DBA">
        <w:t xml:space="preserve">This is the present value of the loans’ net cash inflows discounted at the </w:t>
      </w:r>
      <w:r w:rsidRPr="00D17DBA">
        <w:rPr>
          <w:i/>
        </w:rPr>
        <w:t>current</w:t>
      </w:r>
      <w:r w:rsidRPr="00D17DBA">
        <w:t xml:space="preserve"> discount rate. (SFFAS 2, par</w:t>
      </w:r>
      <w:r>
        <w:t>a</w:t>
      </w:r>
      <w:r w:rsidRPr="00D17DBA">
        <w:t>. 45,</w:t>
      </w:r>
      <w:r>
        <w:t xml:space="preserve"> </w:t>
      </w:r>
      <w:r w:rsidRPr="00D17DBA">
        <w:t>fn</w:t>
      </w:r>
      <w:r>
        <w:t>s</w:t>
      </w:r>
      <w:r w:rsidRPr="00D17DBA">
        <w:t xml:space="preserve"> 3 and 4) </w:t>
      </w:r>
    </w:p>
  </w:footnote>
  <w:footnote w:id="100">
    <w:p w14:paraId="3D87F052" w14:textId="32815974" w:rsidR="00AB3FC6" w:rsidRPr="00D17DBA" w:rsidRDefault="00AB3FC6" w:rsidP="00E96346">
      <w:pPr>
        <w:pStyle w:val="FootnoteText"/>
      </w:pPr>
      <w:r w:rsidRPr="00D17DBA">
        <w:rPr>
          <w:rStyle w:val="FootnoteReference"/>
        </w:rPr>
        <w:footnoteRef/>
      </w:r>
      <w:r>
        <w:t>A gain in this case is t</w:t>
      </w:r>
      <w:r w:rsidRPr="00D17DBA">
        <w:t>he excess of the cost of the modification over the decrease in loan book value discounted at the Treasury rate in effect when the modified loans were disbursed.</w:t>
      </w:r>
      <w:r w:rsidR="00146C26">
        <w:t xml:space="preserve"> </w:t>
      </w:r>
      <w:r w:rsidRPr="00D17DBA">
        <w:t xml:space="preserve">(SFFAS 2, app. B, part I, B (4) and (5)) </w:t>
      </w:r>
    </w:p>
  </w:footnote>
  <w:footnote w:id="101">
    <w:p w14:paraId="231B5D39" w14:textId="7AE77F7A" w:rsidR="00AB3FC6" w:rsidRPr="00D17DBA" w:rsidRDefault="00AB3FC6" w:rsidP="00E96346">
      <w:pPr>
        <w:pStyle w:val="FootnoteText"/>
      </w:pPr>
      <w:r w:rsidRPr="00D17DBA">
        <w:rPr>
          <w:rStyle w:val="FootnoteReference"/>
        </w:rPr>
        <w:footnoteRef/>
      </w:r>
      <w:r w:rsidRPr="00D17DBA">
        <w:t>A modification means a federal government action, including new legislation or administrati</w:t>
      </w:r>
      <w:r>
        <w:t>ve</w:t>
      </w:r>
      <w:r w:rsidRPr="00D17DBA">
        <w:t xml:space="preserve"> action, which directly or indirectly alters the estimated subsidy cost and present value of outstanding loans or the liability of loan guarantees. (SFFAS 2, par</w:t>
      </w:r>
      <w:r>
        <w:t>a</w:t>
      </w:r>
      <w:r w:rsidRPr="00D17DBA">
        <w:t xml:space="preserve">. 41) </w:t>
      </w:r>
    </w:p>
  </w:footnote>
  <w:footnote w:id="102">
    <w:p w14:paraId="6BD4089B" w14:textId="5CC8E4A8" w:rsidR="00AB3FC6" w:rsidRPr="00D17DBA" w:rsidRDefault="00AB3FC6" w:rsidP="00E96346">
      <w:pPr>
        <w:pStyle w:val="FootnoteText"/>
      </w:pPr>
      <w:r w:rsidRPr="00D17DBA">
        <w:rPr>
          <w:rStyle w:val="FootnoteReference"/>
        </w:rPr>
        <w:footnoteRef/>
      </w:r>
      <w:r>
        <w:t>A loss in this case is t</w:t>
      </w:r>
      <w:r w:rsidRPr="00D17DBA">
        <w:t xml:space="preserve">he excess of the decrease in loan book value, discounted at the Treasury rate, over the cost of the modification in effect when the modified loans were disbursed. (SFFAS 2, app. B, part I, B (4) and (5)) </w:t>
      </w:r>
    </w:p>
  </w:footnote>
  <w:footnote w:id="103">
    <w:p w14:paraId="405B054A" w14:textId="417EDA50" w:rsidR="00AB3FC6" w:rsidRPr="00D17DBA" w:rsidRDefault="00AB3FC6" w:rsidP="00E96346">
      <w:pPr>
        <w:pStyle w:val="FootnoteText"/>
      </w:pPr>
      <w:r w:rsidRPr="00D17DBA">
        <w:rPr>
          <w:rStyle w:val="FootnoteReference"/>
        </w:rPr>
        <w:footnoteRef/>
      </w:r>
      <w:r>
        <w:t>A gain in this case is t</w:t>
      </w:r>
      <w:r w:rsidRPr="00D17DBA">
        <w:t xml:space="preserve">he excess of the cost of the modification over the increase in liability discounted at the Treasury rate in effect when the guaranteed loans were disbursed. (SFFAS 2, app. B, part III D (4) and (5)) </w:t>
      </w:r>
    </w:p>
  </w:footnote>
  <w:footnote w:id="104">
    <w:p w14:paraId="7EE6BFC5" w14:textId="0EFAF2EA" w:rsidR="00AB3FC6" w:rsidRPr="00D17DBA" w:rsidRDefault="00AB3FC6" w:rsidP="00E96346">
      <w:pPr>
        <w:pStyle w:val="FootnoteText"/>
      </w:pPr>
      <w:r w:rsidRPr="00D17DBA">
        <w:rPr>
          <w:rStyle w:val="FootnoteReference"/>
        </w:rPr>
        <w:footnoteRef/>
      </w:r>
      <w:r>
        <w:t>A loss in this case is t</w:t>
      </w:r>
      <w:r w:rsidRPr="00D17DBA">
        <w:t xml:space="preserve">he excess of the increase in liability, discounted at the Treasury rate, over the cost of the modification. (SFFAS 2, app. B, part III D (4) and (5)) </w:t>
      </w:r>
    </w:p>
  </w:footnote>
  <w:footnote w:id="105">
    <w:p w14:paraId="7557EB3D" w14:textId="5AFF0E1A" w:rsidR="00AB3FC6" w:rsidRDefault="00AB3FC6" w:rsidP="00E96346">
      <w:pPr>
        <w:pStyle w:val="FootnoteText"/>
      </w:pPr>
      <w:r>
        <w:rPr>
          <w:rStyle w:val="FootnoteReference"/>
        </w:rPr>
        <w:footnoteRef/>
      </w:r>
      <w:r>
        <w:t>Direct loans are reported net of an allowance for subsidy at present value, and loan guarantee liabilities are reported at present value.</w:t>
      </w:r>
      <w:r w:rsidR="00A47B50">
        <w:t xml:space="preserve"> (A-136, section II.3.8.8)</w:t>
      </w:r>
    </w:p>
  </w:footnote>
  <w:footnote w:id="106">
    <w:p w14:paraId="48E87AF8" w14:textId="6C0170BA" w:rsidR="00AB3FC6" w:rsidRDefault="00AB3FC6" w:rsidP="00E96346">
      <w:pPr>
        <w:pStyle w:val="FootnoteText"/>
      </w:pPr>
      <w:r>
        <w:rPr>
          <w:rStyle w:val="FootnoteReference"/>
        </w:rPr>
        <w:footnoteRef/>
      </w:r>
      <w:r>
        <w:t>Changes in legislation or credit policies include, for example, changes in borrowers’ eligibility, the levels of fees or interest rates charged to borrowers, the maturity terms of loans, and the percentage of private loans that are guaranteed.</w:t>
      </w:r>
    </w:p>
  </w:footnote>
  <w:footnote w:id="107">
    <w:p w14:paraId="19C26705" w14:textId="12B4BB5C" w:rsidR="00AB3FC6" w:rsidRDefault="00AB3FC6" w:rsidP="00E96346">
      <w:pPr>
        <w:pStyle w:val="FootnoteText"/>
      </w:pPr>
      <w:r w:rsidRPr="005C61FF">
        <w:rPr>
          <w:rStyle w:val="FootnoteReference"/>
        </w:rPr>
        <w:footnoteRef/>
      </w:r>
      <w:r w:rsidRPr="005C61FF">
        <w:t xml:space="preserve">Fees receivable do not include fees related to the administration of direct loan or loan guarantee programs, which should be reflected in </w:t>
      </w:r>
      <w:r w:rsidR="002B1AAC">
        <w:t xml:space="preserve">the </w:t>
      </w:r>
      <w:r w:rsidR="002B1AAC" w:rsidRPr="002B1AAC">
        <w:t xml:space="preserve">Accounts Receivable, Net </w:t>
      </w:r>
      <w:r w:rsidR="002B1AAC">
        <w:t>n</w:t>
      </w:r>
      <w:r w:rsidR="002B1AAC" w:rsidRPr="005C61FF">
        <w:t>ote</w:t>
      </w:r>
      <w:r w:rsidRPr="005C61FF">
        <w:t>.</w:t>
      </w:r>
    </w:p>
  </w:footnote>
  <w:footnote w:id="108">
    <w:p w14:paraId="51F6E602" w14:textId="05B4F243" w:rsidR="00AB3FC6" w:rsidRPr="00F6519B" w:rsidRDefault="00AB3FC6" w:rsidP="00E96346">
      <w:pPr>
        <w:pStyle w:val="FootnoteText"/>
      </w:pPr>
      <w:r>
        <w:rPr>
          <w:rStyle w:val="FootnoteReference"/>
        </w:rPr>
        <w:footnoteRef/>
      </w:r>
      <w:r>
        <w:t>The subsidy rate is the dollar amount of the total subsidy or a subsidy component as a percentage of the direct loans or loan guarantees obligated in the cohort.</w:t>
      </w:r>
    </w:p>
  </w:footnote>
  <w:footnote w:id="109">
    <w:p w14:paraId="07E2C79A" w14:textId="13A020BE" w:rsidR="00AB3FC6" w:rsidRDefault="00AB3FC6" w:rsidP="00E96346">
      <w:pPr>
        <w:pStyle w:val="FootnoteText"/>
      </w:pPr>
      <w:r>
        <w:rPr>
          <w:rStyle w:val="FootnoteReference"/>
        </w:rPr>
        <w:footnoteRef/>
      </w:r>
      <w:r>
        <w:t>Reconciliations are required for post-1991 direct loans and encouraged for pre-1992 direct loans.</w:t>
      </w:r>
    </w:p>
  </w:footnote>
  <w:footnote w:id="110">
    <w:p w14:paraId="22100F80" w14:textId="49E754AE" w:rsidR="00AB3FC6" w:rsidRDefault="00AB3FC6" w:rsidP="00E96346">
      <w:pPr>
        <w:pStyle w:val="FootnoteText"/>
      </w:pPr>
      <w:r>
        <w:rPr>
          <w:rStyle w:val="FootnoteReference"/>
        </w:rPr>
        <w:footnoteRef/>
      </w:r>
      <w:r>
        <w:t>Reconciliations are required for post-1991 loan guarantees and encouraged for pre-1992 loan guarantees.</w:t>
      </w:r>
    </w:p>
  </w:footnote>
  <w:footnote w:id="111">
    <w:p w14:paraId="4D45BFCD" w14:textId="441B497D" w:rsidR="00AB3FC6" w:rsidRPr="00D162BB" w:rsidRDefault="00AB3FC6" w:rsidP="00E96346">
      <w:pPr>
        <w:pStyle w:val="FootnoteText"/>
      </w:pPr>
      <w:r w:rsidRPr="0069533A">
        <w:rPr>
          <w:rStyle w:val="FootnoteReference"/>
        </w:rPr>
        <w:footnoteRef/>
      </w:r>
      <w:r w:rsidRPr="0069533A">
        <w:t xml:space="preserve">Opening balances are account balances that exist at the beginning of the reporting period. Opening balances are based upon the closing balances of the prior period </w:t>
      </w:r>
      <w:r w:rsidRPr="00D162BB">
        <w:t>and reflect the effects of transactions and events of prior periods and accounting policies applied in the prior period. Opening balances also include matters requiring disclosure that existed at the beginning of the period, such as contingencies and commitments. (SFFAS 3, par</w:t>
      </w:r>
      <w:r>
        <w:t>a</w:t>
      </w:r>
      <w:r w:rsidRPr="00D162BB">
        <w:t>. 26)</w:t>
      </w:r>
      <w:r w:rsidRPr="00D162BB">
        <w:rPr>
          <w:color w:val="000000"/>
          <w14:textFill>
            <w14:solidFill>
              <w14:srgbClr w14:val="000000">
                <w14:lumMod w14:val="75000"/>
              </w14:srgbClr>
            </w14:solidFill>
          </w14:textFill>
        </w:rPr>
        <w:t xml:space="preserve"> </w:t>
      </w:r>
    </w:p>
  </w:footnote>
  <w:footnote w:id="112">
    <w:p w14:paraId="07DBFD8F" w14:textId="1F14DB28" w:rsidR="00AB3FC6" w:rsidRPr="0069533A" w:rsidRDefault="00AB3FC6" w:rsidP="00721F04">
      <w:pPr>
        <w:spacing w:line="240" w:lineRule="auto"/>
        <w:rPr>
          <w:rFonts w:cs="Arial"/>
          <w:sz w:val="18"/>
          <w:szCs w:val="18"/>
        </w:rPr>
      </w:pPr>
      <w:r w:rsidRPr="00E9779A">
        <w:rPr>
          <w:rStyle w:val="FootnoteReference"/>
          <w:rFonts w:ascii="Arial" w:hAnsi="Arial" w:cs="Arial"/>
          <w:sz w:val="18"/>
          <w:szCs w:val="18"/>
        </w:rPr>
        <w:footnoteRef/>
      </w:r>
      <w:r w:rsidRPr="00E9779A">
        <w:rPr>
          <w:rFonts w:ascii="Arial" w:hAnsi="Arial" w:cs="Arial"/>
          <w:sz w:val="18"/>
          <w:szCs w:val="18"/>
        </w:rPr>
        <w:t>An unreserved assertion is an unconditional statement. (SFFAS 3, par</w:t>
      </w:r>
      <w:r>
        <w:rPr>
          <w:rFonts w:ascii="Arial" w:hAnsi="Arial" w:cs="Arial"/>
          <w:sz w:val="18"/>
          <w:szCs w:val="18"/>
        </w:rPr>
        <w:t>a</w:t>
      </w:r>
      <w:r w:rsidRPr="00E9779A">
        <w:rPr>
          <w:rFonts w:ascii="Arial" w:hAnsi="Arial" w:cs="Arial"/>
          <w:sz w:val="18"/>
          <w:szCs w:val="18"/>
        </w:rPr>
        <w:t>. 26) The audited entity should establish clear policies and procedures for determining when and how the unreserved assertion will be made and communicated. See SFFAS 48, para. A31.</w:t>
      </w:r>
      <w:r w:rsidRPr="005425ED" w:rsidDel="0069533A">
        <w:t xml:space="preserve"> </w:t>
      </w:r>
    </w:p>
  </w:footnote>
  <w:footnote w:id="113">
    <w:p w14:paraId="1D9B0183" w14:textId="32DEF6A6" w:rsidR="00AB3FC6" w:rsidRPr="00D17DBA" w:rsidRDefault="00AB3FC6" w:rsidP="00E96346">
      <w:pPr>
        <w:pStyle w:val="FootnoteText"/>
      </w:pPr>
      <w:r w:rsidRPr="00D162BB">
        <w:rPr>
          <w:rStyle w:val="FootnoteReference"/>
        </w:rPr>
        <w:footnoteRef/>
      </w:r>
      <w:r w:rsidRPr="00D162BB">
        <w:t>Deemed cost is the amount used as a surro</w:t>
      </w:r>
      <w:r w:rsidRPr="0074499C">
        <w:t>gate for initial amounts that otherwise would be required to establish opening bal</w:t>
      </w:r>
      <w:r w:rsidRPr="00A37A46">
        <w:t xml:space="preserve">ances. (SFFAS </w:t>
      </w:r>
      <w:r w:rsidRPr="00D17DBA">
        <w:t>3, par</w:t>
      </w:r>
      <w:r>
        <w:t>a</w:t>
      </w:r>
      <w:r w:rsidRPr="00D17DBA">
        <w:t xml:space="preserve">. </w:t>
      </w:r>
      <w:r>
        <w:t>2</w:t>
      </w:r>
      <w:r w:rsidRPr="00D17DBA">
        <w:t>6)</w:t>
      </w:r>
    </w:p>
  </w:footnote>
  <w:footnote w:id="114">
    <w:p w14:paraId="5E95B8A8" w14:textId="45DB2921" w:rsidR="00AB3FC6" w:rsidRPr="00D51D9C" w:rsidRDefault="00AB3FC6" w:rsidP="00E96346">
      <w:pPr>
        <w:pStyle w:val="FootnoteText"/>
      </w:pPr>
      <w:r w:rsidRPr="00D17DBA">
        <w:rPr>
          <w:rStyle w:val="FootnoteReference"/>
        </w:rPr>
        <w:footnoteRef/>
      </w:r>
      <w:r w:rsidRPr="00D17DBA">
        <w:t>The</w:t>
      </w:r>
      <w:r>
        <w:t xml:space="preserve"> standard price is the</w:t>
      </w:r>
      <w:r w:rsidRPr="00D17DBA">
        <w:t xml:space="preserve"> latest known representative acquisition cost plus authorized cost recovery rate for each item of inventory and related property. This is established annually and is often referred to as selling price. Selling price and fair value may or may not be identical due to the intragovernmental nature of some sales. (SFFAS 3, par</w:t>
      </w:r>
      <w:r>
        <w:t>a</w:t>
      </w:r>
      <w:r w:rsidRPr="00D17DBA">
        <w:t>. 26</w:t>
      </w:r>
      <w:r>
        <w:t>a</w:t>
      </w:r>
      <w:r w:rsidRPr="00D17DBA">
        <w:t>)</w:t>
      </w:r>
    </w:p>
  </w:footnote>
  <w:footnote w:id="115">
    <w:p w14:paraId="30D9FC78" w14:textId="709E0512" w:rsidR="00AB3FC6" w:rsidRPr="00D51D9C" w:rsidRDefault="00AB3FC6" w:rsidP="00E96346">
      <w:pPr>
        <w:pStyle w:val="FootnoteText"/>
      </w:pPr>
      <w:r w:rsidRPr="0074499C">
        <w:rPr>
          <w:rStyle w:val="FootnoteReference"/>
        </w:rPr>
        <w:footnoteRef/>
      </w:r>
      <w:r w:rsidRPr="0074499C">
        <w:t>Fair value is the amount at which an asset or liability could be exchanged in current transaction between willing parties, other than in a forced or liquidation sale. (SFFAC 7, par</w:t>
      </w:r>
      <w:r>
        <w:t>a</w:t>
      </w:r>
      <w:r w:rsidRPr="0074499C">
        <w:t>. 38)</w:t>
      </w:r>
      <w:r w:rsidRPr="00D17DBA">
        <w:rPr>
          <w:color w:val="000000"/>
          <w14:textFill>
            <w14:solidFill>
              <w14:srgbClr w14:val="000000">
                <w14:lumMod w14:val="75000"/>
              </w14:srgbClr>
            </w14:solidFill>
          </w14:textFill>
        </w:rPr>
        <w:t xml:space="preserve"> </w:t>
      </w:r>
    </w:p>
  </w:footnote>
  <w:footnote w:id="116">
    <w:p w14:paraId="35B74F9A" w14:textId="146363AC" w:rsidR="00AB3FC6" w:rsidRPr="00D51D9C" w:rsidRDefault="00AB3FC6" w:rsidP="00E96346">
      <w:pPr>
        <w:pStyle w:val="FootnoteText"/>
      </w:pPr>
      <w:r w:rsidRPr="0074499C">
        <w:rPr>
          <w:rStyle w:val="FootnoteReference"/>
        </w:rPr>
        <w:footnoteRef/>
      </w:r>
      <w:r w:rsidRPr="0074499C">
        <w:t>The Latest Acquisition Cost Method provides that all like units that are held be valued at the invoice price</w:t>
      </w:r>
      <w:r w:rsidRPr="00A37A46">
        <w:t xml:space="preserve"> of the most recent like item purchased, less any discounts, plus any additional costs incurred to bring the item to a form and location suitable for its intended use. </w:t>
      </w:r>
      <w:r>
        <w:t>(</w:t>
      </w:r>
      <w:r w:rsidRPr="00D17DBA">
        <w:rPr>
          <w:i/>
        </w:rPr>
        <w:t xml:space="preserve">FASAB Handbook </w:t>
      </w:r>
      <w:r w:rsidRPr="009A3F7D">
        <w:t>glossary</w:t>
      </w:r>
      <w:r>
        <w:t>)</w:t>
      </w:r>
    </w:p>
  </w:footnote>
  <w:footnote w:id="117">
    <w:p w14:paraId="54758FC6" w14:textId="46536F69" w:rsidR="00AB3FC6" w:rsidRPr="00D51D9C" w:rsidRDefault="00AB3FC6" w:rsidP="00E96346">
      <w:pPr>
        <w:pStyle w:val="FootnoteText"/>
      </w:pPr>
      <w:r w:rsidRPr="0074499C">
        <w:rPr>
          <w:rStyle w:val="FootnoteReference"/>
        </w:rPr>
        <w:footnoteRef/>
      </w:r>
      <w:r w:rsidRPr="0074499C">
        <w:t>Replacement cost is the amount required for an entity to replace the remaining service potential of an existing asset in a current transaction at the reporting date, including the amount that the entity would receive from disposing of the asset at the end of its useful life. (SFFAC 7, par</w:t>
      </w:r>
      <w:r>
        <w:t>a</w:t>
      </w:r>
      <w:r w:rsidRPr="0074499C">
        <w:t>. 46)</w:t>
      </w:r>
      <w:r w:rsidRPr="00313D22">
        <w:t xml:space="preserve"> </w:t>
      </w:r>
    </w:p>
  </w:footnote>
  <w:footnote w:id="118">
    <w:p w14:paraId="3D198E0D" w14:textId="3746679D" w:rsidR="00AB3FC6" w:rsidRPr="00D17DBA" w:rsidRDefault="00AB3FC6" w:rsidP="00E96346">
      <w:pPr>
        <w:pStyle w:val="FootnoteText"/>
      </w:pPr>
      <w:r w:rsidRPr="00D51D9C">
        <w:rPr>
          <w:rStyle w:val="FootnoteReference"/>
        </w:rPr>
        <w:footnoteRef/>
      </w:r>
      <w:r w:rsidRPr="0074499C">
        <w:t xml:space="preserve">Items held for remanufacture are in the process of (or awaiting) inspection, disassembly, evaluation, cleaning, rebuilding, refurbishing and/or restoration to serviceable or technologically updated/upgraded condition. </w:t>
      </w:r>
      <w:r w:rsidRPr="00A37A46">
        <w:t>Items may consist of direct materials (including repairable parts and subassemblies, also referred to as carcasses at the Department of Defense) and work-in-process (including labor costs). (</w:t>
      </w:r>
      <w:r w:rsidRPr="00D17DBA">
        <w:t>FASAB Interpretation No. 7, par</w:t>
      </w:r>
      <w:r>
        <w:t>a</w:t>
      </w:r>
      <w:r w:rsidRPr="00D17DBA">
        <w:t>. 7)</w:t>
      </w:r>
    </w:p>
  </w:footnote>
  <w:footnote w:id="119">
    <w:p w14:paraId="186B4A83" w14:textId="0FE3B83E" w:rsidR="00AB3FC6" w:rsidRPr="00313D22" w:rsidRDefault="00AB3FC6" w:rsidP="00E96346">
      <w:pPr>
        <w:pStyle w:val="FootnoteText"/>
      </w:pPr>
      <w:r w:rsidRPr="00313D22">
        <w:rPr>
          <w:rStyle w:val="FootnoteReference"/>
        </w:rPr>
        <w:footnoteRef/>
      </w:r>
      <w:r w:rsidRPr="00D51D9C">
        <w:t>Deemed cost is the amount used as a su</w:t>
      </w:r>
      <w:r w:rsidRPr="0074499C">
        <w:t>rrogate for initial amounts that otherwise would be required to establish opening balances. (SFFAS 3, par</w:t>
      </w:r>
      <w:r>
        <w:t>a</w:t>
      </w:r>
      <w:r w:rsidRPr="0074499C">
        <w:t>. 26)</w:t>
      </w:r>
    </w:p>
  </w:footnote>
  <w:footnote w:id="120">
    <w:p w14:paraId="6716497F" w14:textId="6FBAD512" w:rsidR="00AB3FC6" w:rsidRDefault="00AB3FC6" w:rsidP="00E96346">
      <w:pPr>
        <w:pStyle w:val="FootnoteText"/>
      </w:pPr>
      <w:r>
        <w:rPr>
          <w:rStyle w:val="FootnoteReference"/>
        </w:rPr>
        <w:footnoteRef/>
      </w:r>
      <w:r w:rsidRPr="00A84307">
        <w:t>Examples of factors to be considered in</w:t>
      </w:r>
      <w:r>
        <w:t xml:space="preserve"> </w:t>
      </w:r>
      <w:r w:rsidRPr="00A84307">
        <w:t>developing the criteria are (1) all relevant costs associated with holding these items</w:t>
      </w:r>
      <w:r>
        <w:t xml:space="preserve"> </w:t>
      </w:r>
      <w:r w:rsidRPr="00A84307">
        <w:t>(including the storage and handling costs)</w:t>
      </w:r>
      <w:r>
        <w:t>,</w:t>
      </w:r>
      <w:r w:rsidRPr="00A84307">
        <w:t xml:space="preserve"> (2) the expected replacement cost when needed</w:t>
      </w:r>
      <w:r>
        <w:t xml:space="preserve">, </w:t>
      </w:r>
      <w:r w:rsidRPr="00A84307">
        <w:t>(3) the time required to replenish operating materials and supplies</w:t>
      </w:r>
      <w:r>
        <w:t>,</w:t>
      </w:r>
      <w:r w:rsidRPr="00A84307">
        <w:t xml:space="preserve"> (4) the potential for</w:t>
      </w:r>
      <w:r>
        <w:t xml:space="preserve"> </w:t>
      </w:r>
      <w:r w:rsidRPr="00A84307">
        <w:t>deterioration or pilferage</w:t>
      </w:r>
      <w:r>
        <w:t>,</w:t>
      </w:r>
      <w:r w:rsidRPr="00A84307">
        <w:t xml:space="preserve"> and (5) the likelihood that a supply of the item will be available in</w:t>
      </w:r>
      <w:r>
        <w:t xml:space="preserve"> </w:t>
      </w:r>
      <w:r w:rsidRPr="00A84307">
        <w:t>the future.</w:t>
      </w:r>
    </w:p>
  </w:footnote>
  <w:footnote w:id="121">
    <w:p w14:paraId="3F9C21BD" w14:textId="5530CB7D" w:rsidR="00D82B90" w:rsidRDefault="00D82B90" w:rsidP="00E96346">
      <w:pPr>
        <w:pStyle w:val="FootnoteText"/>
      </w:pPr>
      <w:r>
        <w:rPr>
          <w:rStyle w:val="FootnoteReference"/>
        </w:rPr>
        <w:footnoteRef/>
      </w:r>
      <w:r>
        <w:t>C</w:t>
      </w:r>
      <w:r w:rsidRPr="00D82B90">
        <w:t>entral bank digital currencies are considered monetary instruments</w:t>
      </w:r>
      <w:r w:rsidR="00021165" w:rsidRPr="00021165">
        <w:t xml:space="preserve"> when applying the requirements of SFFAS 3</w:t>
      </w:r>
      <w:r w:rsidR="00F4687A">
        <w:t>,</w:t>
      </w:r>
      <w:r w:rsidR="00021165" w:rsidRPr="00021165">
        <w:t xml:space="preserve"> paragraphs 57</w:t>
      </w:r>
      <w:r w:rsidR="00F4687A">
        <w:t xml:space="preserve"> through</w:t>
      </w:r>
      <w:r w:rsidR="00021165" w:rsidRPr="00021165">
        <w:t>78</w:t>
      </w:r>
      <w:r>
        <w:t>. (</w:t>
      </w:r>
      <w:r w:rsidR="00021165" w:rsidRPr="00021165">
        <w:t>TB 2024-1, para. 16</w:t>
      </w:r>
      <w:r>
        <w:t>)</w:t>
      </w:r>
    </w:p>
  </w:footnote>
  <w:footnote w:id="122">
    <w:p w14:paraId="552E1549" w14:textId="7F3801D1" w:rsidR="005F7B03" w:rsidRDefault="005F7B03">
      <w:pPr>
        <w:pStyle w:val="FootnoteText"/>
      </w:pPr>
      <w:r>
        <w:rPr>
          <w:rStyle w:val="FootnoteReference"/>
        </w:rPr>
        <w:footnoteRef/>
      </w:r>
      <w:r>
        <w:t>D</w:t>
      </w:r>
      <w:r w:rsidRPr="005F7B03">
        <w:t>igital assets</w:t>
      </w:r>
      <w:r>
        <w:t xml:space="preserve"> other than central bank digital currencies</w:t>
      </w:r>
      <w:r w:rsidRPr="005F7B03">
        <w:t xml:space="preserve"> </w:t>
      </w:r>
      <w:r>
        <w:t>are</w:t>
      </w:r>
      <w:r w:rsidRPr="005F7B03">
        <w:t xml:space="preserve"> nonmonetary property</w:t>
      </w:r>
      <w:r>
        <w:t>. (TB 2024-1, para. 16)</w:t>
      </w:r>
    </w:p>
  </w:footnote>
  <w:footnote w:id="123">
    <w:p w14:paraId="29CC834B" w14:textId="4BFB6AD7" w:rsidR="005F7B03" w:rsidRDefault="005F7B03">
      <w:pPr>
        <w:pStyle w:val="FootnoteText"/>
      </w:pPr>
      <w:r>
        <w:rPr>
          <w:rStyle w:val="FootnoteReference"/>
        </w:rPr>
        <w:footnoteRef/>
      </w:r>
      <w:r>
        <w:t>For guidance on digital asset measurement, see TB 2024-1, paras. 19</w:t>
      </w:r>
      <w:r w:rsidR="00A03DBA">
        <w:t xml:space="preserve"> through </w:t>
      </w:r>
      <w:r>
        <w:t>26.</w:t>
      </w:r>
    </w:p>
  </w:footnote>
  <w:footnote w:id="124">
    <w:p w14:paraId="225F4016" w14:textId="37F7CEAD" w:rsidR="00F01E66" w:rsidRDefault="00F01E66">
      <w:pPr>
        <w:pStyle w:val="FootnoteText"/>
      </w:pPr>
      <w:r>
        <w:rPr>
          <w:rStyle w:val="FootnoteReference"/>
        </w:rPr>
        <w:footnoteRef/>
      </w:r>
      <w:r w:rsidRPr="00F01E66">
        <w:t>For valued property, the entity that operates a central fund is responsible for the disclosures.</w:t>
      </w:r>
      <w:r>
        <w:t xml:space="preserve"> </w:t>
      </w:r>
      <w:r w:rsidRPr="00F01E66">
        <w:t>For non-valued property, the entity that takes custody and subsequently manages and stores the property is responsible for the disclosures.</w:t>
      </w:r>
      <w:r>
        <w:t xml:space="preserve"> (A-136, section II.3.8.9)</w:t>
      </w:r>
    </w:p>
  </w:footnote>
  <w:footnote w:id="125">
    <w:p w14:paraId="76342A02" w14:textId="073E95F9" w:rsidR="00D9480A" w:rsidRDefault="00D9480A">
      <w:pPr>
        <w:pStyle w:val="FootnoteText"/>
      </w:pPr>
      <w:r>
        <w:rPr>
          <w:rStyle w:val="FootnoteReference"/>
        </w:rPr>
        <w:footnoteRef/>
      </w:r>
      <w:r w:rsidRPr="00D9480A">
        <w:t>For guidance on digital asset measurement, see TB 2024-1, paras. 19</w:t>
      </w:r>
      <w:r w:rsidR="00255DB5">
        <w:t xml:space="preserve"> through </w:t>
      </w:r>
      <w:r w:rsidRPr="00D9480A">
        <w:t>26.</w:t>
      </w:r>
    </w:p>
  </w:footnote>
  <w:footnote w:id="126">
    <w:p w14:paraId="5D0E7908" w14:textId="54AA834D" w:rsidR="00AB3FC6" w:rsidRPr="00D17DBA" w:rsidRDefault="00AB3FC6" w:rsidP="00E96346">
      <w:pPr>
        <w:pStyle w:val="FootnoteText"/>
        <w:rPr>
          <w:sz w:val="16"/>
        </w:rPr>
      </w:pPr>
      <w:r w:rsidRPr="00313D22">
        <w:rPr>
          <w:rStyle w:val="FootnoteReference"/>
        </w:rPr>
        <w:footnoteRef/>
      </w:r>
      <w:r w:rsidRPr="0074499C">
        <w:t>The loss amount is the difference between the contract price and the net realizable value of the commodities.</w:t>
      </w:r>
      <w:r>
        <w:t xml:space="preserve"> </w:t>
      </w:r>
      <w:r w:rsidRPr="0074499C">
        <w:t>(SFFAS 3, par</w:t>
      </w:r>
      <w:r>
        <w:t>a</w:t>
      </w:r>
      <w:r w:rsidRPr="0074499C">
        <w:t xml:space="preserve">. 103) </w:t>
      </w:r>
    </w:p>
  </w:footnote>
  <w:footnote w:id="127">
    <w:p w14:paraId="6D8AE744" w14:textId="77777777" w:rsidR="00AB3FC6" w:rsidRPr="0084127C" w:rsidRDefault="00AB3FC6" w:rsidP="00E96346">
      <w:pPr>
        <w:pStyle w:val="FootnoteText"/>
      </w:pPr>
      <w:r w:rsidRPr="0084127C">
        <w:rPr>
          <w:rStyle w:val="FootnoteReference"/>
        </w:rPr>
        <w:footnoteRef/>
      </w:r>
      <w:r w:rsidRPr="0084127C">
        <w:t>Useful life is the normal operating life in terms of utility to the owner.</w:t>
      </w:r>
    </w:p>
  </w:footnote>
  <w:footnote w:id="128">
    <w:p w14:paraId="35385DE3" w14:textId="070C1919" w:rsidR="0076635F" w:rsidRDefault="0076635F" w:rsidP="00E96346">
      <w:pPr>
        <w:pStyle w:val="FootnoteText"/>
      </w:pPr>
      <w:r>
        <w:rPr>
          <w:rStyle w:val="FootnoteReference"/>
        </w:rPr>
        <w:footnoteRef/>
      </w:r>
      <w:r>
        <w:t>The total amount of right-to-use lease assets</w:t>
      </w:r>
      <w:r w:rsidR="003F4D92">
        <w:t>,</w:t>
      </w:r>
      <w:r>
        <w:t xml:space="preserve"> and the related accumulated amortization, should be disclosed separately from PP&amp;E assets. (SFFAS 54, para. 54.b) (e</w:t>
      </w:r>
      <w:r w:rsidR="0025278A">
        <w:t>.</w:t>
      </w:r>
      <w:r>
        <w:t xml:space="preserve">g., discrete line(s) for right-to-use lease assets in a table showing the components of PP&amp;E that total to the PP&amp;E presented on the balance sheet).  </w:t>
      </w:r>
    </w:p>
  </w:footnote>
  <w:footnote w:id="129">
    <w:p w14:paraId="04D6FE76" w14:textId="2DF1C73C" w:rsidR="00AB3FC6" w:rsidRPr="005425ED" w:rsidRDefault="00AB3FC6" w:rsidP="00984623">
      <w:pPr>
        <w:autoSpaceDE w:val="0"/>
        <w:autoSpaceDN w:val="0"/>
        <w:spacing w:after="0" w:line="240" w:lineRule="auto"/>
        <w:contextualSpacing/>
        <w:rPr>
          <w:rFonts w:ascii="Arial Unicode MS" w:eastAsia="Arial Unicode MS" w:hAnsi="Arial Unicode MS"/>
          <w:sz w:val="20"/>
          <w:szCs w:val="20"/>
        </w:rPr>
      </w:pPr>
      <w:r w:rsidRPr="008E261A">
        <w:rPr>
          <w:rStyle w:val="FootnoteReference"/>
          <w:rFonts w:ascii="Arial" w:eastAsia="Arial Unicode MS" w:hAnsi="Arial" w:cs="Arial"/>
          <w:sz w:val="18"/>
          <w:szCs w:val="18"/>
        </w:rPr>
        <w:footnoteRef/>
      </w:r>
      <w:r w:rsidRPr="008E261A">
        <w:rPr>
          <w:rFonts w:ascii="Arial" w:eastAsia="Arial Unicode MS" w:hAnsi="Arial" w:cs="Arial"/>
          <w:sz w:val="18"/>
          <w:szCs w:val="18"/>
        </w:rPr>
        <w:t>Land rights are interests and privileges held by the entity in land owned by others, such as easements, water and water power rights, diversion rights, submersion rights, rights-of-way, and other like interests in land. (SFFAS 6, para. 18</w:t>
      </w:r>
      <w:r w:rsidR="007C512C">
        <w:rPr>
          <w:rFonts w:ascii="Arial" w:eastAsia="Arial Unicode MS" w:hAnsi="Arial" w:cs="Arial"/>
          <w:sz w:val="18"/>
          <w:szCs w:val="18"/>
        </w:rPr>
        <w:t>, fn 18</w:t>
      </w:r>
      <w:r w:rsidRPr="008E261A">
        <w:rPr>
          <w:rFonts w:ascii="Arial" w:eastAsia="Arial Unicode MS" w:hAnsi="Arial" w:cs="Arial"/>
          <w:sz w:val="18"/>
          <w:szCs w:val="18"/>
        </w:rPr>
        <w:t>)</w:t>
      </w:r>
    </w:p>
  </w:footnote>
  <w:footnote w:id="130">
    <w:p w14:paraId="6F9C1158" w14:textId="6B453646" w:rsidR="00AB3FC6" w:rsidRDefault="00AB3FC6" w:rsidP="00E96346">
      <w:pPr>
        <w:pStyle w:val="FootnoteText"/>
      </w:pPr>
      <w:r>
        <w:rPr>
          <w:rStyle w:val="FootnoteReference"/>
        </w:rPr>
        <w:footnoteRef/>
      </w:r>
      <w:r>
        <w:t xml:space="preserve">A contract or agreement that (a) transfers ownership of the underlying asset to the lessee by the end of the contract or agreement and (b) does not contain options to terminate (SFFAS 54, </w:t>
      </w:r>
      <w:r w:rsidR="004B6E4A">
        <w:t>para.</w:t>
      </w:r>
      <w:r>
        <w:t xml:space="preserve"> 14–19), but may contain an availability</w:t>
      </w:r>
      <w:r w:rsidR="00003F2B">
        <w:t>-</w:t>
      </w:r>
      <w:r>
        <w:t>of</w:t>
      </w:r>
      <w:r w:rsidR="00003F2B">
        <w:t>-</w:t>
      </w:r>
      <w:r>
        <w:t xml:space="preserve">funds or cancellation clause that is not probable of being exercised (SFFAS 54, </w:t>
      </w:r>
      <w:r w:rsidR="004B6E4A">
        <w:t>para.</w:t>
      </w:r>
      <w:r>
        <w:t xml:space="preserve">19.c), should be </w:t>
      </w:r>
      <w:r w:rsidRPr="00ED4345">
        <w:t>reported as a purchase of that asset by the lessee</w:t>
      </w:r>
      <w:r>
        <w:t xml:space="preserve"> or as a financed sale of the asset by the lessor</w:t>
      </w:r>
      <w:r w:rsidR="00ED2CED">
        <w:t>.</w:t>
      </w:r>
      <w:r>
        <w:t xml:space="preserve"> (SFFAS 54, para. 25)</w:t>
      </w:r>
    </w:p>
  </w:footnote>
  <w:footnote w:id="131">
    <w:p w14:paraId="7481457C" w14:textId="0B3EC67B" w:rsidR="00AB3FC6" w:rsidRDefault="00AB3FC6" w:rsidP="00E96346">
      <w:pPr>
        <w:pStyle w:val="FootnoteText"/>
      </w:pPr>
      <w:r w:rsidRPr="00C70541">
        <w:rPr>
          <w:rStyle w:val="FootnoteReference"/>
        </w:rPr>
        <w:footnoteRef/>
      </w:r>
      <w:r w:rsidRPr="00C70541">
        <w:t>For entities operating as business-type activities, Stewardship PP&amp;E is categorized as PP&amp;E. (SFFAS 6, para. 24)</w:t>
      </w:r>
    </w:p>
  </w:footnote>
  <w:footnote w:id="132">
    <w:p w14:paraId="61999FA7" w14:textId="669DADAD" w:rsidR="0091269F" w:rsidRDefault="0091269F" w:rsidP="00E96346">
      <w:pPr>
        <w:pStyle w:val="FootnoteText"/>
      </w:pPr>
      <w:r>
        <w:rPr>
          <w:rStyle w:val="FootnoteReference"/>
        </w:rPr>
        <w:footnoteRef/>
      </w:r>
      <w:r w:rsidR="00064CF6" w:rsidRPr="00064CF6">
        <w:t>Leasehold improvements are additions, alterations, remodeling, renovations, or other changes to a leased property that either extend the useful life of the existing property or enlarge or improve its capacity and are paid for (financed) by the lessee. (SFFAS 54, para. 11) Leasehold improvements are accounted for by the lessee as part of the lessee’s PP&amp;E.</w:t>
      </w:r>
    </w:p>
  </w:footnote>
  <w:footnote w:id="133">
    <w:p w14:paraId="46ECB7EE" w14:textId="77777777" w:rsidR="00AB3FC6" w:rsidRPr="00680642" w:rsidRDefault="00AB3FC6" w:rsidP="00E96346">
      <w:pPr>
        <w:pStyle w:val="FootnoteText"/>
      </w:pPr>
      <w:r w:rsidRPr="00313D22">
        <w:rPr>
          <w:rStyle w:val="FootnoteReference"/>
        </w:rPr>
        <w:footnoteRef/>
      </w:r>
      <w:r w:rsidRPr="0074499C">
        <w:t>A business-type activity is defined as a significantly self-sustaining activity that finances its continuing cycle of operations through the collection of exchange revenue. (SFFAS</w:t>
      </w:r>
      <w:r w:rsidRPr="00680642">
        <w:t xml:space="preserve"> 6, par</w:t>
      </w:r>
      <w:r>
        <w:t>a</w:t>
      </w:r>
      <w:r w:rsidRPr="00680642">
        <w:t xml:space="preserve">. 23, fn </w:t>
      </w:r>
      <w:r>
        <w:t>27</w:t>
      </w:r>
      <w:r w:rsidRPr="00680642">
        <w:t>)</w:t>
      </w:r>
    </w:p>
  </w:footnote>
  <w:footnote w:id="134">
    <w:p w14:paraId="0258EEBF" w14:textId="77777777" w:rsidR="00AB3FC6" w:rsidRPr="00680642" w:rsidRDefault="00AB3FC6" w:rsidP="00E96346">
      <w:pPr>
        <w:pStyle w:val="FootnoteText"/>
      </w:pPr>
      <w:r w:rsidRPr="00680642">
        <w:rPr>
          <w:rStyle w:val="FootnoteReference"/>
        </w:rPr>
        <w:footnoteRef/>
      </w:r>
      <w:r w:rsidRPr="00680642">
        <w:t>The composite methodology is a method of calculating depreciation that applies a single average rate to a number of heterogeneous assets that have dissimilar characteristics and service lives. The group methodology is a method of calculating depreciation that applies a single, average rate to a number of homogenous assets having similar characteristics and service lives. (SFFAS 6, par</w:t>
      </w:r>
      <w:r>
        <w:t>a</w:t>
      </w:r>
      <w:r w:rsidRPr="00680642">
        <w:t xml:space="preserve">. 35, fn 42a) </w:t>
      </w:r>
    </w:p>
  </w:footnote>
  <w:footnote w:id="135">
    <w:p w14:paraId="28CBBB3A" w14:textId="37FE14D5" w:rsidR="00AB3FC6" w:rsidRPr="00A76152" w:rsidRDefault="00AB3FC6" w:rsidP="008848DA">
      <w:pPr>
        <w:spacing w:after="0" w:line="240" w:lineRule="auto"/>
        <w:rPr>
          <w:rFonts w:ascii="Arial" w:hAnsi="Arial" w:cs="Arial"/>
        </w:rPr>
      </w:pPr>
      <w:r w:rsidRPr="00A76152">
        <w:rPr>
          <w:rStyle w:val="FootnoteReference"/>
          <w:rFonts w:ascii="Arial" w:hAnsi="Arial" w:cs="Arial"/>
          <w:sz w:val="18"/>
          <w:szCs w:val="18"/>
        </w:rPr>
        <w:footnoteRef/>
      </w:r>
      <w:r w:rsidRPr="00A76152">
        <w:rPr>
          <w:rFonts w:ascii="Arial" w:hAnsi="Arial" w:cs="Arial"/>
          <w:sz w:val="18"/>
          <w:szCs w:val="18"/>
        </w:rPr>
        <w:t xml:space="preserve">An unreserved assertion is an unconditional statement. (SFFAS </w:t>
      </w:r>
      <w:r>
        <w:rPr>
          <w:rFonts w:ascii="Arial" w:hAnsi="Arial" w:cs="Arial"/>
          <w:sz w:val="18"/>
          <w:szCs w:val="18"/>
        </w:rPr>
        <w:t>6</w:t>
      </w:r>
      <w:r w:rsidRPr="00A76152">
        <w:rPr>
          <w:rFonts w:ascii="Arial" w:hAnsi="Arial" w:cs="Arial"/>
          <w:sz w:val="18"/>
          <w:szCs w:val="18"/>
        </w:rPr>
        <w:t>, par</w:t>
      </w:r>
      <w:r>
        <w:rPr>
          <w:rFonts w:ascii="Arial" w:hAnsi="Arial" w:cs="Arial"/>
          <w:sz w:val="18"/>
          <w:szCs w:val="18"/>
        </w:rPr>
        <w:t>a</w:t>
      </w:r>
      <w:r w:rsidRPr="00A76152">
        <w:rPr>
          <w:rFonts w:ascii="Arial" w:hAnsi="Arial" w:cs="Arial"/>
          <w:sz w:val="18"/>
          <w:szCs w:val="18"/>
        </w:rPr>
        <w:t xml:space="preserve">. </w:t>
      </w:r>
      <w:r>
        <w:rPr>
          <w:rFonts w:ascii="Arial" w:hAnsi="Arial" w:cs="Arial"/>
          <w:sz w:val="18"/>
          <w:szCs w:val="18"/>
        </w:rPr>
        <w:t>40</w:t>
      </w:r>
      <w:r w:rsidRPr="00A76152">
        <w:rPr>
          <w:rFonts w:ascii="Arial" w:hAnsi="Arial" w:cs="Arial"/>
          <w:sz w:val="18"/>
          <w:szCs w:val="18"/>
        </w:rPr>
        <w:t>) The audited entity should establish clear policies and procedures for determining when and how the unreserved assertion will be made and communicated. See SFFAS 50, par</w:t>
      </w:r>
      <w:r>
        <w:rPr>
          <w:rFonts w:ascii="Arial" w:hAnsi="Arial" w:cs="Arial"/>
          <w:sz w:val="18"/>
          <w:szCs w:val="18"/>
        </w:rPr>
        <w:t>a</w:t>
      </w:r>
      <w:r w:rsidRPr="00A76152">
        <w:rPr>
          <w:rFonts w:ascii="Arial" w:hAnsi="Arial" w:cs="Arial"/>
          <w:sz w:val="18"/>
          <w:szCs w:val="18"/>
        </w:rPr>
        <w:t>. A83.</w:t>
      </w:r>
      <w:r w:rsidRPr="00A76152">
        <w:rPr>
          <w:rFonts w:ascii="Arial" w:hAnsi="Arial" w:cs="Arial"/>
        </w:rPr>
        <w:t xml:space="preserve"> </w:t>
      </w:r>
    </w:p>
  </w:footnote>
  <w:footnote w:id="136">
    <w:p w14:paraId="2ADA6F80" w14:textId="46FAAEA4" w:rsidR="00AB3FC6" w:rsidRPr="00680642" w:rsidRDefault="00AB3FC6" w:rsidP="00E96346">
      <w:pPr>
        <w:pStyle w:val="FootnoteText"/>
      </w:pPr>
      <w:r w:rsidRPr="003D762C">
        <w:rPr>
          <w:rStyle w:val="FootnoteReference"/>
        </w:rPr>
        <w:footnoteRef/>
      </w:r>
      <w:r w:rsidRPr="00313D22">
        <w:t>Deemed cost is an</w:t>
      </w:r>
      <w:r w:rsidRPr="00D51D9C">
        <w:t xml:space="preserve"> </w:t>
      </w:r>
      <w:r w:rsidRPr="0074499C">
        <w:t>amount used as a surrogate for initial amounts that otherwise would be required to establish opening balances. (</w:t>
      </w:r>
      <w:r w:rsidRPr="00680642">
        <w:t>SFFAS 6, par</w:t>
      </w:r>
      <w:r>
        <w:t>a</w:t>
      </w:r>
      <w:r w:rsidRPr="00680642">
        <w:t>. 40)</w:t>
      </w:r>
    </w:p>
  </w:footnote>
  <w:footnote w:id="137">
    <w:p w14:paraId="18F43A4C" w14:textId="3ECFA527" w:rsidR="00AB3FC6" w:rsidRPr="00D17DBA" w:rsidRDefault="00AB3FC6" w:rsidP="00E96346">
      <w:pPr>
        <w:pStyle w:val="FootnoteText"/>
      </w:pPr>
      <w:r w:rsidRPr="00680642">
        <w:rPr>
          <w:rStyle w:val="FootnoteReference"/>
        </w:rPr>
        <w:footnoteRef/>
      </w:r>
      <w:r w:rsidRPr="00680642">
        <w:t xml:space="preserve">SFFAS 47, </w:t>
      </w:r>
      <w:r w:rsidRPr="00680642">
        <w:rPr>
          <w:i/>
        </w:rPr>
        <w:t>Reporting Entity</w:t>
      </w:r>
      <w:r w:rsidRPr="00680642">
        <w:t>, provides that “component reporting entity” is used broadly to refer to a reporting entity within a larger reporting entity. Examples of component reporting entities include organizations such as executive departments and agencies. Component reporting entities would also include subcomponents that may themselves prepare GPFFRs. One example is a bureau that is within a larger department that prepares its own standalone GPFFR. (SFFAS 6, par</w:t>
      </w:r>
      <w:r>
        <w:t>a</w:t>
      </w:r>
      <w:r w:rsidRPr="00680642">
        <w:t xml:space="preserve">. </w:t>
      </w:r>
      <w:r w:rsidRPr="00A37A46">
        <w:t>40</w:t>
      </w:r>
      <w:r w:rsidR="005D79C3">
        <w:t xml:space="preserve">; </w:t>
      </w:r>
      <w:r w:rsidRPr="00D17DBA">
        <w:t>SFFAS 47, par</w:t>
      </w:r>
      <w:r>
        <w:t>a</w:t>
      </w:r>
      <w:r w:rsidRPr="00D17DBA">
        <w:t>. 10)</w:t>
      </w:r>
    </w:p>
  </w:footnote>
  <w:footnote w:id="138">
    <w:p w14:paraId="6C6D434F" w14:textId="77777777" w:rsidR="00AB3FC6" w:rsidRPr="00D17DBA" w:rsidRDefault="00AB3FC6" w:rsidP="00E96346">
      <w:pPr>
        <w:pStyle w:val="FootnoteText"/>
      </w:pPr>
      <w:r w:rsidRPr="00D17DBA">
        <w:rPr>
          <w:rStyle w:val="FootnoteReference"/>
        </w:rPr>
        <w:footnoteRef/>
      </w:r>
      <w:r w:rsidRPr="00D17DBA">
        <w:t>Other reasonable methods include latest acquisition cost and estimation methods based on information such as, but not limited to, budget, appropriations, engineering documents, contracts, or other reports reflecting amounts to be expended.</w:t>
      </w:r>
    </w:p>
  </w:footnote>
  <w:footnote w:id="139">
    <w:p w14:paraId="36BC1567" w14:textId="77777777" w:rsidR="00AB3FC6" w:rsidRPr="00E56848" w:rsidRDefault="00AB3FC6" w:rsidP="00E96346">
      <w:pPr>
        <w:pStyle w:val="FootnoteText"/>
      </w:pPr>
      <w:r w:rsidRPr="00E56848">
        <w:rPr>
          <w:rStyle w:val="FootnoteReference"/>
        </w:rPr>
        <w:footnoteRef/>
      </w:r>
      <w:r w:rsidRPr="00E56848">
        <w:t>Net remaining cost is the original cost of the asset less any accumulated depreciation/amortization to date (i.e., book value). (SFFAS 6, par</w:t>
      </w:r>
      <w:r>
        <w:t>a</w:t>
      </w:r>
      <w:r w:rsidRPr="00E56848">
        <w:t xml:space="preserve">. 41) </w:t>
      </w:r>
    </w:p>
  </w:footnote>
  <w:footnote w:id="140">
    <w:p w14:paraId="688DD2E1" w14:textId="4FE6A7E1" w:rsidR="00AB3FC6" w:rsidRPr="00A76152" w:rsidRDefault="00AB3FC6" w:rsidP="00984623">
      <w:pPr>
        <w:autoSpaceDE w:val="0"/>
        <w:autoSpaceDN w:val="0"/>
        <w:spacing w:after="0" w:line="240" w:lineRule="auto"/>
        <w:rPr>
          <w:rFonts w:ascii="Arial" w:hAnsi="Arial" w:cs="Arial"/>
          <w:sz w:val="20"/>
          <w:szCs w:val="20"/>
        </w:rPr>
      </w:pPr>
      <w:r w:rsidRPr="00A76152">
        <w:rPr>
          <w:rStyle w:val="FootnoteReference"/>
          <w:rFonts w:ascii="Arial" w:hAnsi="Arial" w:cs="Arial"/>
          <w:sz w:val="18"/>
          <w:szCs w:val="18"/>
        </w:rPr>
        <w:footnoteRef/>
      </w:r>
      <w:r w:rsidRPr="00A76152">
        <w:rPr>
          <w:rFonts w:ascii="Arial" w:hAnsi="Arial" w:cs="Arial"/>
          <w:sz w:val="18"/>
          <w:szCs w:val="18"/>
        </w:rPr>
        <w:t xml:space="preserve">The service utility of </w:t>
      </w:r>
      <w:r>
        <w:rPr>
          <w:rFonts w:ascii="Arial" w:hAnsi="Arial" w:cs="Arial"/>
          <w:sz w:val="18"/>
          <w:szCs w:val="18"/>
        </w:rPr>
        <w:t>PP&amp;E</w:t>
      </w:r>
      <w:r w:rsidRPr="00A76152">
        <w:rPr>
          <w:rFonts w:ascii="Arial" w:hAnsi="Arial" w:cs="Arial"/>
          <w:sz w:val="18"/>
          <w:szCs w:val="18"/>
        </w:rPr>
        <w:t xml:space="preserve"> is the usable capacity that at acquisition was expected to be used to provide service, as distinguished from the level of utilization, which is the portion of the usable capacity currently being used. (SFFAS 44, par</w:t>
      </w:r>
      <w:r>
        <w:rPr>
          <w:rFonts w:ascii="Arial" w:hAnsi="Arial" w:cs="Arial"/>
          <w:sz w:val="18"/>
          <w:szCs w:val="18"/>
        </w:rPr>
        <w:t>a</w:t>
      </w:r>
      <w:r w:rsidRPr="00A76152">
        <w:rPr>
          <w:rFonts w:ascii="Arial" w:hAnsi="Arial" w:cs="Arial"/>
          <w:sz w:val="18"/>
          <w:szCs w:val="18"/>
        </w:rPr>
        <w:t xml:space="preserve">. 9) </w:t>
      </w:r>
    </w:p>
  </w:footnote>
  <w:footnote w:id="141">
    <w:p w14:paraId="23DFE000" w14:textId="77777777" w:rsidR="00AB3FC6" w:rsidRPr="00D51D9C" w:rsidRDefault="00AB3FC6" w:rsidP="00E96346">
      <w:pPr>
        <w:pStyle w:val="FootnoteText"/>
      </w:pPr>
      <w:r w:rsidRPr="00313D22">
        <w:rPr>
          <w:rStyle w:val="FootnoteReference"/>
        </w:rPr>
        <w:footnoteRef/>
      </w:r>
      <w:r w:rsidRPr="00D51D9C">
        <w:t>The requirements of SFFAS 44 do not apply to internal use software. (SFFAS 44, par</w:t>
      </w:r>
      <w:r>
        <w:t>a</w:t>
      </w:r>
      <w:r w:rsidRPr="00D51D9C">
        <w:t>.</w:t>
      </w:r>
      <w:r>
        <w:t xml:space="preserve"> </w:t>
      </w:r>
      <w:r w:rsidRPr="00D51D9C">
        <w:t>7)</w:t>
      </w:r>
    </w:p>
  </w:footnote>
  <w:footnote w:id="142">
    <w:p w14:paraId="5EA126CE" w14:textId="46F13785" w:rsidR="00AB3FC6" w:rsidRPr="0074499C" w:rsidRDefault="00AB3FC6" w:rsidP="00E96346">
      <w:pPr>
        <w:pStyle w:val="FootnoteText"/>
      </w:pPr>
      <w:r w:rsidRPr="00D51D9C">
        <w:rPr>
          <w:rStyle w:val="FootnoteReference"/>
        </w:rPr>
        <w:footnoteRef/>
      </w:r>
      <w:r w:rsidRPr="0074499C">
        <w:t xml:space="preserve">Widely recognized methods for measuring impairment include the following: replacement, restoration, service units, deflated depreciated current cost, cash flow, and lower of </w:t>
      </w:r>
      <w:r>
        <w:t xml:space="preserve">(1) </w:t>
      </w:r>
      <w:r w:rsidRPr="0074499C">
        <w:t xml:space="preserve">net book value or </w:t>
      </w:r>
      <w:r>
        <w:t xml:space="preserve">(2) </w:t>
      </w:r>
      <w:r w:rsidRPr="0074499C">
        <w:t>higher of net realizable</w:t>
      </w:r>
      <w:r>
        <w:t xml:space="preserve"> value or value-in-use</w:t>
      </w:r>
      <w:r w:rsidRPr="0074499C">
        <w:t xml:space="preserve"> approach. (SFFAS 44, par</w:t>
      </w:r>
      <w:r>
        <w:t>a.</w:t>
      </w:r>
      <w:r w:rsidRPr="0074499C">
        <w:t xml:space="preserve"> 18. a–f) </w:t>
      </w:r>
    </w:p>
  </w:footnote>
  <w:footnote w:id="143">
    <w:p w14:paraId="675A9FA0" w14:textId="5327F412" w:rsidR="00AB3FC6" w:rsidRPr="00D17DBA" w:rsidRDefault="00AB3FC6" w:rsidP="00E96346">
      <w:pPr>
        <w:pStyle w:val="FootnoteText"/>
      </w:pPr>
      <w:r w:rsidRPr="00680642">
        <w:rPr>
          <w:rStyle w:val="FootnoteReference"/>
        </w:rPr>
        <w:footnoteRef/>
      </w:r>
      <w:r>
        <w:t>Per SFFAS 6,</w:t>
      </w:r>
      <w:r w:rsidRPr="00680642">
        <w:t xml:space="preserve"> </w:t>
      </w:r>
      <w:r w:rsidRPr="00D17DBA">
        <w:t>“</w:t>
      </w:r>
      <w:r>
        <w:t>PP&amp;E</w:t>
      </w:r>
      <w:r w:rsidRPr="00D17DBA">
        <w:t xml:space="preserve"> shall be removed from </w:t>
      </w:r>
      <w:r>
        <w:t>PP&amp;E</w:t>
      </w:r>
      <w:r w:rsidRPr="00D17DBA">
        <w:t xml:space="preserve"> accounts along with associated depreciation/amortization …</w:t>
      </w:r>
      <w:r w:rsidR="008C2E6E">
        <w:t xml:space="preserve"> </w:t>
      </w:r>
      <w:r w:rsidRPr="00D17DBA">
        <w:t>any difference in the book value of the PP&amp;E and its expected net realizable value shall be recognized as a gain or adjustment in the period of adjustment</w:t>
      </w:r>
      <w:r>
        <w:t>.</w:t>
      </w:r>
      <w:r w:rsidRPr="00D17DBA">
        <w:t>”</w:t>
      </w:r>
      <w:r>
        <w:t xml:space="preserve"> </w:t>
      </w:r>
      <w:r w:rsidRPr="00D17DBA">
        <w:t>(SFFAS 6, par</w:t>
      </w:r>
      <w:r>
        <w:t>as</w:t>
      </w:r>
      <w:r w:rsidRPr="00D17DBA">
        <w:t>. 38</w:t>
      </w:r>
      <w:r>
        <w:t>–</w:t>
      </w:r>
      <w:r w:rsidRPr="00D17DBA">
        <w:t>39</w:t>
      </w:r>
      <w:r>
        <w:t>;</w:t>
      </w:r>
      <w:r w:rsidRPr="00D17DBA">
        <w:t xml:space="preserve"> and </w:t>
      </w:r>
      <w:r>
        <w:t xml:space="preserve">FASAB </w:t>
      </w:r>
      <w:r w:rsidRPr="00D17DBA">
        <w:t xml:space="preserve">TR 14) </w:t>
      </w:r>
    </w:p>
  </w:footnote>
  <w:footnote w:id="144">
    <w:p w14:paraId="1AAAA175" w14:textId="77777777" w:rsidR="00AB3FC6" w:rsidRPr="00D17DBA" w:rsidRDefault="00AB3FC6" w:rsidP="00E96346">
      <w:pPr>
        <w:pStyle w:val="FootnoteText"/>
      </w:pPr>
      <w:r w:rsidRPr="00D17DBA">
        <w:rPr>
          <w:rStyle w:val="FootnoteReference"/>
        </w:rPr>
        <w:footnoteRef/>
      </w:r>
      <w:r w:rsidRPr="00D17DBA">
        <w:t xml:space="preserve">Recoveries should be accounted for in accordance with SFFAS 7, </w:t>
      </w:r>
      <w:r w:rsidRPr="00DA13F5">
        <w:t>Accounting for Revenue and Other Financing Sources and Concepts for Reconciling Budgetary and Financial Accounting</w:t>
      </w:r>
      <w:r w:rsidRPr="00D17DBA">
        <w:t>. (SFFAS 44, par</w:t>
      </w:r>
      <w:r>
        <w:t>a</w:t>
      </w:r>
      <w:r w:rsidRPr="00D17DBA">
        <w:t>. 25)</w:t>
      </w:r>
    </w:p>
  </w:footnote>
  <w:footnote w:id="145">
    <w:p w14:paraId="48736497" w14:textId="3EFFB06B" w:rsidR="00064CF6" w:rsidRDefault="00064CF6" w:rsidP="00E96346">
      <w:pPr>
        <w:pStyle w:val="FootnoteText"/>
      </w:pPr>
      <w:r>
        <w:rPr>
          <w:rStyle w:val="FootnoteReference"/>
        </w:rPr>
        <w:footnoteRef/>
      </w:r>
      <w:r w:rsidRPr="00064CF6">
        <w:t>This applies to “major classes” of PP&amp;E</w:t>
      </w:r>
      <w:r w:rsidR="008C2E6E">
        <w:t>,</w:t>
      </w:r>
      <w:r w:rsidRPr="00064CF6">
        <w:t xml:space="preserve"> which shall be determined by the entity (e.g., buildings and structures, furniture and fixtures, equipment, vehicles, land, leasehold improvements, etc.)</w:t>
      </w:r>
      <w:r w:rsidR="008C2E6E">
        <w:t>.</w:t>
      </w:r>
      <w:r w:rsidRPr="00064CF6">
        <w:t xml:space="preserve"> (SFFAS 6, para. 44; A-136</w:t>
      </w:r>
      <w:r w:rsidR="008C2E6E">
        <w:t>,</w:t>
      </w:r>
      <w:r w:rsidRPr="00064CF6">
        <w:t xml:space="preserve"> section II.3.8.10)</w:t>
      </w:r>
    </w:p>
  </w:footnote>
  <w:footnote w:id="146">
    <w:p w14:paraId="3E4E5F9F" w14:textId="4B9E0DDF" w:rsidR="00AB3FC6" w:rsidRDefault="00AB3FC6" w:rsidP="00E96346">
      <w:pPr>
        <w:pStyle w:val="FootnoteText"/>
      </w:pPr>
      <w:r>
        <w:rPr>
          <w:rStyle w:val="FootnoteReference"/>
        </w:rPr>
        <w:footnoteRef/>
      </w:r>
      <w:r>
        <w:t xml:space="preserve">For intragovernmental leases, lessors may also choose to disclose </w:t>
      </w:r>
      <w:r w:rsidRPr="00572AC7">
        <w:t>t</w:t>
      </w:r>
      <w:r>
        <w:t xml:space="preserve">he </w:t>
      </w:r>
      <w:r w:rsidRPr="00572AC7">
        <w:t>carrying amount of assets on lease by major classes of assets and the amount of related accumulated depreciation</w:t>
      </w:r>
      <w:r>
        <w:t xml:space="preserve">. However, if elected, this should be done separately from the assets under </w:t>
      </w:r>
      <w:r w:rsidR="008C2E6E">
        <w:t>non</w:t>
      </w:r>
      <w:r w:rsidR="00CA6257">
        <w:t>-</w:t>
      </w:r>
      <w:r>
        <w:t xml:space="preserve">federal leases. </w:t>
      </w:r>
    </w:p>
  </w:footnote>
  <w:footnote w:id="147">
    <w:p w14:paraId="5FB7285B" w14:textId="09870EF0" w:rsidR="00AB3FC6" w:rsidRDefault="00AB3FC6" w:rsidP="00E96346">
      <w:pPr>
        <w:pStyle w:val="FootnoteText"/>
      </w:pPr>
      <w:r>
        <w:rPr>
          <w:rStyle w:val="FootnoteReference"/>
        </w:rPr>
        <w:footnoteRef/>
      </w:r>
      <w:r>
        <w:t>See</w:t>
      </w:r>
      <w:r w:rsidR="008C2E6E">
        <w:t xml:space="preserve"> section</w:t>
      </w:r>
      <w:r>
        <w:t xml:space="preserve"> II.3.8.19- Leases below</w:t>
      </w:r>
      <w:r w:rsidR="008C2E6E">
        <w:t>.</w:t>
      </w:r>
    </w:p>
  </w:footnote>
  <w:footnote w:id="148">
    <w:p w14:paraId="2AACB703" w14:textId="1D54C862" w:rsidR="00AB3FC6" w:rsidRPr="005425ED" w:rsidRDefault="00AB3FC6" w:rsidP="00E96346">
      <w:pPr>
        <w:pStyle w:val="FootnoteText"/>
      </w:pPr>
      <w:r w:rsidRPr="008D2E46">
        <w:rPr>
          <w:rStyle w:val="FootnoteReference"/>
        </w:rPr>
        <w:footnoteRef/>
      </w:r>
      <w:r w:rsidRPr="008D2E46">
        <w:t>SFFAS 6, par</w:t>
      </w:r>
      <w:r>
        <w:t>a</w:t>
      </w:r>
      <w:r w:rsidRPr="008D2E46">
        <w:t>. 40, references the reporting entity’s unreserved assertion on whether the financial statements or</w:t>
      </w:r>
      <w:r w:rsidRPr="008D2E46">
        <w:rPr>
          <w:i/>
        </w:rPr>
        <w:t xml:space="preserve"> one or more line items </w:t>
      </w:r>
      <w:r w:rsidRPr="008D2E46">
        <w:t>(whether on the financial statements or line items within the note disclosures)</w:t>
      </w:r>
      <w:r w:rsidRPr="008D2E46">
        <w:rPr>
          <w:i/>
        </w:rPr>
        <w:t xml:space="preserve"> </w:t>
      </w:r>
      <w:r w:rsidRPr="008D2E46">
        <w:t xml:space="preserve">are fairly presented in accordance with GAAP. The </w:t>
      </w:r>
      <w:r>
        <w:t>s</w:t>
      </w:r>
      <w:r w:rsidRPr="008D2E46">
        <w:t xml:space="preserve">tatement provides flexibility to the preparer to elect application of alternative valuation methods to </w:t>
      </w:r>
      <w:r>
        <w:t>PP&amp;E</w:t>
      </w:r>
      <w:r w:rsidRPr="008D2E46">
        <w:t xml:space="preserve">, as a whole, or to reasonably disaggregated classes of </w:t>
      </w:r>
      <w:r>
        <w:t>PP&amp;E.</w:t>
      </w:r>
      <w:r w:rsidRPr="008D2E46">
        <w:t xml:space="preserve"> (SFFAS 50, par</w:t>
      </w:r>
      <w:r>
        <w:t>a</w:t>
      </w:r>
      <w:r w:rsidRPr="008D2E46">
        <w:t xml:space="preserve">. A38) Therefore, the alternative valuation method election remains available to classes of </w:t>
      </w:r>
      <w:r>
        <w:t>PP&amp;E</w:t>
      </w:r>
      <w:r w:rsidRPr="008D2E46">
        <w:t xml:space="preserve"> not covered by previous elections.</w:t>
      </w:r>
    </w:p>
  </w:footnote>
  <w:footnote w:id="149">
    <w:p w14:paraId="6EF4D750" w14:textId="77777777" w:rsidR="00BE4095" w:rsidRDefault="00BE4095" w:rsidP="00E96346">
      <w:pPr>
        <w:pStyle w:val="FootnoteText"/>
      </w:pPr>
      <w:r>
        <w:rPr>
          <w:rStyle w:val="FootnoteReference"/>
        </w:rPr>
        <w:footnoteRef/>
      </w:r>
      <w:r>
        <w:t xml:space="preserve">This disclosure is required for significant entities to support the FR compilation process.  </w:t>
      </w:r>
    </w:p>
  </w:footnote>
  <w:footnote w:id="150">
    <w:p w14:paraId="0DDDE6E8" w14:textId="2C2B1970" w:rsidR="00A937A5" w:rsidRDefault="00A937A5" w:rsidP="00E96346">
      <w:pPr>
        <w:pStyle w:val="FootnoteText"/>
      </w:pPr>
      <w:r>
        <w:rPr>
          <w:rStyle w:val="FootnoteReference"/>
        </w:rPr>
        <w:footnoteRef/>
      </w:r>
      <w:r>
        <w:t xml:space="preserve"> Also see SFFAS 54, para. 51, fn 8A</w:t>
      </w:r>
      <w:r w:rsidR="00DB78DF">
        <w:t>.</w:t>
      </w:r>
    </w:p>
  </w:footnote>
  <w:footnote w:id="151">
    <w:p w14:paraId="4EDDA04E" w14:textId="77777777" w:rsidR="0088655A" w:rsidRDefault="0088655A" w:rsidP="00E96346">
      <w:pPr>
        <w:pStyle w:val="FootnoteText"/>
      </w:pPr>
      <w:r>
        <w:rPr>
          <w:rStyle w:val="FootnoteReference"/>
        </w:rPr>
        <w:footnoteRef/>
      </w:r>
      <w:r>
        <w:t>Software includes the application and operating system programs, procedures, rules, and any associated documentation pertaining to the operation of a computer system or program. Normally, software is an integral part of an overall system(s) having interrelationships among software, hardware, personnel, procedures, controls, and data.</w:t>
      </w:r>
    </w:p>
  </w:footnote>
  <w:footnote w:id="152">
    <w:p w14:paraId="275BC021" w14:textId="77777777" w:rsidR="0088655A" w:rsidRPr="003251D1" w:rsidRDefault="0088655A" w:rsidP="00E96346">
      <w:pPr>
        <w:pStyle w:val="FootnoteText"/>
      </w:pPr>
      <w:r w:rsidRPr="007C642A">
        <w:rPr>
          <w:rStyle w:val="FootnoteReference"/>
        </w:rPr>
        <w:footnoteRef/>
      </w:r>
      <w:r w:rsidRPr="003251D1">
        <w:t>Although the measurement basis remains historical cost, reasonable estimates may be used to establish the capitalized cost of internally developed software, in accordance with the asset recognition and measurement provisions of SFFAS 10, par</w:t>
      </w:r>
      <w:r>
        <w:t>a</w:t>
      </w:r>
      <w:r w:rsidRPr="003251D1">
        <w:t>. 16.</w:t>
      </w:r>
    </w:p>
  </w:footnote>
  <w:footnote w:id="153">
    <w:p w14:paraId="05E68C22" w14:textId="77777777" w:rsidR="0088655A" w:rsidRPr="00680642" w:rsidRDefault="0088655A" w:rsidP="00E96346">
      <w:pPr>
        <w:pStyle w:val="FootnoteText"/>
      </w:pPr>
      <w:r w:rsidRPr="003D762C">
        <w:rPr>
          <w:rStyle w:val="FootnoteReference"/>
        </w:rPr>
        <w:footnoteRef/>
      </w:r>
      <w:r w:rsidRPr="00D51D9C">
        <w:t>Examples of costs for new software are salaries of programmers, systems analysts, project managers, and administrative personnel; associated employee benefits; outside consultants’ fees; rent; an</w:t>
      </w:r>
      <w:r w:rsidRPr="0074499C">
        <w:t>d supplies. (SFFAS 10, par</w:t>
      </w:r>
      <w:r>
        <w:t>a</w:t>
      </w:r>
      <w:r w:rsidRPr="0074499C">
        <w:t xml:space="preserve">. 17) </w:t>
      </w:r>
    </w:p>
  </w:footnote>
  <w:footnote w:id="154">
    <w:p w14:paraId="789A952B" w14:textId="77777777" w:rsidR="0088655A" w:rsidRPr="00680642" w:rsidRDefault="0088655A" w:rsidP="00E96346">
      <w:pPr>
        <w:pStyle w:val="FootnoteText"/>
      </w:pPr>
      <w:r w:rsidRPr="00680642">
        <w:rPr>
          <w:rStyle w:val="FootnoteReference"/>
        </w:rPr>
        <w:footnoteRef/>
      </w:r>
      <w:r w:rsidRPr="00680642">
        <w:t>Software that serves both internal uses and stewardship purposes is referred to as multi</w:t>
      </w:r>
      <w:r>
        <w:t>-</w:t>
      </w:r>
      <w:r w:rsidRPr="00680642">
        <w:t xml:space="preserve">use software. An example is a global positioning system </w:t>
      </w:r>
      <w:r>
        <w:t xml:space="preserve">(GPS) </w:t>
      </w:r>
      <w:r w:rsidRPr="00680642">
        <w:t>used in connection with national defense activities and general operating activities and services. (SFFAS 10, par</w:t>
      </w:r>
      <w:r>
        <w:t>a</w:t>
      </w:r>
      <w:r w:rsidRPr="00680642">
        <w:t xml:space="preserve">. 21) </w:t>
      </w:r>
    </w:p>
  </w:footnote>
  <w:footnote w:id="155">
    <w:p w14:paraId="5D5981E3" w14:textId="77777777" w:rsidR="0088655A" w:rsidRPr="00A37A46" w:rsidRDefault="0088655A" w:rsidP="00E96346">
      <w:pPr>
        <w:pStyle w:val="FootnoteText"/>
      </w:pPr>
      <w:r w:rsidRPr="00680642">
        <w:rPr>
          <w:rStyle w:val="FootnoteReference"/>
        </w:rPr>
        <w:footnoteRef/>
      </w:r>
      <w:r w:rsidRPr="00680642">
        <w:t>For example, such software could include software necessary to operate airport radar and computer</w:t>
      </w:r>
      <w:r>
        <w:t>-</w:t>
      </w:r>
      <w:r w:rsidRPr="00680642">
        <w:t>operated lathes. (SFFAS 10, par</w:t>
      </w:r>
      <w:r>
        <w:t>a</w:t>
      </w:r>
      <w:r w:rsidRPr="00680642">
        <w:t xml:space="preserve">. 22) </w:t>
      </w:r>
    </w:p>
  </w:footnote>
  <w:footnote w:id="156">
    <w:p w14:paraId="4DD8D7A0" w14:textId="77777777" w:rsidR="0088655A" w:rsidRPr="00D17DBA" w:rsidRDefault="0088655A" w:rsidP="00E96346">
      <w:pPr>
        <w:pStyle w:val="FootnoteText"/>
      </w:pPr>
      <w:r w:rsidRPr="00A37A46">
        <w:rPr>
          <w:rStyle w:val="FootnoteReference"/>
        </w:rPr>
        <w:footnoteRef/>
      </w:r>
      <w:r w:rsidRPr="00D17DBA">
        <w:t>SFFAS 10 provides that material expenditures to add software capability/functionality would be capitalized but that expenditures that result in extending useful life or capacity would be expensed. (SFFAS 10, par</w:t>
      </w:r>
      <w:r>
        <w:t>as</w:t>
      </w:r>
      <w:r w:rsidRPr="00D17DBA">
        <w:t>. 42</w:t>
      </w:r>
      <w:r>
        <w:t>–</w:t>
      </w:r>
      <w:r w:rsidRPr="00D17DBA">
        <w:t xml:space="preserve">43) </w:t>
      </w:r>
    </w:p>
  </w:footnote>
  <w:footnote w:id="157">
    <w:p w14:paraId="12D50020" w14:textId="77777777" w:rsidR="0088655A" w:rsidRPr="00D17DBA" w:rsidRDefault="0088655A" w:rsidP="00E96346">
      <w:pPr>
        <w:pStyle w:val="FootnoteText"/>
      </w:pPr>
      <w:r w:rsidRPr="00D17DBA">
        <w:rPr>
          <w:rStyle w:val="FootnoteReference"/>
        </w:rPr>
        <w:footnoteRef/>
      </w:r>
      <w:r w:rsidRPr="00D17DBA">
        <w:t>Deemed cost is an amount used as a surrogate for initial amounts that otherwise would be required to establish opening balances. For implementation guidan</w:t>
      </w:r>
      <w:r>
        <w:t xml:space="preserve">ce regarding deemed cost, see </w:t>
      </w:r>
      <w:r w:rsidRPr="00D17DBA">
        <w:t>SFFAS 10, par</w:t>
      </w:r>
      <w:r>
        <w:t>a</w:t>
      </w:r>
      <w:r w:rsidRPr="00D17DBA">
        <w:t>. 36</w:t>
      </w:r>
      <w:r>
        <w:t>.</w:t>
      </w:r>
    </w:p>
  </w:footnote>
  <w:footnote w:id="158">
    <w:p w14:paraId="5710BEB4" w14:textId="5EC7EF16" w:rsidR="00A03A42" w:rsidRDefault="00A03A42" w:rsidP="00E96346">
      <w:pPr>
        <w:pStyle w:val="FootnoteText"/>
      </w:pPr>
      <w:r>
        <w:rPr>
          <w:rStyle w:val="FootnoteReference"/>
        </w:rPr>
        <w:footnoteRef/>
      </w:r>
      <w:r w:rsidR="00A413FE" w:rsidRPr="00A413FE">
        <w:t xml:space="preserve">For the purposes of this checklist, </w:t>
      </w:r>
      <w:r w:rsidR="009A5127">
        <w:t>n</w:t>
      </w:r>
      <w:r w:rsidR="00A413FE" w:rsidRPr="00A413FE">
        <w:t>on-federal leases are leases other than</w:t>
      </w:r>
      <w:r w:rsidR="00E173B0">
        <w:t xml:space="preserve"> (1)</w:t>
      </w:r>
      <w:r w:rsidR="00A413FE" w:rsidRPr="00A413FE">
        <w:t xml:space="preserve"> short-term leases, </w:t>
      </w:r>
      <w:r w:rsidR="00444DA1">
        <w:t xml:space="preserve">(2) </w:t>
      </w:r>
      <w:r w:rsidR="00A413FE" w:rsidRPr="00A413FE">
        <w:t>contracts</w:t>
      </w:r>
      <w:r w:rsidR="00E173B0">
        <w:t>,</w:t>
      </w:r>
      <w:r w:rsidR="00A413FE" w:rsidRPr="00A413FE">
        <w:t xml:space="preserve"> or agreements that transfer ownership and </w:t>
      </w:r>
      <w:r w:rsidR="00E173B0">
        <w:t>(</w:t>
      </w:r>
      <w:r w:rsidR="00444DA1">
        <w:t>3</w:t>
      </w:r>
      <w:r w:rsidR="00E173B0">
        <w:t xml:space="preserve">) </w:t>
      </w:r>
      <w:r w:rsidR="00A413FE" w:rsidRPr="00A413FE">
        <w:t>intragovernmental leases.</w:t>
      </w:r>
      <w:r>
        <w:t xml:space="preserve"> See</w:t>
      </w:r>
      <w:r w:rsidR="009C2F20">
        <w:t xml:space="preserve"> A-136</w:t>
      </w:r>
      <w:r>
        <w:t xml:space="preserve"> section II.3.8.19</w:t>
      </w:r>
      <w:r w:rsidR="00E173B0">
        <w:t>,</w:t>
      </w:r>
      <w:r>
        <w:t xml:space="preserve"> Leases</w:t>
      </w:r>
      <w:r w:rsidR="00A413FE">
        <w:t>.</w:t>
      </w:r>
    </w:p>
  </w:footnote>
  <w:footnote w:id="159">
    <w:p w14:paraId="4B19EF8A" w14:textId="2A389277" w:rsidR="000879F3" w:rsidRDefault="000879F3" w:rsidP="00E96346">
      <w:pPr>
        <w:pStyle w:val="FootnoteText"/>
      </w:pPr>
      <w:r>
        <w:rPr>
          <w:rStyle w:val="FootnoteReference"/>
        </w:rPr>
        <w:footnoteRef/>
      </w:r>
      <w:r w:rsidR="00D14E04">
        <w:t>L</w:t>
      </w:r>
      <w:r>
        <w:t>iabilities not covered by budgetary resources</w:t>
      </w:r>
      <w:r w:rsidRPr="002852EC">
        <w:t xml:space="preserve"> include lease liabilities </w:t>
      </w:r>
      <w:r w:rsidRPr="002B6588">
        <w:t>for which budgetary resources have not yet been provided</w:t>
      </w:r>
      <w:r>
        <w:t xml:space="preserve"> </w:t>
      </w:r>
      <w:r w:rsidRPr="002B6588">
        <w:t xml:space="preserve">(regardless of whether the lease </w:t>
      </w:r>
      <w:r w:rsidRPr="002B6588">
        <w:rPr>
          <w:spacing w:val="-2"/>
        </w:rPr>
        <w:t>contract underlying the liability contains a cancellation clause that could be exercised in the future)</w:t>
      </w:r>
      <w:r w:rsidRPr="002B6588">
        <w:t>.</w:t>
      </w:r>
      <w:r>
        <w:t xml:space="preserve"> (A-136, section II.3.2.4</w:t>
      </w:r>
      <w:r w:rsidR="00E173B0">
        <w:t xml:space="preserve"> and</w:t>
      </w:r>
      <w:r>
        <w:t xml:space="preserve"> section II.3.8.13)</w:t>
      </w:r>
    </w:p>
  </w:footnote>
  <w:footnote w:id="160">
    <w:p w14:paraId="6B565B2B" w14:textId="010015C1" w:rsidR="000879F3" w:rsidRDefault="000879F3" w:rsidP="00E96346">
      <w:pPr>
        <w:pStyle w:val="FootnoteText"/>
      </w:pPr>
      <w:r>
        <w:rPr>
          <w:rStyle w:val="FootnoteReference"/>
        </w:rPr>
        <w:footnoteRef/>
      </w:r>
      <w:r w:rsidRPr="000879F3">
        <w:t xml:space="preserve">Disclose the lease liability amount not covered by budgetary resources in this note if it is material. </w:t>
      </w:r>
      <w:r>
        <w:t>(A-136</w:t>
      </w:r>
      <w:r w:rsidR="00E173B0">
        <w:t>,</w:t>
      </w:r>
      <w:r>
        <w:t xml:space="preserve"> section II.3.8.13)</w:t>
      </w:r>
    </w:p>
  </w:footnote>
  <w:footnote w:id="161">
    <w:p w14:paraId="408C8B44" w14:textId="7478C1A9" w:rsidR="00AB3FC6" w:rsidRPr="00D17DBA" w:rsidRDefault="00AB3FC6" w:rsidP="00E96346">
      <w:pPr>
        <w:pStyle w:val="FootnoteText"/>
      </w:pPr>
      <w:r w:rsidRPr="00D17DBA">
        <w:rPr>
          <w:rStyle w:val="FootnoteReference"/>
        </w:rPr>
        <w:footnoteRef/>
      </w:r>
      <w:r w:rsidRPr="00D17DBA">
        <w:t xml:space="preserve">The interest method for amortizing a bond premium or discount reduces the discount or premium by the difference between the effective interest and stated interest on the bond. (SFFAS 1, app B, tables 1 </w:t>
      </w:r>
      <w:r>
        <w:t>and</w:t>
      </w:r>
      <w:r w:rsidRPr="00D17DBA">
        <w:t xml:space="preserve"> 2)</w:t>
      </w:r>
    </w:p>
  </w:footnote>
  <w:footnote w:id="162">
    <w:p w14:paraId="6AC780F6" w14:textId="7681229C" w:rsidR="00AB3FC6" w:rsidRDefault="00AB3FC6" w:rsidP="007228E6">
      <w:pPr>
        <w:pStyle w:val="FAM-Table-outline2"/>
        <w:numPr>
          <w:ilvl w:val="0"/>
          <w:numId w:val="0"/>
        </w:numPr>
        <w:spacing w:before="0" w:after="0" w:line="240" w:lineRule="auto"/>
      </w:pPr>
      <w:r w:rsidRPr="00786220">
        <w:rPr>
          <w:rStyle w:val="FootnoteReference"/>
          <w:sz w:val="18"/>
          <w:szCs w:val="18"/>
        </w:rPr>
        <w:footnoteRef/>
      </w:r>
      <w:r>
        <w:rPr>
          <w:sz w:val="18"/>
          <w:szCs w:val="18"/>
        </w:rPr>
        <w:t xml:space="preserve">See A-136 for federal debt and interest payable related columns. </w:t>
      </w:r>
    </w:p>
  </w:footnote>
  <w:footnote w:id="163">
    <w:p w14:paraId="4F3BE951" w14:textId="16E019A3" w:rsidR="00AB3FC6" w:rsidRDefault="00AB3FC6" w:rsidP="00E96346">
      <w:pPr>
        <w:pStyle w:val="FootnoteText"/>
      </w:pPr>
      <w:r>
        <w:rPr>
          <w:rStyle w:val="FootnoteReference"/>
        </w:rPr>
        <w:footnoteRef/>
      </w:r>
      <w:r w:rsidRPr="002A487C">
        <w:t>Debt issued by the Federal Financing Bank should be reported in lines B(1) and B(2), and not in lines A(1) or A(2).</w:t>
      </w:r>
    </w:p>
  </w:footnote>
  <w:footnote w:id="164">
    <w:p w14:paraId="00433D9E" w14:textId="19B2C02E" w:rsidR="00AB3FC6" w:rsidRPr="00D17DBA" w:rsidRDefault="00AB3FC6" w:rsidP="00E96346">
      <w:pPr>
        <w:pStyle w:val="FootnoteText"/>
      </w:pPr>
      <w:r w:rsidRPr="00D17DBA">
        <w:rPr>
          <w:rStyle w:val="FootnoteReference"/>
          <w:szCs w:val="16"/>
        </w:rPr>
        <w:footnoteRef/>
      </w:r>
      <w:r w:rsidRPr="00D17DBA">
        <w:t>Past service costs result from retroactive benefits granted when a new plan is initiated. Prior service costs result from retroactive benefits granted in a plan amendment. (SFFAS 5, par</w:t>
      </w:r>
      <w:r>
        <w:t>a</w:t>
      </w:r>
      <w:r w:rsidRPr="00D17DBA">
        <w:t>. 69)</w:t>
      </w:r>
    </w:p>
  </w:footnote>
  <w:footnote w:id="165">
    <w:p w14:paraId="2E9F98CA" w14:textId="094B9827" w:rsidR="00AB3FC6" w:rsidRPr="00D17DBA" w:rsidRDefault="00AB3FC6" w:rsidP="00E96346">
      <w:pPr>
        <w:pStyle w:val="FootnoteText"/>
      </w:pPr>
      <w:r w:rsidRPr="00D17DBA">
        <w:rPr>
          <w:rStyle w:val="FootnoteReference"/>
          <w:szCs w:val="16"/>
        </w:rPr>
        <w:footnoteRef/>
      </w:r>
      <w:r w:rsidRPr="00D17DBA">
        <w:t>Actuarial gains and losses are changes in the balance of the pension liability that result from (1) deviations between actual experience and the actuarial assumptions used or (2) changes in actuarial assumptions. (SFFAS 5, par</w:t>
      </w:r>
      <w:r>
        <w:t>a</w:t>
      </w:r>
      <w:r w:rsidRPr="00D17DBA">
        <w:t>. 69)</w:t>
      </w:r>
    </w:p>
  </w:footnote>
  <w:footnote w:id="166">
    <w:p w14:paraId="3BB5454F" w14:textId="3339AF72" w:rsidR="00AB3FC6" w:rsidRPr="00D17DBA" w:rsidRDefault="00AB3FC6" w:rsidP="00E96346">
      <w:pPr>
        <w:pStyle w:val="FootnoteText"/>
      </w:pPr>
      <w:r w:rsidRPr="00D17DBA">
        <w:rPr>
          <w:rStyle w:val="FootnoteReference"/>
        </w:rPr>
        <w:footnoteRef/>
      </w:r>
      <w:r w:rsidRPr="00D17DBA">
        <w:t xml:space="preserve">The administrative entity may also receive financing from the </w:t>
      </w:r>
      <w:r>
        <w:t>G</w:t>
      </w:r>
      <w:r w:rsidRPr="00D17DBA">
        <w:t xml:space="preserve">eneral </w:t>
      </w:r>
      <w:r>
        <w:t>F</w:t>
      </w:r>
      <w:r w:rsidRPr="00D17DBA">
        <w:t>und to cover prior service or other costs for which contributions were not provided by the employer or employee. (SFFAS 5, par</w:t>
      </w:r>
      <w:r>
        <w:t>a</w:t>
      </w:r>
      <w:r w:rsidRPr="00D17DBA">
        <w:t xml:space="preserve">. 73, fn 35) </w:t>
      </w:r>
    </w:p>
  </w:footnote>
  <w:footnote w:id="167">
    <w:p w14:paraId="3430BFAB" w14:textId="5E86280F" w:rsidR="00AB3FC6" w:rsidRPr="00D17DBA" w:rsidRDefault="00AB3FC6" w:rsidP="00E96346">
      <w:pPr>
        <w:pStyle w:val="FootnoteText"/>
      </w:pPr>
      <w:r w:rsidRPr="00D17DBA">
        <w:rPr>
          <w:rStyle w:val="FootnoteReference"/>
        </w:rPr>
        <w:footnoteRef/>
      </w:r>
      <w:r w:rsidRPr="00D17DBA">
        <w:t xml:space="preserve">Components of pension expense are (1) normal cost; (2) interest on the pension liability during the period; (3) prior (and past) service cost from plan amendments (or the initiation of a new plan) during the period, if any; </w:t>
      </w:r>
      <w:r>
        <w:t xml:space="preserve">and </w:t>
      </w:r>
      <w:r w:rsidRPr="00D17DBA">
        <w:t>(4) actuarial gains or losses during the period, if any. (SFFAS 5, par</w:t>
      </w:r>
      <w:r>
        <w:t>a</w:t>
      </w:r>
      <w:r w:rsidRPr="00D17DBA">
        <w:t xml:space="preserve">. 72) </w:t>
      </w:r>
    </w:p>
  </w:footnote>
  <w:footnote w:id="168">
    <w:p w14:paraId="4D35C00A" w14:textId="2AB44BAE" w:rsidR="00AB3FC6" w:rsidRPr="00D17DBA" w:rsidRDefault="00AB3FC6" w:rsidP="00E96346">
      <w:pPr>
        <w:pStyle w:val="FootnoteText"/>
      </w:pPr>
      <w:r w:rsidRPr="00D17DBA">
        <w:rPr>
          <w:rStyle w:val="FootnoteReference"/>
        </w:rPr>
        <w:footnoteRef/>
      </w:r>
      <w:r w:rsidRPr="00D17DBA">
        <w:t>Measurements based on an actuarial valuation may be performed as of an earlier date during the fiscal year, including the beginning of the year, with adjustments for the effects of changes during the year in major factors</w:t>
      </w:r>
      <w:r>
        <w:t>,</w:t>
      </w:r>
      <w:r w:rsidRPr="00D17DBA">
        <w:t xml:space="preserve"> such as the pay raise and cost of living adjustment. (SFFAS 33, par</w:t>
      </w:r>
      <w:r>
        <w:t>a</w:t>
      </w:r>
      <w:r w:rsidRPr="00D17DBA">
        <w:t>.</w:t>
      </w:r>
      <w:r>
        <w:t xml:space="preserve"> </w:t>
      </w:r>
      <w:r w:rsidRPr="00D17DBA">
        <w:t xml:space="preserve">33) </w:t>
      </w:r>
    </w:p>
  </w:footnote>
  <w:footnote w:id="169">
    <w:p w14:paraId="22150CF6" w14:textId="62E0289B" w:rsidR="00AB3FC6" w:rsidRPr="00D17DBA" w:rsidRDefault="00AB3FC6" w:rsidP="00E96346">
      <w:pPr>
        <w:pStyle w:val="FootnoteText"/>
      </w:pPr>
      <w:r w:rsidRPr="00D17DBA">
        <w:rPr>
          <w:rStyle w:val="FootnoteReference"/>
        </w:rPr>
        <w:footnoteRef/>
      </w:r>
      <w:r w:rsidRPr="00D17DBA">
        <w:t>Each year should have a discount rate associated with it. However, a single average discount rate may be used for all projected future cash flows if the resulting present value is not materially different than the resulting present value using multiple rates. (SFFAS 5, par</w:t>
      </w:r>
      <w:r>
        <w:t>a</w:t>
      </w:r>
      <w:r w:rsidRPr="00D17DBA">
        <w:t xml:space="preserve">. 66) </w:t>
      </w:r>
    </w:p>
  </w:footnote>
  <w:footnote w:id="170">
    <w:p w14:paraId="1C9EFE3B" w14:textId="68B63E05" w:rsidR="00AB3FC6" w:rsidRPr="00D17DBA" w:rsidRDefault="00AB3FC6" w:rsidP="00E96346">
      <w:pPr>
        <w:pStyle w:val="FootnoteText"/>
      </w:pPr>
      <w:r w:rsidRPr="00D17DBA">
        <w:rPr>
          <w:rStyle w:val="FootnoteReference"/>
        </w:rPr>
        <w:footnoteRef/>
      </w:r>
      <w:r w:rsidRPr="00D17DBA">
        <w:t xml:space="preserve">Historical experience should be the basis for expectations about future trends in marketable </w:t>
      </w:r>
      <w:r>
        <w:t>T</w:t>
      </w:r>
      <w:r w:rsidRPr="00D17DBA">
        <w:t>reasury securities. (SFFAS 5, par</w:t>
      </w:r>
      <w:r>
        <w:t>a.</w:t>
      </w:r>
      <w:r w:rsidRPr="00D17DBA">
        <w:t xml:space="preserve"> 66) </w:t>
      </w:r>
    </w:p>
  </w:footnote>
  <w:footnote w:id="171">
    <w:p w14:paraId="1A8BCE24" w14:textId="62A3853C" w:rsidR="00AB3FC6" w:rsidRPr="00D17DBA" w:rsidRDefault="00AB3FC6" w:rsidP="00E96346">
      <w:pPr>
        <w:pStyle w:val="FootnoteText"/>
      </w:pPr>
      <w:r w:rsidRPr="00D17DBA">
        <w:rPr>
          <w:rStyle w:val="FootnoteReference"/>
        </w:rPr>
        <w:footnoteRef/>
      </w:r>
      <w:r w:rsidRPr="00D17DBA">
        <w:t>Measurements based on an actuarial valuation may be performed as of an earlier date during the fiscal year, including the beginning of the year, with adjustments for the effects of changes during the year in major factors</w:t>
      </w:r>
      <w:r>
        <w:t>,</w:t>
      </w:r>
      <w:r w:rsidRPr="00D17DBA">
        <w:t xml:space="preserve"> such as the pay raise and cost of living adjustment. (SFFAS 33, par</w:t>
      </w:r>
      <w:r>
        <w:t>a</w:t>
      </w:r>
      <w:r w:rsidRPr="00D17DBA">
        <w:t>.</w:t>
      </w:r>
      <w:r>
        <w:t xml:space="preserve"> </w:t>
      </w:r>
      <w:r w:rsidRPr="00D17DBA">
        <w:t xml:space="preserve">33) </w:t>
      </w:r>
    </w:p>
  </w:footnote>
  <w:footnote w:id="172">
    <w:p w14:paraId="006FF11B" w14:textId="6A698A58" w:rsidR="00AB3FC6" w:rsidRPr="00D17DBA" w:rsidRDefault="00AB3FC6" w:rsidP="00E96346">
      <w:pPr>
        <w:pStyle w:val="FootnoteText"/>
      </w:pPr>
      <w:r w:rsidRPr="00D17DBA">
        <w:rPr>
          <w:rStyle w:val="FootnoteReference"/>
        </w:rPr>
        <w:footnoteRef/>
      </w:r>
      <w:r w:rsidRPr="00D17DBA">
        <w:t>Components of ORB expense are (1) normal cost; (2) interest on the ORB liability during the period; (3) prior (and past) service cost from plan amendments (or the initiation of a new plan) during the period, if any; (4) any gains/losses due to a change in the medical inflation rate assumption; and (5) actuarial gains or losses during the period, if any. (SFFAS 5, par</w:t>
      </w:r>
      <w:r>
        <w:t>a</w:t>
      </w:r>
      <w:r w:rsidRPr="00D17DBA">
        <w:t>. 88)</w:t>
      </w:r>
    </w:p>
  </w:footnote>
  <w:footnote w:id="173">
    <w:p w14:paraId="61814ADC" w14:textId="32FF0FEF" w:rsidR="00AB3FC6" w:rsidRPr="00D17DBA" w:rsidRDefault="00AB3FC6" w:rsidP="00E96346">
      <w:pPr>
        <w:pStyle w:val="FootnoteText"/>
      </w:pPr>
      <w:r w:rsidRPr="00D17DBA">
        <w:rPr>
          <w:rStyle w:val="FootnoteReference"/>
        </w:rPr>
        <w:footnoteRef/>
      </w:r>
      <w:r w:rsidRPr="00D17DBA">
        <w:t>Measurements based on an actuarial valuation may be performed as of an earlier date during the fiscal year, including the beginning of the year, with adjustments for the effects of changes during the year in major factors</w:t>
      </w:r>
      <w:r>
        <w:t>,</w:t>
      </w:r>
      <w:r w:rsidRPr="00D17DBA">
        <w:t xml:space="preserve"> such as the pay raise and cost</w:t>
      </w:r>
      <w:r>
        <w:t>-</w:t>
      </w:r>
      <w:r w:rsidRPr="00D17DBA">
        <w:t>of</w:t>
      </w:r>
      <w:r>
        <w:t>-</w:t>
      </w:r>
      <w:r w:rsidRPr="00D17DBA">
        <w:t>living adjustment. (SFFAS 33, par</w:t>
      </w:r>
      <w:r>
        <w:t>a</w:t>
      </w:r>
      <w:r w:rsidRPr="00D17DBA">
        <w:t>.</w:t>
      </w:r>
      <w:r>
        <w:t xml:space="preserve"> </w:t>
      </w:r>
      <w:r w:rsidRPr="00D17DBA">
        <w:t xml:space="preserve">33) </w:t>
      </w:r>
    </w:p>
  </w:footnote>
  <w:footnote w:id="174">
    <w:p w14:paraId="3821C0A7" w14:textId="250B7080" w:rsidR="00AB3FC6" w:rsidRPr="00786220" w:rsidRDefault="00AB3FC6" w:rsidP="00E772CF">
      <w:pPr>
        <w:autoSpaceDE w:val="0"/>
        <w:autoSpaceDN w:val="0"/>
        <w:adjustRightInd w:val="0"/>
        <w:spacing w:after="0" w:line="240" w:lineRule="auto"/>
        <w:rPr>
          <w:sz w:val="18"/>
          <w:szCs w:val="18"/>
        </w:rPr>
      </w:pPr>
      <w:r w:rsidRPr="00786220">
        <w:rPr>
          <w:rStyle w:val="FootnoteReference"/>
          <w:rFonts w:ascii="Arial" w:hAnsi="Arial" w:cs="Arial"/>
          <w:sz w:val="18"/>
          <w:szCs w:val="18"/>
        </w:rPr>
        <w:footnoteRef/>
      </w:r>
      <w:r w:rsidRPr="00786220">
        <w:rPr>
          <w:rFonts w:ascii="Arial" w:hAnsi="Arial" w:cs="Arial"/>
          <w:sz w:val="18"/>
          <w:szCs w:val="18"/>
        </w:rPr>
        <w:t xml:space="preserve">The cleanup liability should be reported on the </w:t>
      </w:r>
      <w:r>
        <w:rPr>
          <w:rFonts w:ascii="Arial" w:hAnsi="Arial" w:cs="Arial"/>
          <w:sz w:val="18"/>
          <w:szCs w:val="18"/>
        </w:rPr>
        <w:t>B</w:t>
      </w:r>
      <w:r w:rsidRPr="00786220">
        <w:rPr>
          <w:rFonts w:ascii="Arial" w:hAnsi="Arial" w:cs="Arial"/>
          <w:sz w:val="18"/>
          <w:szCs w:val="18"/>
        </w:rPr>
        <w:t xml:space="preserve">alance </w:t>
      </w:r>
      <w:r>
        <w:rPr>
          <w:rFonts w:ascii="Arial" w:hAnsi="Arial" w:cs="Arial"/>
          <w:sz w:val="18"/>
          <w:szCs w:val="18"/>
        </w:rPr>
        <w:t>S</w:t>
      </w:r>
      <w:r w:rsidRPr="00786220">
        <w:rPr>
          <w:rFonts w:ascii="Arial" w:hAnsi="Arial" w:cs="Arial"/>
          <w:sz w:val="18"/>
          <w:szCs w:val="18"/>
        </w:rPr>
        <w:t xml:space="preserve">heet of the component reporting entity recognizing the </w:t>
      </w:r>
      <w:r>
        <w:rPr>
          <w:rFonts w:ascii="Arial" w:hAnsi="Arial" w:cs="Arial"/>
          <w:sz w:val="18"/>
          <w:szCs w:val="18"/>
        </w:rPr>
        <w:br/>
        <w:t>PP&amp;E</w:t>
      </w:r>
      <w:r w:rsidRPr="00786220">
        <w:rPr>
          <w:rFonts w:ascii="Arial" w:hAnsi="Arial" w:cs="Arial"/>
          <w:sz w:val="18"/>
          <w:szCs w:val="18"/>
        </w:rPr>
        <w:t xml:space="preserve"> during its useful life even if the </w:t>
      </w:r>
      <w:r>
        <w:rPr>
          <w:rFonts w:ascii="Arial" w:hAnsi="Arial" w:cs="Arial"/>
          <w:sz w:val="18"/>
          <w:szCs w:val="18"/>
        </w:rPr>
        <w:t>PP&amp;E</w:t>
      </w:r>
      <w:r w:rsidRPr="00786220">
        <w:rPr>
          <w:rFonts w:ascii="Arial" w:hAnsi="Arial" w:cs="Arial"/>
          <w:sz w:val="18"/>
          <w:szCs w:val="18"/>
        </w:rPr>
        <w:t xml:space="preserve"> and the associated liability are to be transferred to another entity for cleanup. (See FASAB Interpretation 9</w:t>
      </w:r>
      <w:r>
        <w:rPr>
          <w:rFonts w:ascii="Arial" w:hAnsi="Arial" w:cs="Arial"/>
          <w:sz w:val="18"/>
          <w:szCs w:val="18"/>
        </w:rPr>
        <w:t>.</w:t>
      </w:r>
      <w:r w:rsidRPr="00786220">
        <w:rPr>
          <w:rFonts w:ascii="Arial" w:hAnsi="Arial" w:cs="Arial"/>
          <w:sz w:val="18"/>
          <w:szCs w:val="18"/>
        </w:rPr>
        <w:t>)</w:t>
      </w:r>
    </w:p>
  </w:footnote>
  <w:footnote w:id="175">
    <w:p w14:paraId="56A833A4" w14:textId="77777777" w:rsidR="00AB3FC6" w:rsidRPr="003F3BF0" w:rsidRDefault="00AB3FC6" w:rsidP="0052235B">
      <w:pPr>
        <w:autoSpaceDE w:val="0"/>
        <w:autoSpaceDN w:val="0"/>
        <w:spacing w:before="120" w:after="120" w:line="240" w:lineRule="auto"/>
        <w:rPr>
          <w:rFonts w:ascii="Arial" w:hAnsi="Arial" w:cs="Arial"/>
        </w:rPr>
      </w:pPr>
      <w:r w:rsidRPr="00180779">
        <w:rPr>
          <w:rStyle w:val="FootnoteReference"/>
          <w:rFonts w:ascii="Arial" w:hAnsi="Arial" w:cs="Arial"/>
          <w:sz w:val="18"/>
          <w:szCs w:val="18"/>
        </w:rPr>
        <w:footnoteRef/>
      </w:r>
      <w:r w:rsidRPr="003F3BF0">
        <w:rPr>
          <w:rFonts w:ascii="Arial" w:hAnsi="Arial" w:cs="Arial"/>
          <w:bCs/>
          <w:sz w:val="18"/>
          <w:szCs w:val="18"/>
        </w:rPr>
        <w:t>CAE</w:t>
      </w:r>
      <w:r>
        <w:rPr>
          <w:rFonts w:ascii="Arial" w:hAnsi="Arial" w:cs="Arial"/>
          <w:bCs/>
          <w:sz w:val="18"/>
          <w:szCs w:val="18"/>
        </w:rPr>
        <w:t>s</w:t>
      </w:r>
      <w:r w:rsidRPr="003F3BF0">
        <w:rPr>
          <w:rFonts w:ascii="Arial" w:hAnsi="Arial" w:cs="Arial"/>
          <w:sz w:val="18"/>
          <w:szCs w:val="18"/>
        </w:rPr>
        <w:t xml:space="preserve"> are incremental costs directly attributable to investigating, settling, and/or adjusting claims. An incremental cost is one that can result only when claims have been incurred. CAE</w:t>
      </w:r>
      <w:r>
        <w:rPr>
          <w:rFonts w:ascii="Arial" w:hAnsi="Arial" w:cs="Arial"/>
          <w:sz w:val="18"/>
          <w:szCs w:val="18"/>
        </w:rPr>
        <w:t>s</w:t>
      </w:r>
      <w:r w:rsidRPr="003F3BF0">
        <w:rPr>
          <w:rFonts w:ascii="Arial" w:hAnsi="Arial" w:cs="Arial"/>
          <w:sz w:val="18"/>
          <w:szCs w:val="18"/>
        </w:rPr>
        <w:t xml:space="preserve"> include but are not </w:t>
      </w:r>
      <w:r w:rsidRPr="003F3BF0">
        <w:rPr>
          <w:rFonts w:ascii="Arial" w:eastAsia="Arial Unicode MS" w:hAnsi="Arial" w:cs="Arial"/>
          <w:sz w:val="18"/>
          <w:szCs w:val="18"/>
        </w:rPr>
        <w:t>limited to legal and adjuster's fees. CAE</w:t>
      </w:r>
      <w:r>
        <w:rPr>
          <w:rFonts w:ascii="Arial" w:eastAsia="Arial Unicode MS" w:hAnsi="Arial" w:cs="Arial"/>
          <w:sz w:val="18"/>
          <w:szCs w:val="18"/>
        </w:rPr>
        <w:t xml:space="preserve">s </w:t>
      </w:r>
      <w:r w:rsidRPr="003F3BF0">
        <w:rPr>
          <w:rFonts w:ascii="Arial" w:eastAsia="Arial Unicode MS" w:hAnsi="Arial" w:cs="Arial"/>
          <w:sz w:val="18"/>
          <w:szCs w:val="18"/>
        </w:rPr>
        <w:t xml:space="preserve">may be incurred through work performed by federal </w:t>
      </w:r>
      <w:r w:rsidRPr="003F3BF0">
        <w:rPr>
          <w:rFonts w:ascii="Arial" w:hAnsi="Arial" w:cs="Arial"/>
          <w:sz w:val="18"/>
          <w:szCs w:val="18"/>
        </w:rPr>
        <w:t>employees and/or contractors. (SFFAS 51, par</w:t>
      </w:r>
      <w:r>
        <w:rPr>
          <w:rFonts w:ascii="Arial" w:hAnsi="Arial" w:cs="Arial"/>
          <w:sz w:val="18"/>
          <w:szCs w:val="18"/>
        </w:rPr>
        <w:t>a</w:t>
      </w:r>
      <w:r w:rsidRPr="003F3BF0">
        <w:rPr>
          <w:rFonts w:ascii="Arial" w:hAnsi="Arial" w:cs="Arial"/>
          <w:sz w:val="18"/>
          <w:szCs w:val="18"/>
        </w:rPr>
        <w:t>. 9)</w:t>
      </w:r>
    </w:p>
  </w:footnote>
  <w:footnote w:id="176">
    <w:p w14:paraId="0DD1FDB6" w14:textId="77777777" w:rsidR="00AB3FC6" w:rsidRDefault="00AB3FC6" w:rsidP="00E96346">
      <w:pPr>
        <w:pStyle w:val="FootnoteText"/>
      </w:pPr>
      <w:r>
        <w:rPr>
          <w:rStyle w:val="FootnoteReference"/>
        </w:rPr>
        <w:footnoteRef/>
      </w:r>
      <w:r w:rsidRPr="00531736">
        <w:t xml:space="preserve">Management should use judgment </w:t>
      </w:r>
      <w:r>
        <w:t>in determining whether</w:t>
      </w:r>
      <w:r w:rsidRPr="00531736">
        <w:t xml:space="preserve"> an adverse event causes claims IBNR prior to the reporting date</w:t>
      </w:r>
      <w:r>
        <w:t>.</w:t>
      </w:r>
    </w:p>
  </w:footnote>
  <w:footnote w:id="177">
    <w:p w14:paraId="514CC803" w14:textId="30DA01E8" w:rsidR="00BC2655" w:rsidRDefault="00BC2655" w:rsidP="00BC2655">
      <w:pPr>
        <w:pStyle w:val="FootnoteText"/>
      </w:pPr>
      <w:r>
        <w:rPr>
          <w:rStyle w:val="FootnoteReference"/>
        </w:rPr>
        <w:footnoteRef/>
      </w:r>
      <w:r w:rsidRPr="00BC2655">
        <w:t>A single-occurring event or a series of events causing loss must be completed by the end of the reporting period to be considered an adverse event of the reporting period.</w:t>
      </w:r>
      <w:r>
        <w:t xml:space="preserve"> </w:t>
      </w:r>
      <w:r w:rsidRPr="00844C2D">
        <w:t>If a series of events causing loss begins prior to the reporting date and additional pending events are required to result in losses, then it is not considered an adverse event and should not be included in the estimated settlement costs for claims IBNR.</w:t>
      </w:r>
      <w:r>
        <w:t xml:space="preserve"> </w:t>
      </w:r>
      <w:r w:rsidR="000D5827">
        <w:t>(SFFAS 51, para. 27, fn 9)</w:t>
      </w:r>
    </w:p>
  </w:footnote>
  <w:footnote w:id="178">
    <w:p w14:paraId="0E10BE55" w14:textId="77777777" w:rsidR="00AB3FC6" w:rsidRDefault="00AB3FC6" w:rsidP="00E96346">
      <w:pPr>
        <w:pStyle w:val="FootnoteText"/>
      </w:pPr>
      <w:r w:rsidRPr="003F3BF0">
        <w:rPr>
          <w:rStyle w:val="FootnoteReference"/>
        </w:rPr>
        <w:footnoteRef/>
      </w:r>
      <w:r w:rsidRPr="003F3BF0">
        <w:t>Any amount expected to be recovered in excess of the recognized</w:t>
      </w:r>
      <w:r>
        <w:t xml:space="preserve"> claim, which will result in a gain, should not be recognized until any contingencies relating to the recovery have been resolved because a contingent gain cannot be recognized until realized. (SFFAS 51, para. 27)</w:t>
      </w:r>
    </w:p>
  </w:footnote>
  <w:footnote w:id="179">
    <w:p w14:paraId="336272D6" w14:textId="77777777" w:rsidR="00AB3FC6" w:rsidRDefault="00AB3FC6" w:rsidP="00E96346">
      <w:pPr>
        <w:pStyle w:val="FootnoteText"/>
      </w:pPr>
      <w:r>
        <w:rPr>
          <w:rStyle w:val="FootnoteReference"/>
        </w:rPr>
        <w:footnoteRef/>
      </w:r>
      <w:r w:rsidRPr="00C904D1">
        <w:t>No specific method is required. An entity must use judgment based on the risk inherent in the insurance portfolio, sensitivity to external factors, and the availability of relevant information to select a method</w:t>
      </w:r>
      <w:r>
        <w:t>. (SFFAS 51, para. 34)</w:t>
      </w:r>
    </w:p>
  </w:footnote>
  <w:footnote w:id="180">
    <w:p w14:paraId="62DC38CF" w14:textId="77777777" w:rsidR="00AB3FC6" w:rsidRDefault="00AB3FC6" w:rsidP="00E96346">
      <w:pPr>
        <w:pStyle w:val="FootnoteText"/>
      </w:pPr>
      <w:r>
        <w:rPr>
          <w:rStyle w:val="FootnoteReference"/>
        </w:rPr>
        <w:footnoteRef/>
      </w:r>
      <w:r>
        <w:t>Materiality is an overarching consideration in financial reporting for information that should be presented. Acceptable quantitative factors may include whether certain groups of arrangements are accumulating large claim expenses or unpaid claim liability balances. Acceptable qualitative factors may include whether a group of arrangements is of immediate concern to constituents, politically sensitive, and/or controversial.</w:t>
      </w:r>
    </w:p>
  </w:footnote>
  <w:footnote w:id="181">
    <w:p w14:paraId="357C3876" w14:textId="77777777" w:rsidR="00AB3FC6" w:rsidRDefault="00AB3FC6" w:rsidP="00E96346">
      <w:pPr>
        <w:pStyle w:val="FootnoteText"/>
      </w:pPr>
      <w:r>
        <w:rPr>
          <w:rStyle w:val="FootnoteReference"/>
        </w:rPr>
        <w:footnoteRef/>
      </w:r>
      <w:r>
        <w:t xml:space="preserve">See SFFAS 4, </w:t>
      </w:r>
      <w:r w:rsidRPr="00C0672B">
        <w:t>Managerial Cost Accounting Standards and Concepts</w:t>
      </w:r>
      <w:r>
        <w:t>, paras. 80–104.</w:t>
      </w:r>
    </w:p>
  </w:footnote>
  <w:footnote w:id="182">
    <w:p w14:paraId="798EE9D8" w14:textId="77777777" w:rsidR="00AB3FC6" w:rsidRDefault="00AB3FC6" w:rsidP="00E96346">
      <w:pPr>
        <w:pStyle w:val="FootnoteText"/>
      </w:pPr>
      <w:r>
        <w:rPr>
          <w:rStyle w:val="FootnoteReference"/>
        </w:rPr>
        <w:footnoteRef/>
      </w:r>
      <w:r w:rsidRPr="00087B48">
        <w:t>An explanation should</w:t>
      </w:r>
      <w:r>
        <w:t xml:space="preserve"> be included that avoids the misleading inference that there is more than a remote likelihood that claims equal to the entire insurance in-force amount will be filed at the same time.</w:t>
      </w:r>
    </w:p>
  </w:footnote>
  <w:footnote w:id="183">
    <w:p w14:paraId="7AAE01A5" w14:textId="77777777" w:rsidR="00AB3FC6" w:rsidRDefault="00AB3FC6" w:rsidP="00E96346">
      <w:pPr>
        <w:pStyle w:val="FootnoteText"/>
      </w:pPr>
      <w:r>
        <w:rPr>
          <w:rStyle w:val="FootnoteReference"/>
        </w:rPr>
        <w:footnoteRef/>
      </w:r>
      <w:r>
        <w:t>CAEs should be recognized for claims occurring prior to the end of the current reporting period.</w:t>
      </w:r>
    </w:p>
  </w:footnote>
  <w:footnote w:id="184">
    <w:p w14:paraId="32AA69FA" w14:textId="0F4C33A3" w:rsidR="00AB3FC6" w:rsidRDefault="00AB3FC6" w:rsidP="00E96346">
      <w:pPr>
        <w:pStyle w:val="FootnoteText"/>
      </w:pPr>
      <w:r>
        <w:rPr>
          <w:rStyle w:val="FootnoteReference"/>
        </w:rPr>
        <w:footnoteRef/>
      </w:r>
      <w:r w:rsidRPr="00B92ED7">
        <w:t xml:space="preserve">Nonexchange transaction insurance programs do not recognize unearned premiums because they do not earn premiums. </w:t>
      </w:r>
      <w:r>
        <w:t>FASAB</w:t>
      </w:r>
      <w:r w:rsidRPr="00B92ED7">
        <w:t xml:space="preserve"> believes that insurance programs in this category should apply general revenue recognition standards. Therefore, no specific revenue recognition guidance is provided in </w:t>
      </w:r>
      <w:r>
        <w:t>SFFAS 51</w:t>
      </w:r>
      <w:r w:rsidRPr="00B92ED7">
        <w:t>.</w:t>
      </w:r>
      <w:r>
        <w:t xml:space="preserve"> (SFFAS 51, para. A17)</w:t>
      </w:r>
    </w:p>
  </w:footnote>
  <w:footnote w:id="185">
    <w:p w14:paraId="19123FF3" w14:textId="47951928" w:rsidR="00AB3FC6" w:rsidRDefault="00AB3FC6" w:rsidP="00E96346">
      <w:pPr>
        <w:pStyle w:val="FootnoteText"/>
      </w:pPr>
      <w:r>
        <w:rPr>
          <w:rStyle w:val="FootnoteReference"/>
        </w:rPr>
        <w:footnoteRef/>
      </w:r>
      <w:r w:rsidRPr="00AD0B1F">
        <w:t>Management should use judgment to determine if an adverse event causes claims IBNR prior to the reporting date</w:t>
      </w:r>
      <w:r>
        <w:rPr>
          <w:sz w:val="22"/>
          <w:szCs w:val="22"/>
        </w:rPr>
        <w:t>.</w:t>
      </w:r>
      <w:r w:rsidR="001E6FE9">
        <w:rPr>
          <w:sz w:val="22"/>
          <w:szCs w:val="22"/>
        </w:rPr>
        <w:t xml:space="preserve"> </w:t>
      </w:r>
      <w:r w:rsidR="001E6FE9">
        <w:t>(SFFAS 51, para. 46)</w:t>
      </w:r>
    </w:p>
  </w:footnote>
  <w:footnote w:id="186">
    <w:p w14:paraId="4EC1BC32" w14:textId="63F72BC5" w:rsidR="00BC2655" w:rsidRDefault="00BC2655" w:rsidP="00BC2655">
      <w:pPr>
        <w:pStyle w:val="FootnoteText"/>
      </w:pPr>
      <w:r>
        <w:rPr>
          <w:rStyle w:val="FootnoteReference"/>
        </w:rPr>
        <w:footnoteRef/>
      </w:r>
      <w:r w:rsidRPr="00BC2655">
        <w:t xml:space="preserve">A series of events causing loss must be completed by the end of the reporting period to be considered an adverse event of the reporting period. </w:t>
      </w:r>
      <w:r w:rsidRPr="00844C2D">
        <w:t>If a series of events causing loss begins prior to the reporting date and additional pending events are required to result in losses, then it is not considered an adverse event and should not be included in the estimated settlement costs for claims IBNR.</w:t>
      </w:r>
      <w:r>
        <w:t xml:space="preserve"> (SFFAS 51, para. 46, fn 15)</w:t>
      </w:r>
    </w:p>
  </w:footnote>
  <w:footnote w:id="187">
    <w:p w14:paraId="72AF408C" w14:textId="77777777" w:rsidR="00AB3FC6" w:rsidRDefault="00AB3FC6" w:rsidP="00E96346">
      <w:pPr>
        <w:pStyle w:val="FootnoteText"/>
      </w:pPr>
      <w:r>
        <w:rPr>
          <w:rStyle w:val="FootnoteReference"/>
        </w:rPr>
        <w:footnoteRef/>
      </w:r>
      <w:r>
        <w:t>Any amount expected to be recovered in excess of the recognized claim, which will result in a gain, should not be recognized until any contingencies relating to the recovery have been resolved because a contingent gain cannot be recognized until realized. (SFFAS 51, para. 46)</w:t>
      </w:r>
    </w:p>
  </w:footnote>
  <w:footnote w:id="188">
    <w:p w14:paraId="484C293B" w14:textId="77777777" w:rsidR="00AB3FC6" w:rsidRDefault="00AB3FC6" w:rsidP="00E96346">
      <w:pPr>
        <w:pStyle w:val="FootnoteText"/>
      </w:pPr>
      <w:r>
        <w:rPr>
          <w:rStyle w:val="FootnoteReference"/>
        </w:rPr>
        <w:footnoteRef/>
      </w:r>
      <w:r>
        <w:t xml:space="preserve">See SFFAS 4, </w:t>
      </w:r>
      <w:r w:rsidRPr="00C0672B">
        <w:t>Managerial Cost Accounting Standards and Concepts</w:t>
      </w:r>
      <w:r>
        <w:t>, paras. 80–104.</w:t>
      </w:r>
    </w:p>
  </w:footnote>
  <w:footnote w:id="189">
    <w:p w14:paraId="2CD68557" w14:textId="7747F2A3" w:rsidR="00AB3FC6" w:rsidRDefault="00AB3FC6" w:rsidP="00E96346">
      <w:pPr>
        <w:pStyle w:val="FootnoteText"/>
      </w:pPr>
      <w:r>
        <w:rPr>
          <w:rStyle w:val="FootnoteReference"/>
        </w:rPr>
        <w:footnoteRef/>
      </w:r>
      <w:r>
        <w:t>CAEs should be recognized for claims occurring prior to the end of the current reporting period.</w:t>
      </w:r>
      <w:r w:rsidR="00A6273F">
        <w:t xml:space="preserve"> (SFFAS 51, para. 52, </w:t>
      </w:r>
      <w:r w:rsidR="00AC2C66">
        <w:t>fn</w:t>
      </w:r>
      <w:r w:rsidR="00A6273F">
        <w:t xml:space="preserve"> 18)</w:t>
      </w:r>
    </w:p>
  </w:footnote>
  <w:footnote w:id="190">
    <w:p w14:paraId="3CC62A54" w14:textId="0BF380DE" w:rsidR="00AB3FC6" w:rsidRPr="00DC738D" w:rsidRDefault="00AB3FC6" w:rsidP="00E96346">
      <w:pPr>
        <w:pStyle w:val="FootnoteText"/>
      </w:pPr>
      <w:r>
        <w:rPr>
          <w:rStyle w:val="FootnoteReference"/>
        </w:rPr>
        <w:footnoteRef/>
      </w:r>
      <w:r w:rsidRPr="00DC5088">
        <w:t xml:space="preserve">Management should use judgment to determine if an adverse event causes claims IBNR prior to the reporting </w:t>
      </w:r>
      <w:r w:rsidRPr="00DC738D">
        <w:t>date.</w:t>
      </w:r>
      <w:r w:rsidR="00A6273F">
        <w:t xml:space="preserve"> (SFFAS 51, para. 46)</w:t>
      </w:r>
    </w:p>
  </w:footnote>
  <w:footnote w:id="191">
    <w:p w14:paraId="1952BC8C" w14:textId="77777777" w:rsidR="00AB3FC6" w:rsidRDefault="00AB3FC6" w:rsidP="00E96346">
      <w:pPr>
        <w:pStyle w:val="FootnoteText"/>
      </w:pPr>
      <w:r w:rsidRPr="00DC738D">
        <w:rPr>
          <w:rStyle w:val="FootnoteReference"/>
        </w:rPr>
        <w:footnoteRef/>
      </w:r>
      <w:r w:rsidRPr="00DC738D">
        <w:t>Any amount expected to be recovered in excess of the recognized claim, which will result in a gain, should not be recognized until any contingencies relating to the recovery</w:t>
      </w:r>
      <w:r>
        <w:t xml:space="preserve"> have been resolved because a contingent gain cannot be recognized until realized. (SFFAS 51, para. 56)</w:t>
      </w:r>
    </w:p>
  </w:footnote>
  <w:footnote w:id="192">
    <w:p w14:paraId="16180D25" w14:textId="77777777" w:rsidR="00AB3FC6" w:rsidRDefault="00AB3FC6" w:rsidP="00E96346">
      <w:pPr>
        <w:pStyle w:val="FootnoteText"/>
      </w:pPr>
      <w:r>
        <w:rPr>
          <w:rStyle w:val="FootnoteReference"/>
        </w:rPr>
        <w:footnoteRef/>
      </w:r>
      <w:r w:rsidRPr="00BA5E1D">
        <w:t xml:space="preserve">See SFFAS 4, </w:t>
      </w:r>
      <w:r w:rsidRPr="00C0672B">
        <w:t>Managerial Cost Accounting Standards and Concepts</w:t>
      </w:r>
      <w:r w:rsidRPr="00BA5E1D">
        <w:t>, par</w:t>
      </w:r>
      <w:r>
        <w:t>as</w:t>
      </w:r>
      <w:r w:rsidRPr="00BA5E1D">
        <w:t>. 80</w:t>
      </w:r>
      <w:r>
        <w:t>–</w:t>
      </w:r>
      <w:r w:rsidRPr="00BA5E1D">
        <w:t>104</w:t>
      </w:r>
      <w:r>
        <w:t>.</w:t>
      </w:r>
    </w:p>
  </w:footnote>
  <w:footnote w:id="193">
    <w:p w14:paraId="33BD0674" w14:textId="59BCD88E" w:rsidR="00AB3FC6" w:rsidRDefault="00AB3FC6" w:rsidP="00E96346">
      <w:pPr>
        <w:pStyle w:val="FootnoteText"/>
      </w:pPr>
      <w:r>
        <w:rPr>
          <w:rStyle w:val="FootnoteReference"/>
        </w:rPr>
        <w:footnoteRef/>
      </w:r>
      <w:r w:rsidRPr="00A83178">
        <w:t>An explanation</w:t>
      </w:r>
      <w:r>
        <w:t xml:space="preserve"> should be included that avoids the misleading inference that there is more than a remote likelihood that claims equal to the entire insurance in-force amount will be filed at the same time.</w:t>
      </w:r>
      <w:r w:rsidR="0091213C">
        <w:t xml:space="preserve"> </w:t>
      </w:r>
      <w:r w:rsidR="0091213C" w:rsidRPr="00AD271A">
        <w:rPr>
          <w:szCs w:val="22"/>
        </w:rPr>
        <w:t>(SFFAS 51, par</w:t>
      </w:r>
      <w:r w:rsidR="0091213C">
        <w:rPr>
          <w:szCs w:val="22"/>
        </w:rPr>
        <w:t>a</w:t>
      </w:r>
      <w:r w:rsidR="0091213C" w:rsidRPr="00AD271A">
        <w:rPr>
          <w:szCs w:val="22"/>
        </w:rPr>
        <w:t>. 67</w:t>
      </w:r>
      <w:r w:rsidR="0091213C">
        <w:rPr>
          <w:szCs w:val="22"/>
        </w:rPr>
        <w:t xml:space="preserve">, </w:t>
      </w:r>
      <w:r w:rsidR="00AC2C66">
        <w:rPr>
          <w:szCs w:val="22"/>
        </w:rPr>
        <w:t>fn</w:t>
      </w:r>
      <w:r w:rsidR="0091213C">
        <w:rPr>
          <w:szCs w:val="22"/>
        </w:rPr>
        <w:t xml:space="preserve"> 21</w:t>
      </w:r>
      <w:r w:rsidR="0091213C" w:rsidRPr="00AD271A">
        <w:rPr>
          <w:szCs w:val="22"/>
        </w:rPr>
        <w:t>)</w:t>
      </w:r>
    </w:p>
    <w:p w14:paraId="75AD6AF3" w14:textId="77777777" w:rsidR="00AB3FC6" w:rsidRDefault="00AB3FC6" w:rsidP="00E96346">
      <w:pPr>
        <w:pStyle w:val="FootnoteText"/>
      </w:pPr>
    </w:p>
  </w:footnote>
  <w:footnote w:id="194">
    <w:p w14:paraId="18ECF22D" w14:textId="5D9DD888" w:rsidR="00AB3FC6" w:rsidRDefault="00AB3FC6" w:rsidP="00E96346">
      <w:pPr>
        <w:pStyle w:val="FootnoteText"/>
      </w:pPr>
      <w:r>
        <w:rPr>
          <w:rStyle w:val="FootnoteReference"/>
        </w:rPr>
        <w:footnoteRef/>
      </w:r>
      <w:r>
        <w:t>CAEs should be recognized for claims occurring prior to the end of the current reporting period.</w:t>
      </w:r>
      <w:r w:rsidR="00AC1494">
        <w:t xml:space="preserve"> </w:t>
      </w:r>
      <w:r w:rsidR="00AC1494" w:rsidRPr="00AD271A">
        <w:rPr>
          <w:szCs w:val="22"/>
        </w:rPr>
        <w:t>(SFFAS 51, par</w:t>
      </w:r>
      <w:r w:rsidR="00AC1494">
        <w:rPr>
          <w:szCs w:val="22"/>
        </w:rPr>
        <w:t>a</w:t>
      </w:r>
      <w:r w:rsidR="00AC1494" w:rsidRPr="00AD271A">
        <w:rPr>
          <w:szCs w:val="22"/>
        </w:rPr>
        <w:t>. 68</w:t>
      </w:r>
      <w:r w:rsidR="00AC1494">
        <w:rPr>
          <w:szCs w:val="22"/>
        </w:rPr>
        <w:t xml:space="preserve">, </w:t>
      </w:r>
      <w:r w:rsidR="004A3473">
        <w:rPr>
          <w:szCs w:val="22"/>
        </w:rPr>
        <w:t>fn</w:t>
      </w:r>
      <w:r w:rsidR="00AC1494">
        <w:rPr>
          <w:szCs w:val="22"/>
        </w:rPr>
        <w:t xml:space="preserve"> 22</w:t>
      </w:r>
      <w:r w:rsidR="00AC1494" w:rsidRPr="00AD271A">
        <w:rPr>
          <w:szCs w:val="22"/>
        </w:rPr>
        <w:t>)</w:t>
      </w:r>
    </w:p>
  </w:footnote>
  <w:footnote w:id="195">
    <w:p w14:paraId="56A35424" w14:textId="7BFEFB4A" w:rsidR="00AB3FC6" w:rsidRDefault="00AB3FC6" w:rsidP="00E96346">
      <w:pPr>
        <w:pStyle w:val="FootnoteText"/>
      </w:pPr>
      <w:r>
        <w:rPr>
          <w:rStyle w:val="FootnoteReference"/>
        </w:rPr>
        <w:footnoteRef/>
      </w:r>
      <w:r w:rsidRPr="003F45AF">
        <w:t>Nonlegal</w:t>
      </w:r>
      <w:r>
        <w:t xml:space="preserve"> c</w:t>
      </w:r>
      <w:r w:rsidRPr="00A90019">
        <w:t>ontingent environmental and disposable liabilities should be included within the Environmental and Disposal Liabilities line item and not within the Other Liabilities line item. “Legal” refers to those contingencies and contingent liabilities that are</w:t>
      </w:r>
      <w:r w:rsidRPr="00A536A1">
        <w:t xml:space="preserve"> reported in the legal letter and/or management schedule</w:t>
      </w:r>
      <w:r w:rsidRPr="00A90019">
        <w:t xml:space="preserve"> whereas “non-legal” refers to those contingencies and contingent liabilities that are not</w:t>
      </w:r>
      <w:r w:rsidRPr="00A536A1">
        <w:t xml:space="preserve"> included in the legal letter or management schedule.</w:t>
      </w:r>
    </w:p>
  </w:footnote>
  <w:footnote w:id="196">
    <w:p w14:paraId="01E886BC" w14:textId="7FFB494E" w:rsidR="00AB3FC6" w:rsidRDefault="00AB3FC6" w:rsidP="00E96346">
      <w:pPr>
        <w:pStyle w:val="FootnoteText"/>
      </w:pPr>
      <w:r>
        <w:rPr>
          <w:rStyle w:val="FootnoteReference"/>
        </w:rPr>
        <w:footnoteRef/>
      </w:r>
      <w:r>
        <w:t xml:space="preserve">SFFAS 1, </w:t>
      </w:r>
      <w:r w:rsidR="004B6E4A">
        <w:t>para.</w:t>
      </w:r>
      <w:r>
        <w:t xml:space="preserve"> 41, provides that such a request should be recorded if a claim to cash is established based on legal provisions, such as a payment due date.</w:t>
      </w:r>
    </w:p>
  </w:footnote>
  <w:footnote w:id="197">
    <w:p w14:paraId="50859963" w14:textId="01B0DC36" w:rsidR="00AB3FC6" w:rsidRPr="00D17DBA" w:rsidRDefault="00AB3FC6" w:rsidP="00E96346">
      <w:pPr>
        <w:pStyle w:val="FootnoteText"/>
      </w:pPr>
      <w:r w:rsidRPr="00D17DBA">
        <w:rPr>
          <w:rStyle w:val="FootnoteReference"/>
        </w:rPr>
        <w:footnoteRef/>
      </w:r>
      <w:r w:rsidRPr="00D17DBA">
        <w:t>Refund offsets are amounts withheld from refunds on behalf of other agencies. (SFFAS 7, par</w:t>
      </w:r>
      <w:r>
        <w:t>a</w:t>
      </w:r>
      <w:r w:rsidRPr="00D17DBA">
        <w:t>. 51)</w:t>
      </w:r>
    </w:p>
  </w:footnote>
  <w:footnote w:id="198">
    <w:p w14:paraId="305A428F" w14:textId="39C2E34F" w:rsidR="00AB3FC6" w:rsidRPr="00D17DBA" w:rsidRDefault="00AB3FC6" w:rsidP="00E96346">
      <w:pPr>
        <w:pStyle w:val="FootnoteText"/>
      </w:pPr>
      <w:r w:rsidRPr="00D17DBA">
        <w:rPr>
          <w:rStyle w:val="FootnoteReference"/>
        </w:rPr>
        <w:footnoteRef/>
      </w:r>
      <w:r w:rsidRPr="00D17DBA">
        <w:t>Drawbacks are refunds payable on all or part of duties paid on imported goods that are subsequently exported or destroyed. (SFFAS 7, par</w:t>
      </w:r>
      <w:r>
        <w:t>a</w:t>
      </w:r>
      <w:r w:rsidRPr="00D17DBA">
        <w:t>. 51)</w:t>
      </w:r>
      <w:r w:rsidRPr="00D17DBA">
        <w:rPr>
          <w:b/>
        </w:rPr>
        <w:t xml:space="preserve"> </w:t>
      </w:r>
    </w:p>
  </w:footnote>
  <w:footnote w:id="199">
    <w:p w14:paraId="23ECB80E" w14:textId="66382640" w:rsidR="00AB3FC6" w:rsidRDefault="00AB3FC6" w:rsidP="00E96346">
      <w:pPr>
        <w:pStyle w:val="FootnoteText"/>
      </w:pPr>
      <w:r w:rsidRPr="00A15B3A">
        <w:rPr>
          <w:rStyle w:val="FootnoteReference"/>
        </w:rPr>
        <w:footnoteRef/>
      </w:r>
      <w:r w:rsidRPr="00A15B3A">
        <w:t>Options to purchase the underlying asset prior to the transfer of ownership, or an availability of funds or cancellation clause that is not probable of being exercised</w:t>
      </w:r>
      <w:r w:rsidR="00B001DF">
        <w:t>,</w:t>
      </w:r>
      <w:r w:rsidRPr="00A15B3A">
        <w:t xml:space="preserve"> are not considered options to terminate</w:t>
      </w:r>
      <w:r w:rsidR="00B001DF">
        <w:t>.</w:t>
      </w:r>
      <w:r w:rsidRPr="00A15B3A">
        <w:t xml:space="preserve"> (SFFAS 54, para. 25)</w:t>
      </w:r>
    </w:p>
  </w:footnote>
  <w:footnote w:id="200">
    <w:p w14:paraId="4A6CD957" w14:textId="53233B4A" w:rsidR="001E23E5" w:rsidRDefault="001E23E5" w:rsidP="00E96346">
      <w:pPr>
        <w:pStyle w:val="FootnoteText"/>
      </w:pPr>
      <w:r>
        <w:rPr>
          <w:rStyle w:val="FootnoteReference"/>
        </w:rPr>
        <w:footnoteRef/>
      </w:r>
      <w:r w:rsidRPr="008F4143">
        <w:t>Lease incentives include lessor payments made to or on behalf of the lessee to entice the lessee to sign a lease. Lease incentives may include up-front cash payments to the lessee, for example, moving costs, termination fees to lessee</w:t>
      </w:r>
      <w:r w:rsidR="00B001DF">
        <w:t>’</w:t>
      </w:r>
      <w:r w:rsidRPr="008F4143">
        <w:t>s prior lessor, or lessor</w:t>
      </w:r>
      <w:r w:rsidR="00B001DF">
        <w:t>’</w:t>
      </w:r>
      <w:r w:rsidRPr="008F4143">
        <w:t>s assumption of the lessee</w:t>
      </w:r>
      <w:r w:rsidR="00B001DF">
        <w:t>’</w:t>
      </w:r>
      <w:r w:rsidRPr="008F4143">
        <w:t>s lease obligation under a different lease with another lessor. (SFFAS 54, para. 70)</w:t>
      </w:r>
    </w:p>
  </w:footnote>
  <w:footnote w:id="201">
    <w:p w14:paraId="4CDACA0D" w14:textId="09A66439" w:rsidR="001E23E5" w:rsidRDefault="001E23E5" w:rsidP="00E96346">
      <w:pPr>
        <w:pStyle w:val="FootnoteText"/>
      </w:pPr>
      <w:r>
        <w:rPr>
          <w:rStyle w:val="FootnoteReference"/>
        </w:rPr>
        <w:footnoteRef/>
      </w:r>
      <w:r w:rsidRPr="008F4143">
        <w:t>Lease concessions are rent discounts made by the lessor to entice the lessee to sign a lease. For example, lease concessions may include rent holidays/free rent periods or reduced rents. (SFFAS 54, para. 70)</w:t>
      </w:r>
    </w:p>
  </w:footnote>
  <w:footnote w:id="202">
    <w:p w14:paraId="426B3994" w14:textId="1EA91B92" w:rsidR="00DC6BF1" w:rsidRDefault="00DC6BF1" w:rsidP="00E96346">
      <w:pPr>
        <w:pStyle w:val="FootnoteText"/>
      </w:pPr>
      <w:r>
        <w:rPr>
          <w:rStyle w:val="FootnoteReference"/>
        </w:rPr>
        <w:footnoteRef/>
      </w:r>
      <w:r>
        <w:t xml:space="preserve">Leasehold improvements are a component of </w:t>
      </w:r>
      <w:r w:rsidR="008E198E">
        <w:t>PP&amp;E.</w:t>
      </w:r>
      <w:r>
        <w:t xml:space="preserve"> (SFFAS 6, para. 18)</w:t>
      </w:r>
    </w:p>
  </w:footnote>
  <w:footnote w:id="203">
    <w:p w14:paraId="6421B836" w14:textId="4AD2BA94" w:rsidR="00A8550A" w:rsidRDefault="00A8550A" w:rsidP="00E96346">
      <w:pPr>
        <w:pStyle w:val="FootnoteText"/>
      </w:pPr>
      <w:r>
        <w:rPr>
          <w:rStyle w:val="FootnoteReference"/>
        </w:rPr>
        <w:footnoteRef/>
      </w:r>
      <w:r w:rsidRPr="00795462">
        <w:t>Components of the lease expenses (e.g., any utility, tax, maintenance amounts included i</w:t>
      </w:r>
      <w:r>
        <w:t xml:space="preserve">n </w:t>
      </w:r>
      <w:r w:rsidRPr="00795462">
        <w:t>lease payments) need not be disclosed</w:t>
      </w:r>
      <w:r>
        <w:t xml:space="preserve"> </w:t>
      </w:r>
      <w:r w:rsidRPr="00795462">
        <w:t>but may be disclosed at management’s discretion.</w:t>
      </w:r>
      <w:r>
        <w:t xml:space="preserve"> (A-136, section II.3.8.19)</w:t>
      </w:r>
    </w:p>
  </w:footnote>
  <w:footnote w:id="204">
    <w:p w14:paraId="175188E3" w14:textId="114CA60C" w:rsidR="00A8550A" w:rsidRDefault="00A8550A" w:rsidP="00E96346">
      <w:pPr>
        <w:pStyle w:val="FootnoteText"/>
      </w:pPr>
      <w:r w:rsidRPr="00A15B3A">
        <w:rPr>
          <w:rStyle w:val="FootnoteReference"/>
        </w:rPr>
        <w:footnoteRef/>
      </w:r>
      <w:r w:rsidRPr="00A15B3A">
        <w:t>The contents of the general descriptions are left to the discretion of the reporting entity. For example, the lessor may elect to summarize and describe the nature and general purpose of its intragovernmental leases. (</w:t>
      </w:r>
      <w:r w:rsidR="00C140EF">
        <w:t>TR 20</w:t>
      </w:r>
      <w:r w:rsidRPr="00A15B3A">
        <w:t>, para. 42)</w:t>
      </w:r>
    </w:p>
  </w:footnote>
  <w:footnote w:id="205">
    <w:p w14:paraId="7AC03380" w14:textId="70F8ED9E" w:rsidR="00833A5B" w:rsidRDefault="00833A5B" w:rsidP="00E96346">
      <w:pPr>
        <w:pStyle w:val="FootnoteText"/>
      </w:pPr>
      <w:r>
        <w:rPr>
          <w:rStyle w:val="FootnoteReference"/>
        </w:rPr>
        <w:footnoteRef/>
      </w:r>
      <w:r>
        <w:t>See the following section on Lease Terms for additional context.</w:t>
      </w:r>
    </w:p>
  </w:footnote>
  <w:footnote w:id="206">
    <w:p w14:paraId="4B5DAE27" w14:textId="56BD5FF8" w:rsidR="00A8550A" w:rsidRDefault="00A8550A" w:rsidP="00E96346">
      <w:pPr>
        <w:pStyle w:val="FootnoteText"/>
      </w:pPr>
      <w:r>
        <w:rPr>
          <w:rStyle w:val="FootnoteReference"/>
        </w:rPr>
        <w:footnoteRef/>
      </w:r>
      <w:r w:rsidRPr="00A15B3A">
        <w:t xml:space="preserve">The noncancelable period as the shorter of </w:t>
      </w:r>
      <w:r w:rsidR="00EC2DC6">
        <w:t>(</w:t>
      </w:r>
      <w:r w:rsidRPr="00A15B3A">
        <w:t>a</w:t>
      </w:r>
      <w:r w:rsidR="00EC2DC6">
        <w:t>)</w:t>
      </w:r>
      <w:r w:rsidRPr="00A15B3A">
        <w:t xml:space="preserve"> the period identified in the lease contract or agreement that precedes any option to extend the lease or </w:t>
      </w:r>
      <w:r w:rsidR="00EC2DC6">
        <w:t>(</w:t>
      </w:r>
      <w:r w:rsidRPr="00A15B3A">
        <w:t>b</w:t>
      </w:r>
      <w:r w:rsidR="00EC2DC6">
        <w:t>)</w:t>
      </w:r>
      <w:r w:rsidRPr="00A15B3A">
        <w:t xml:space="preserve"> the period identified in the lease contract or agreement that precedes the first option to terminate the lease</w:t>
      </w:r>
      <w:r w:rsidR="00EC2DC6">
        <w:t>.</w:t>
      </w:r>
      <w:r w:rsidRPr="00A15B3A">
        <w:t xml:space="preserve"> (SFFAS 54, para. 14)</w:t>
      </w:r>
    </w:p>
  </w:footnote>
  <w:footnote w:id="207">
    <w:p w14:paraId="63EEE96E" w14:textId="1730236F" w:rsidR="00A8550A" w:rsidRDefault="00A8550A" w:rsidP="00E96346">
      <w:pPr>
        <w:pStyle w:val="FootnoteText"/>
      </w:pPr>
      <w:r w:rsidRPr="00A15B3A">
        <w:rPr>
          <w:rStyle w:val="FootnoteReference"/>
        </w:rPr>
        <w:footnoteRef/>
      </w:r>
      <w:r w:rsidRPr="00A15B3A">
        <w:t xml:space="preserve">The noncancelable period as the shorter of </w:t>
      </w:r>
      <w:r w:rsidR="0002025B">
        <w:t>(</w:t>
      </w:r>
      <w:r w:rsidRPr="00A15B3A">
        <w:t>a</w:t>
      </w:r>
      <w:r w:rsidR="0002025B">
        <w:t>)</w:t>
      </w:r>
      <w:r w:rsidRPr="00A15B3A">
        <w:t xml:space="preserve"> the period identified in the lease contract or agreement that precedes any option to extend the lease or </w:t>
      </w:r>
      <w:r w:rsidR="0002025B">
        <w:t>(</w:t>
      </w:r>
      <w:r w:rsidRPr="00A15B3A">
        <w:t>b</w:t>
      </w:r>
      <w:r w:rsidR="0002025B">
        <w:t>)</w:t>
      </w:r>
      <w:r w:rsidRPr="00A15B3A">
        <w:t xml:space="preserve"> the period identified in the lease contract or agreement that precedes the first option to terminate the lease</w:t>
      </w:r>
      <w:r w:rsidR="0002025B">
        <w:t>.</w:t>
      </w:r>
      <w:r w:rsidRPr="00A15B3A">
        <w:t xml:space="preserve"> (SFFAS 54, para. 14)</w:t>
      </w:r>
    </w:p>
  </w:footnote>
  <w:footnote w:id="208">
    <w:p w14:paraId="006A0C5F" w14:textId="0411F8A2" w:rsidR="00A8550A" w:rsidRDefault="00A8550A" w:rsidP="00E96346">
      <w:pPr>
        <w:pStyle w:val="FootnoteText"/>
      </w:pPr>
      <w:r>
        <w:rPr>
          <w:rStyle w:val="FootnoteReference"/>
        </w:rPr>
        <w:footnoteRef/>
      </w:r>
      <w:r w:rsidRPr="00A15B3A">
        <w:t>An option to terminate is an unconditional right that exists within the contract. A provision that gives a lessee or lessor the right to terminate the lease conditional upon certain circumstance or upon the occurrence of certain events, such as the action or inaction of the other party to the lease contract, should not be considered an option to terminate the lease for purposes of determining the lease term. For example, provisions that allow for termination of a lease due to a violation of lease terms and conditions, such as a default on payments, are not considered options to terminate the lease. (SFFAS 54, para. 19.b) An availability of funds or cancellation clause, which allows federal lessees to cancel a lease agreement, typically on an annual basis, if funds for the lease payments are not appropriated, should only affect the lease term when it is probable that the clause will be exercised. (SFFAS 54, para. 19.c)</w:t>
      </w:r>
    </w:p>
  </w:footnote>
  <w:footnote w:id="209">
    <w:p w14:paraId="7F69477D" w14:textId="25F5F4C6" w:rsidR="00A8550A" w:rsidRPr="00A15B3A" w:rsidRDefault="00A8550A" w:rsidP="00E96346">
      <w:pPr>
        <w:pStyle w:val="FootnoteText"/>
      </w:pPr>
      <w:r>
        <w:rPr>
          <w:rStyle w:val="FootnoteReference"/>
        </w:rPr>
        <w:footnoteRef/>
      </w:r>
      <w:r w:rsidRPr="00A15B3A">
        <w:t xml:space="preserve">The assessment often will require </w:t>
      </w:r>
      <w:r w:rsidR="0005634B">
        <w:t>the consideration of</w:t>
      </w:r>
      <w:r w:rsidRPr="00A15B3A">
        <w:t xml:space="preserve"> a combination of these interrelated factors. Examples of factors to consider include, but are not limited to, the following:</w:t>
      </w:r>
    </w:p>
    <w:p w14:paraId="04E88259" w14:textId="77777777" w:rsidR="00A8550A" w:rsidRPr="00A15B3A" w:rsidRDefault="00A8550A" w:rsidP="00E96346">
      <w:pPr>
        <w:pStyle w:val="FootnoteText"/>
      </w:pPr>
      <w:r w:rsidRPr="00A15B3A">
        <w:t>(a) A significant economic incentive, such as contractual or agreement terms and conditions for optional periods that are favorable compared with current market rates</w:t>
      </w:r>
    </w:p>
    <w:p w14:paraId="66DD3C76" w14:textId="77777777" w:rsidR="00A8550A" w:rsidRPr="00A15B3A" w:rsidRDefault="00A8550A" w:rsidP="00E96346">
      <w:pPr>
        <w:pStyle w:val="FootnoteText"/>
      </w:pPr>
      <w:r w:rsidRPr="00A15B3A">
        <w:t>(b) A significant economic disincentive, such as costs to terminate the lease and sign a new lease (for example, negotiation costs, relocation costs, abandonment of significant leasehold improvements, costs of identifying another suitable underlying asset, costs associated with returning the underlying asset in a contractually specified condition or to a contractually specified location, or a substantial cancellation penalty)</w:t>
      </w:r>
    </w:p>
    <w:p w14:paraId="50657A8B" w14:textId="77777777" w:rsidR="00A8550A" w:rsidRPr="00A15B3A" w:rsidRDefault="00A8550A" w:rsidP="00E96346">
      <w:pPr>
        <w:pStyle w:val="FootnoteText"/>
      </w:pPr>
      <w:r w:rsidRPr="00A15B3A">
        <w:t>(c) The history of exercising options to extend or terminate</w:t>
      </w:r>
    </w:p>
    <w:p w14:paraId="601B141D" w14:textId="77777777" w:rsidR="00A8550A" w:rsidRDefault="00A8550A" w:rsidP="00E96346">
      <w:pPr>
        <w:pStyle w:val="FootnoteText"/>
      </w:pPr>
      <w:r w:rsidRPr="00A15B3A">
        <w:t>(d) The extent to which the asset underlying the lease is mission critical to the federal entity (SFFAS 54, para. 20)</w:t>
      </w:r>
    </w:p>
  </w:footnote>
  <w:footnote w:id="210">
    <w:p w14:paraId="09DF92C7" w14:textId="059A84A3" w:rsidR="00A8550A" w:rsidRDefault="00A8550A" w:rsidP="00E96346">
      <w:pPr>
        <w:pStyle w:val="FootnoteText"/>
      </w:pPr>
      <w:r w:rsidRPr="00A15B3A">
        <w:rPr>
          <w:rStyle w:val="FootnoteReference"/>
        </w:rPr>
        <w:footnoteRef/>
      </w:r>
      <w:r w:rsidRPr="00A15B3A">
        <w:t>The lease term is the noncancelable period plus certain periods subject to options to extend or terminate the lease under para</w:t>
      </w:r>
      <w:r w:rsidR="00B435CC">
        <w:t>s.</w:t>
      </w:r>
      <w:r w:rsidRPr="00A15B3A">
        <w:t xml:space="preserve"> 14</w:t>
      </w:r>
      <w:r w:rsidR="00B435CC">
        <w:t>–</w:t>
      </w:r>
      <w:r w:rsidRPr="00A15B3A">
        <w:t xml:space="preserve">20 of SFFAS 54. These periods include any applicable periods prior to the reassessment date, </w:t>
      </w:r>
      <w:r w:rsidRPr="007A60B9">
        <w:t>except as provided for when applying prospective implementation requirements under para</w:t>
      </w:r>
      <w:r w:rsidR="00B435CC" w:rsidRPr="007A60B9">
        <w:t>.</w:t>
      </w:r>
      <w:r w:rsidRPr="007A60B9">
        <w:t xml:space="preserve"> 97.b. Accordingly, lease term reassessments would not consider periods that precede the implementation effective date of SFFAS 54.</w:t>
      </w:r>
      <w:r w:rsidRPr="00A15B3A">
        <w:t xml:space="preserve"> (</w:t>
      </w:r>
      <w:r w:rsidR="00C140EF">
        <w:t>TR 20</w:t>
      </w:r>
      <w:r w:rsidRPr="00A15B3A">
        <w:t>, para. 31)</w:t>
      </w:r>
    </w:p>
  </w:footnote>
  <w:footnote w:id="211">
    <w:p w14:paraId="1780C4F0" w14:textId="621C279C" w:rsidR="00813741" w:rsidRDefault="00813741" w:rsidP="00E96346">
      <w:pPr>
        <w:pStyle w:val="FootnoteText"/>
      </w:pPr>
      <w:r w:rsidRPr="00D306DB">
        <w:rPr>
          <w:rStyle w:val="FootnoteReference"/>
        </w:rPr>
        <w:footnoteRef/>
      </w:r>
      <w:r w:rsidRPr="00D306DB">
        <w:t xml:space="preserve">Contracts or agreements that contain lease component(s) and nonlease component(s), such as service components, and serve a primary purpose attributable to the nonlease component(s) </w:t>
      </w:r>
      <w:r w:rsidR="00877E4B" w:rsidRPr="00D306DB">
        <w:t xml:space="preserve">are commonly described as contracts or agreements with an embedded lease. </w:t>
      </w:r>
      <w:r w:rsidR="00661986" w:rsidRPr="00D306DB">
        <w:t>(SFFAS 62, summary)</w:t>
      </w:r>
    </w:p>
  </w:footnote>
  <w:footnote w:id="212">
    <w:p w14:paraId="11B6A1AE" w14:textId="6EF8E9AE" w:rsidR="00A03982" w:rsidRPr="00F95638" w:rsidRDefault="00A03982" w:rsidP="00DD4551">
      <w:pPr>
        <w:autoSpaceDE w:val="0"/>
        <w:autoSpaceDN w:val="0"/>
        <w:adjustRightInd w:val="0"/>
        <w:spacing w:after="0" w:line="240" w:lineRule="auto"/>
        <w:rPr>
          <w:rFonts w:ascii="Arial" w:eastAsia="Times New Roman" w:hAnsi="Arial" w:cs="Arial"/>
          <w:sz w:val="18"/>
          <w:szCs w:val="18"/>
        </w:rPr>
      </w:pPr>
      <w:r>
        <w:rPr>
          <w:rStyle w:val="FootnoteReference"/>
        </w:rPr>
        <w:footnoteRef/>
      </w:r>
      <w:r>
        <w:rPr>
          <w:rFonts w:ascii="Arial" w:eastAsia="Times New Roman" w:hAnsi="Arial" w:cs="Arial"/>
          <w:sz w:val="18"/>
          <w:szCs w:val="18"/>
        </w:rPr>
        <w:t>This applies unless the modification affects the primary purpose assessment under para. 96A and results in the primary purpose attribution changing from nonlease component(s) to lease component(s) based on the nature of the modified contract or agreement and professional judgment. (SFFAS 54, para. 96B)</w:t>
      </w:r>
    </w:p>
  </w:footnote>
  <w:footnote w:id="213">
    <w:p w14:paraId="68EF987E" w14:textId="5E29A06F" w:rsidR="00A03982" w:rsidRDefault="00A03982" w:rsidP="00E96346">
      <w:pPr>
        <w:pStyle w:val="FootnoteText"/>
      </w:pPr>
      <w:r w:rsidRPr="00A15B3A">
        <w:rPr>
          <w:rStyle w:val="FootnoteReference"/>
        </w:rPr>
        <w:footnoteRef/>
      </w:r>
      <w:r w:rsidRPr="00A15B3A">
        <w:t>For example, the primary lease component’s lease term should be used for the unit if the lease components have different lease terms. (SFFAS 54, para. 77)</w:t>
      </w:r>
    </w:p>
  </w:footnote>
  <w:footnote w:id="214">
    <w:p w14:paraId="30A0E594" w14:textId="0D0B1D98" w:rsidR="00A90023" w:rsidRDefault="00A90023" w:rsidP="00E96346">
      <w:pPr>
        <w:pStyle w:val="FootnoteText"/>
      </w:pPr>
      <w:r>
        <w:rPr>
          <w:rStyle w:val="FootnoteReference"/>
        </w:rPr>
        <w:footnoteRef/>
      </w:r>
      <w:r>
        <w:t>A reporting entity may apply the provisions of SFFAS 54 paras. 96A-96C to groups of contracts or</w:t>
      </w:r>
      <w:r w:rsidR="00B44716">
        <w:t xml:space="preserve"> </w:t>
      </w:r>
      <w:r>
        <w:t>agreements that are reasonably similar in nature. A reporting entity may select different</w:t>
      </w:r>
      <w:r w:rsidR="00B44716">
        <w:t xml:space="preserve"> </w:t>
      </w:r>
      <w:r>
        <w:t>accommodation periods under paragraph 96B for different groupings of contracts or</w:t>
      </w:r>
      <w:r w:rsidR="00B44716">
        <w:t xml:space="preserve"> </w:t>
      </w:r>
      <w:r>
        <w:t>agreements. (SFFAS 54, para. 96</w:t>
      </w:r>
      <w:r w:rsidR="00774D18">
        <w:t>D</w:t>
      </w:r>
      <w:r>
        <w:t>)</w:t>
      </w:r>
    </w:p>
  </w:footnote>
  <w:footnote w:id="215">
    <w:p w14:paraId="4BB50ADC" w14:textId="7DFCB5A3" w:rsidR="00A03982" w:rsidRDefault="00A03982" w:rsidP="00E96346">
      <w:pPr>
        <w:pStyle w:val="FootnoteText"/>
      </w:pPr>
      <w:r>
        <w:rPr>
          <w:rStyle w:val="FootnoteReference"/>
        </w:rPr>
        <w:footnoteRef/>
      </w:r>
      <w:r>
        <w:t xml:space="preserve">The original lease component(s) </w:t>
      </w:r>
      <w:r w:rsidRPr="00644829">
        <w:t>may</w:t>
      </w:r>
      <w:r>
        <w:t xml:space="preserve"> continue to be accounted for as a nonlease component under the accommodation without prospective application of para. 73. (SFFAS 54, para. 96C, fn 11B)</w:t>
      </w:r>
    </w:p>
  </w:footnote>
  <w:footnote w:id="216">
    <w:p w14:paraId="0DD9AB27" w14:textId="7FDCDC7B" w:rsidR="00A03982" w:rsidRDefault="00A03982" w:rsidP="00E96346">
      <w:pPr>
        <w:pStyle w:val="FootnoteText"/>
      </w:pPr>
      <w:r>
        <w:rPr>
          <w:rStyle w:val="FootnoteReference"/>
        </w:rPr>
        <w:footnoteRef/>
      </w:r>
      <w:r>
        <w:t xml:space="preserve">In such cases, the </w:t>
      </w:r>
      <w:r w:rsidRPr="00DA76CF">
        <w:t xml:space="preserve">lease term </w:t>
      </w:r>
      <w:r>
        <w:t xml:space="preserve">would be assumed to have </w:t>
      </w:r>
      <w:r w:rsidRPr="00DA76CF">
        <w:t>beg</w:t>
      </w:r>
      <w:r>
        <w:t>u</w:t>
      </w:r>
      <w:r w:rsidRPr="00DA76CF">
        <w:t>n as of the effective date of the modification for purposes of initial recognit</w:t>
      </w:r>
      <w:r>
        <w:t>ion and measurement. (SFFAS 54, para. 96</w:t>
      </w:r>
      <w:r w:rsidRPr="00DA76CF">
        <w:t>C)</w:t>
      </w:r>
    </w:p>
  </w:footnote>
  <w:footnote w:id="217">
    <w:p w14:paraId="02983A5F" w14:textId="57034B99" w:rsidR="00A03982" w:rsidRDefault="00A03982" w:rsidP="00E96346">
      <w:pPr>
        <w:pStyle w:val="FootnoteText"/>
      </w:pPr>
      <w:r>
        <w:rPr>
          <w:rStyle w:val="FootnoteReference"/>
        </w:rPr>
        <w:footnoteRef/>
      </w:r>
      <w:r w:rsidRPr="00C562D5">
        <w:t>The disclosure need not be repeated duri</w:t>
      </w:r>
      <w:r>
        <w:t>ng subsequent reporting periods. (SFFAS 54, para. 96</w:t>
      </w:r>
      <w:r w:rsidRPr="00C562D5">
        <w:t>E)</w:t>
      </w:r>
    </w:p>
  </w:footnote>
  <w:footnote w:id="218">
    <w:p w14:paraId="3C991DFC" w14:textId="7FD3FE47" w:rsidR="00A03982" w:rsidRDefault="00A03982" w:rsidP="00E96346">
      <w:pPr>
        <w:pStyle w:val="FootnoteText"/>
      </w:pPr>
      <w:r>
        <w:rPr>
          <w:rStyle w:val="FootnoteReference"/>
        </w:rPr>
        <w:footnoteRef/>
      </w:r>
      <w:r w:rsidRPr="00420F11">
        <w:t xml:space="preserve">An agent capacity is similar to that of a broker. The entity acting in </w:t>
      </w:r>
      <w:r>
        <w:t>an agent</w:t>
      </w:r>
      <w:r w:rsidRPr="00420F11">
        <w:t xml:space="preserve"> capacity would be providing a service to the agency expected to derive the economic benefits and services of the underlying assets. Under this agreement, the former would not provide rent consideration to the lessor or receive rent consideration from the latter. (</w:t>
      </w:r>
      <w:r w:rsidR="00C140EF">
        <w:t>TR 20</w:t>
      </w:r>
      <w:r w:rsidRPr="00420F11">
        <w:t>, para. 91)</w:t>
      </w:r>
    </w:p>
  </w:footnote>
  <w:footnote w:id="219">
    <w:p w14:paraId="32D99437" w14:textId="20A6337D" w:rsidR="00A03982" w:rsidRPr="00A15B3A" w:rsidRDefault="00A03982" w:rsidP="00E96346">
      <w:pPr>
        <w:pStyle w:val="FootnoteText"/>
      </w:pPr>
      <w:r w:rsidRPr="00A15B3A">
        <w:rPr>
          <w:rStyle w:val="FootnoteReference"/>
        </w:rPr>
        <w:footnoteRef/>
      </w:r>
      <w:r w:rsidRPr="00A15B3A">
        <w:t>The disclosure requirements of para</w:t>
      </w:r>
      <w:r>
        <w:t>.</w:t>
      </w:r>
      <w:r w:rsidRPr="00A15B3A">
        <w:t xml:space="preserve"> 93 of SFFAS 54 apply to short-term leases, intragovernmental leases</w:t>
      </w:r>
      <w:r>
        <w:t>,</w:t>
      </w:r>
      <w:r w:rsidRPr="00A15B3A">
        <w:t xml:space="preserve"> and non-federal leases that are part of lease-leaseback transactions. (</w:t>
      </w:r>
      <w:r w:rsidR="00C140EF">
        <w:t>TR 20</w:t>
      </w:r>
      <w:r w:rsidRPr="00A15B3A">
        <w:t>, para. 96)</w:t>
      </w:r>
    </w:p>
  </w:footnote>
  <w:footnote w:id="220">
    <w:p w14:paraId="149598FE" w14:textId="2311FCB5" w:rsidR="00A03982" w:rsidRDefault="00A03982" w:rsidP="00E96346">
      <w:pPr>
        <w:pStyle w:val="FootnoteText"/>
      </w:pPr>
      <w:r>
        <w:rPr>
          <w:rStyle w:val="FootnoteReference"/>
        </w:rPr>
        <w:footnoteRef/>
      </w:r>
      <w:r w:rsidRPr="008D5CDE">
        <w:t>The interest rate may be based on a recent interest rate on marketable Treasury securities or historical average interest rate on marketable Treasury securities of a similar maturity to the term of the lease, provided that the interest rate is consistent with the interest rate on marketable Treasury securities at the commencement of the lease term (or subsequent financial reporting date). (SFFAS 54, para. 42A)</w:t>
      </w:r>
    </w:p>
  </w:footnote>
  <w:footnote w:id="221">
    <w:p w14:paraId="0068705C" w14:textId="04186B5F" w:rsidR="00A03982" w:rsidRDefault="00A03982" w:rsidP="00E96346">
      <w:pPr>
        <w:pStyle w:val="FootnoteText"/>
      </w:pPr>
      <w:r>
        <w:rPr>
          <w:rStyle w:val="FootnoteReference"/>
        </w:rPr>
        <w:footnoteRef/>
      </w:r>
      <w:r>
        <w:t>When selecting an interest rate based on marketable Treasury securities of similar maturity to the term of the lease, reporting entities may round up or down to the nearest maturity or interpolate the interest rate for the period between two maturities. The methodology for selecting an interest rate based on marketable Treasury security maturities should be consistent from period to period. (SFFAS 54, para. 42B)</w:t>
      </w:r>
    </w:p>
    <w:p w14:paraId="0DA68524" w14:textId="719D1E3A" w:rsidR="00A03982" w:rsidRDefault="00A03982" w:rsidP="00E96346">
      <w:pPr>
        <w:pStyle w:val="FootnoteText"/>
      </w:pPr>
      <w:r>
        <w:t>Reporting entities should not extrapolate beyond the longest Treasury maturity when the lease term exceeds it; rather, reporting entities should select the longest Treasury maturity. For example, if the longest Treasury maturity at commencement of the lease term is 30 years, reporting entities should select the 30-year rate as the discount rate for a lease with a 75-year term. (SFFAS 54, para. 42C)</w:t>
      </w:r>
    </w:p>
  </w:footnote>
  <w:footnote w:id="222">
    <w:p w14:paraId="048C22D0" w14:textId="37DBD728" w:rsidR="00A03982" w:rsidRDefault="00A03982" w:rsidP="00E96346">
      <w:pPr>
        <w:pStyle w:val="FootnoteText"/>
      </w:pPr>
      <w:r w:rsidRPr="00A15B3A">
        <w:rPr>
          <w:rStyle w:val="FootnoteReference"/>
        </w:rPr>
        <w:footnoteRef/>
      </w:r>
      <w:r w:rsidRPr="00A15B3A">
        <w:t>A lease liability is not required to be remeasured solely for a change in an index or rate used to determine variable payments.</w:t>
      </w:r>
      <w:r>
        <w:t xml:space="preserve"> A lease liability is not required to be remeasured, nor is the discount rate required to be reassessed, solely for a change in the interest rate on marketable Treasury securities.</w:t>
      </w:r>
      <w:r w:rsidRPr="00A15B3A">
        <w:t xml:space="preserve"> (SFFAS 54, para</w:t>
      </w:r>
      <w:r>
        <w:t>s</w:t>
      </w:r>
      <w:r w:rsidRPr="00A15B3A">
        <w:t>. 45</w:t>
      </w:r>
      <w:r>
        <w:t xml:space="preserve"> and 47</w:t>
      </w:r>
      <w:r w:rsidRPr="00A15B3A">
        <w:t>)</w:t>
      </w:r>
      <w:r>
        <w:t xml:space="preserve"> </w:t>
      </w:r>
    </w:p>
  </w:footnote>
  <w:footnote w:id="223">
    <w:p w14:paraId="0F204854" w14:textId="4CF8F09A" w:rsidR="00A03982" w:rsidRDefault="00A03982" w:rsidP="00E96346">
      <w:pPr>
        <w:pStyle w:val="FootnoteText"/>
      </w:pPr>
      <w:r w:rsidRPr="00A15B3A">
        <w:rPr>
          <w:rStyle w:val="FootnoteReference"/>
        </w:rPr>
        <w:footnoteRef/>
      </w:r>
      <w:r w:rsidRPr="00A15B3A">
        <w:t>The grouping provisions in SFFAS 54</w:t>
      </w:r>
      <w:r>
        <w:t>,</w:t>
      </w:r>
      <w:r w:rsidRPr="00A15B3A">
        <w:t xml:space="preserve"> para. 54 apply to disclosures in which a grouping option is not specifically addressed in other disclosure requirements (such as disclosures of sublease transactions required by SFFAS 54, para. 88). (</w:t>
      </w:r>
      <w:r w:rsidR="00C140EF">
        <w:t>TR 20</w:t>
      </w:r>
      <w:r w:rsidRPr="00A15B3A">
        <w:t>, para. 60)</w:t>
      </w:r>
    </w:p>
  </w:footnote>
  <w:footnote w:id="224">
    <w:p w14:paraId="64836BEC" w14:textId="405CDE08" w:rsidR="00A03982" w:rsidRPr="00601CA8" w:rsidRDefault="00A03982" w:rsidP="00E96346">
      <w:pPr>
        <w:pStyle w:val="FootnoteText"/>
        <w:rPr>
          <w:b/>
        </w:rPr>
      </w:pPr>
      <w:r>
        <w:rPr>
          <w:rStyle w:val="FootnoteReference"/>
        </w:rPr>
        <w:footnoteRef/>
      </w:r>
      <w:r>
        <w:t xml:space="preserve">The right-to-use lease asset is to be presented as a component of PP&amp;E. Reporting entities need to disclose the right to use lease asset within the PP&amp;E note separately (usually as a separate line item within the table detailing the composition of the PP&amp;E presented on the balance sheet) from other PP&amp;E components. (A-136, section II.3.8.10) </w:t>
      </w:r>
    </w:p>
  </w:footnote>
  <w:footnote w:id="225">
    <w:p w14:paraId="20D0196C" w14:textId="338DAE08" w:rsidR="00A03982" w:rsidRDefault="00A03982" w:rsidP="00E96346">
      <w:pPr>
        <w:pStyle w:val="FootnoteText"/>
      </w:pPr>
      <w:r w:rsidRPr="00A15B3A">
        <w:rPr>
          <w:rStyle w:val="FootnoteReference"/>
        </w:rPr>
        <w:footnoteRef/>
      </w:r>
      <w:r w:rsidRPr="00A15B3A">
        <w:t xml:space="preserve">Initial </w:t>
      </w:r>
      <w:r>
        <w:t>d</w:t>
      </w:r>
      <w:r w:rsidRPr="00A15B3A">
        <w:t xml:space="preserve">irect </w:t>
      </w:r>
      <w:r>
        <w:t>l</w:t>
      </w:r>
      <w:r w:rsidRPr="00A15B3A">
        <w:t xml:space="preserve">ease </w:t>
      </w:r>
      <w:r>
        <w:t>c</w:t>
      </w:r>
      <w:r w:rsidRPr="00A15B3A">
        <w:t xml:space="preserve">osts are costs that are directly attributable to negotiating and arranging a lease or portfolio of leases that would not have been incurred without entering into the lease. (SFFAS 54, para. 13; also see </w:t>
      </w:r>
      <w:r w:rsidR="00C140EF">
        <w:t>TR 20</w:t>
      </w:r>
      <w:r w:rsidRPr="00A15B3A">
        <w:t>, para. 64)</w:t>
      </w:r>
    </w:p>
  </w:footnote>
  <w:footnote w:id="226">
    <w:p w14:paraId="21648FC2" w14:textId="5D5A3D59" w:rsidR="00A03982" w:rsidRDefault="00A03982" w:rsidP="00E96346">
      <w:pPr>
        <w:pStyle w:val="FootnoteText"/>
      </w:pPr>
      <w:r>
        <w:rPr>
          <w:rStyle w:val="FootnoteReference"/>
        </w:rPr>
        <w:footnoteRef/>
      </w:r>
      <w:r w:rsidRPr="008D5CDE">
        <w:t xml:space="preserve">The interest rate may be based on a recent interest rate on marketable Treasury securities or historical average interest rate on marketable Treasury securities of a similar maturity to the term of the lease, provided that the interest rate is consistent with the interest rate on marketable Treasury securities at the commencement of the lease term (or subsequent financial reporting date). (SFFAS 54, para. </w:t>
      </w:r>
      <w:r>
        <w:t>59</w:t>
      </w:r>
      <w:r w:rsidRPr="008D5CDE">
        <w:t>A)</w:t>
      </w:r>
    </w:p>
  </w:footnote>
  <w:footnote w:id="227">
    <w:p w14:paraId="29EBBE6C" w14:textId="69F0745E" w:rsidR="00A03982" w:rsidRDefault="00A03982" w:rsidP="00E96346">
      <w:pPr>
        <w:pStyle w:val="FootnoteText"/>
      </w:pPr>
      <w:r>
        <w:rPr>
          <w:rStyle w:val="FootnoteReference"/>
        </w:rPr>
        <w:footnoteRef/>
      </w:r>
      <w:r>
        <w:t>When selecting an interest rate based on marketable Treasury securities of similar maturity to the term of the lease, reporting entities may round up or down to the nearest maturity or interpolate the interest rate for the period between two maturities. The methodology for selecting an interest rate based on marketable Treasury security maturities should be consistent from period to period. (SFFAS 54, para. 59B)</w:t>
      </w:r>
    </w:p>
    <w:p w14:paraId="53F510DF" w14:textId="63F90D62" w:rsidR="00A03982" w:rsidRDefault="00A03982" w:rsidP="00E96346">
      <w:pPr>
        <w:pStyle w:val="FootnoteText"/>
      </w:pPr>
      <w:r>
        <w:t>Reporting entities should not extrapolate beyond the longest Treasury maturity when the lease term exceeds it; rather, reporting entities should select the longest Treasury maturity. For example, if the longest Treasury maturity at commencement of the lease term is 30 years, reporting entities should select the 30-year rate as the discount rate for a lease with a 75-year term. (SFFAS 54, para. 59C)</w:t>
      </w:r>
    </w:p>
  </w:footnote>
  <w:footnote w:id="228">
    <w:p w14:paraId="6A6C1228" w14:textId="370C32BB" w:rsidR="00A03982" w:rsidRDefault="00A03982" w:rsidP="00E96346">
      <w:pPr>
        <w:pStyle w:val="FootnoteText"/>
      </w:pPr>
      <w:r>
        <w:rPr>
          <w:rStyle w:val="FootnoteReference"/>
        </w:rPr>
        <w:footnoteRef/>
      </w:r>
      <w:r w:rsidRPr="00A15B3A">
        <w:t>Lease receivables should be amortized using the interest method rather than other methodologies</w:t>
      </w:r>
      <w:r>
        <w:t>,</w:t>
      </w:r>
      <w:r w:rsidRPr="00A15B3A">
        <w:t xml:space="preserve"> such as straight-line amortization. (</w:t>
      </w:r>
      <w:r w:rsidR="00C140EF">
        <w:t>TR 20</w:t>
      </w:r>
      <w:r w:rsidRPr="00A15B3A">
        <w:t>, par</w:t>
      </w:r>
      <w:r>
        <w:t>a</w:t>
      </w:r>
      <w:r w:rsidRPr="00A15B3A">
        <w:t>. 67)</w:t>
      </w:r>
    </w:p>
  </w:footnote>
  <w:footnote w:id="229">
    <w:p w14:paraId="4F018523" w14:textId="6A031310" w:rsidR="00A03982" w:rsidRDefault="00A03982" w:rsidP="00E96346">
      <w:pPr>
        <w:pStyle w:val="FootnoteText"/>
      </w:pPr>
      <w:r>
        <w:rPr>
          <w:rStyle w:val="FootnoteReference"/>
        </w:rPr>
        <w:footnoteRef/>
      </w:r>
      <w:r>
        <w:t>A lease receivable is not required to be remeasured solely for a change in an index or rate used to determine variable lease payments.</w:t>
      </w:r>
    </w:p>
  </w:footnote>
  <w:footnote w:id="230">
    <w:p w14:paraId="085D6C2E" w14:textId="12FF3291" w:rsidR="00A03982" w:rsidRDefault="00A03982" w:rsidP="00E96346">
      <w:pPr>
        <w:pStyle w:val="FootnoteText"/>
      </w:pPr>
      <w:r w:rsidRPr="00820AF3">
        <w:rPr>
          <w:rStyle w:val="FootnoteReference"/>
        </w:rPr>
        <w:footnoteRef/>
      </w:r>
      <w:r w:rsidRPr="00A15B3A">
        <w:t>If a lessor makes incentive payments to a lessee prior to the commencement of the lease term, the lessor should recognize an advance (asset) at the time the payments are made (see SFFAS 1, par</w:t>
      </w:r>
      <w:r>
        <w:t>a</w:t>
      </w:r>
      <w:r w:rsidRPr="00A15B3A">
        <w:t>. 60). Upon commencement, lease incentives paid at or before the commencement of the lease term should reduce the lessor’s initial measurement of the unearned revenue. (</w:t>
      </w:r>
      <w:r w:rsidR="00C140EF">
        <w:t>TR 20</w:t>
      </w:r>
      <w:r w:rsidRPr="00A15B3A">
        <w:t>, para. 75)</w:t>
      </w:r>
    </w:p>
  </w:footnote>
  <w:footnote w:id="231">
    <w:p w14:paraId="030BD9BC" w14:textId="6343B1C6" w:rsidR="00A03982" w:rsidRPr="00A15B3A" w:rsidRDefault="00A03982" w:rsidP="00E96346">
      <w:pPr>
        <w:pStyle w:val="FootnoteText"/>
      </w:pPr>
      <w:r w:rsidRPr="00A15B3A">
        <w:rPr>
          <w:rStyle w:val="FootnoteReference"/>
        </w:rPr>
        <w:footnoteRef/>
      </w:r>
      <w:r w:rsidRPr="00A15B3A">
        <w:t>Absent any indication of impairment from the lessee, or impairment information known to the lessor, the lessor should not recognize any impairment of the underlying asset. (</w:t>
      </w:r>
      <w:r w:rsidR="00C140EF">
        <w:t>TR 20</w:t>
      </w:r>
      <w:r w:rsidRPr="00A15B3A">
        <w:t>, para. 72)</w:t>
      </w:r>
    </w:p>
  </w:footnote>
  <w:footnote w:id="232">
    <w:p w14:paraId="78ACBD89" w14:textId="3707F59C" w:rsidR="00A03982" w:rsidRDefault="00A03982" w:rsidP="00E96346">
      <w:pPr>
        <w:pStyle w:val="FootnoteText"/>
      </w:pPr>
      <w:r w:rsidRPr="00A15B3A">
        <w:rPr>
          <w:rStyle w:val="FootnoteReference"/>
        </w:rPr>
        <w:footnoteRef/>
      </w:r>
      <w:r w:rsidRPr="00A15B3A">
        <w:t>The grouping provisions in SFFAS 54</w:t>
      </w:r>
      <w:r>
        <w:t>,</w:t>
      </w:r>
      <w:r w:rsidRPr="00A15B3A">
        <w:t xml:space="preserve"> para. 67</w:t>
      </w:r>
      <w:r>
        <w:t>,</w:t>
      </w:r>
      <w:r w:rsidRPr="00A15B3A">
        <w:t xml:space="preserve"> apply to disclosures in which a grouping option is not specifically addressed in other disclosure requirements (such as disclosures of sublease transactions required by SFFAS 54, para. 88). (</w:t>
      </w:r>
      <w:r w:rsidR="00C140EF">
        <w:t>TR 20</w:t>
      </w:r>
      <w:r w:rsidRPr="00A15B3A">
        <w:t>, para. 73)</w:t>
      </w:r>
    </w:p>
  </w:footnote>
  <w:footnote w:id="233">
    <w:p w14:paraId="5C768FF8" w14:textId="67116E24" w:rsidR="009C5FB2" w:rsidRDefault="009C5FB2">
      <w:pPr>
        <w:pStyle w:val="FootnoteText"/>
      </w:pPr>
      <w:r>
        <w:rPr>
          <w:rStyle w:val="FootnoteReference"/>
        </w:rPr>
        <w:footnoteRef/>
      </w:r>
      <w:r>
        <w:t>Generally, the provider-lessor will coordinate with the customer-lessee in cases where the provider-less</w:t>
      </w:r>
      <w:r w:rsidR="00280C55">
        <w:t>o</w:t>
      </w:r>
      <w:r>
        <w:t>r is the predominate beneficiary.</w:t>
      </w:r>
    </w:p>
  </w:footnote>
  <w:footnote w:id="234">
    <w:p w14:paraId="64365331" w14:textId="70CBD71C" w:rsidR="00A03982" w:rsidRDefault="00A03982" w:rsidP="00E96346">
      <w:pPr>
        <w:pStyle w:val="FootnoteText"/>
      </w:pPr>
      <w:r>
        <w:rPr>
          <w:rStyle w:val="FootnoteReference"/>
        </w:rPr>
        <w:footnoteRef/>
      </w:r>
      <w:r>
        <w:t>The amortization period that the customer-lessee is to use generally will be the lease term.</w:t>
      </w:r>
    </w:p>
  </w:footnote>
  <w:footnote w:id="235">
    <w:p w14:paraId="28488C5A" w14:textId="0E9B3BAF" w:rsidR="00A03982" w:rsidRDefault="00A03982" w:rsidP="00E96346">
      <w:pPr>
        <w:pStyle w:val="FootnoteText"/>
      </w:pPr>
      <w:r>
        <w:rPr>
          <w:rStyle w:val="FootnoteReference"/>
        </w:rPr>
        <w:footnoteRef/>
      </w:r>
      <w:r w:rsidRPr="006D68AB">
        <w:t>Coordination with the provider-lessor on asset amount and subsequent amortization can facilitate the elimination of inter-entity balances and costs in a manner consistent with para</w:t>
      </w:r>
      <w:r>
        <w:t>s.</w:t>
      </w:r>
      <w:r w:rsidRPr="006D68AB">
        <w:t xml:space="preserve"> 108</w:t>
      </w:r>
      <w:r>
        <w:t>–1</w:t>
      </w:r>
      <w:r w:rsidRPr="006D68AB">
        <w:t>13 of SFFAS 4</w:t>
      </w:r>
      <w:r>
        <w:t>. (TB-2023-1, para. 23)</w:t>
      </w:r>
    </w:p>
  </w:footnote>
  <w:footnote w:id="236">
    <w:p w14:paraId="1D1DF10E" w14:textId="6B5413CB" w:rsidR="00A03982" w:rsidRDefault="00A03982" w:rsidP="00E96346">
      <w:pPr>
        <w:pStyle w:val="FootnoteText"/>
      </w:pPr>
      <w:r>
        <w:rPr>
          <w:rStyle w:val="FootnoteReference"/>
        </w:rPr>
        <w:footnoteRef/>
      </w:r>
      <w:r w:rsidRPr="004378BE">
        <w:t>Coordination with the customer-lessee on revenue recognition can facilitate the elimination of inter-entity balances and earned revenues in a manner consistent with para</w:t>
      </w:r>
      <w:r>
        <w:t>s.</w:t>
      </w:r>
      <w:r w:rsidRPr="004378BE">
        <w:t xml:space="preserve"> 108</w:t>
      </w:r>
      <w:r>
        <w:t xml:space="preserve"> through </w:t>
      </w:r>
      <w:r w:rsidRPr="004378BE">
        <w:t>113 of SFFAS 4</w:t>
      </w:r>
      <w:r>
        <w:t>. (TB-2023-1, para. 29)</w:t>
      </w:r>
    </w:p>
  </w:footnote>
  <w:footnote w:id="237">
    <w:p w14:paraId="5BD88D81" w14:textId="6AB5E1B7" w:rsidR="00A03982" w:rsidRDefault="00A03982" w:rsidP="00E96346">
      <w:pPr>
        <w:pStyle w:val="FootnoteText"/>
      </w:pPr>
      <w:r>
        <w:rPr>
          <w:rStyle w:val="FootnoteReference"/>
        </w:rPr>
        <w:footnoteRef/>
      </w:r>
      <w:r>
        <w:t>The revenue recognition period that the provider-lessor is to use generally will be the lease term.</w:t>
      </w:r>
    </w:p>
  </w:footnote>
  <w:footnote w:id="238">
    <w:p w14:paraId="57B7B659" w14:textId="00361097" w:rsidR="00A03982" w:rsidRDefault="00A03982" w:rsidP="00E96346">
      <w:pPr>
        <w:pStyle w:val="FootnoteText"/>
      </w:pPr>
      <w:r>
        <w:rPr>
          <w:rStyle w:val="FootnoteReference"/>
        </w:rPr>
        <w:footnoteRef/>
      </w:r>
      <w:r w:rsidRPr="00CF5861">
        <w:t xml:space="preserve">Such disclosures may be separate from or incorporated within the general description disclosures provided for </w:t>
      </w:r>
      <w:r>
        <w:t>in</w:t>
      </w:r>
      <w:r w:rsidRPr="00CF5861">
        <w:t xml:space="preserve"> para</w:t>
      </w:r>
      <w:r>
        <w:t>s.</w:t>
      </w:r>
      <w:r w:rsidRPr="00CF5861">
        <w:t xml:space="preserve"> 37.a </w:t>
      </w:r>
      <w:r>
        <w:t>and</w:t>
      </w:r>
      <w:r w:rsidRPr="00CF5861">
        <w:t xml:space="preserve"> 38.a of SFFAS 54. (TB-2023-1, para</w:t>
      </w:r>
      <w:r>
        <w:t>s</w:t>
      </w:r>
      <w:r w:rsidRPr="00CF5861">
        <w:t xml:space="preserve">. 25 </w:t>
      </w:r>
      <w:r>
        <w:t>and</w:t>
      </w:r>
      <w:r w:rsidRPr="00CF5861">
        <w:t xml:space="preserve"> 31)</w:t>
      </w:r>
    </w:p>
  </w:footnote>
  <w:footnote w:id="239">
    <w:p w14:paraId="751B2DF6" w14:textId="77777777" w:rsidR="00AB3FC6" w:rsidRPr="00D17DBA" w:rsidRDefault="00AB3FC6" w:rsidP="00E96346">
      <w:pPr>
        <w:pStyle w:val="FootnoteText"/>
      </w:pPr>
      <w:r w:rsidRPr="00D17DBA">
        <w:rPr>
          <w:rStyle w:val="FootnoteReference"/>
        </w:rPr>
        <w:footnoteRef/>
      </w:r>
      <w:r w:rsidRPr="00D17DBA">
        <w:t>In the context of pending or threatened litigation, “probable” is taken to mean “likely;” otherwise, “probable” refers to that which is believed to be more “likely than not” or can be reasonably expected. (SFFAS 12, par</w:t>
      </w:r>
      <w:r>
        <w:t>as</w:t>
      </w:r>
      <w:r w:rsidRPr="00D17DBA">
        <w:t>. 10</w:t>
      </w:r>
      <w:r>
        <w:t>–</w:t>
      </w:r>
      <w:r w:rsidRPr="00D17DBA">
        <w:t>11)</w:t>
      </w:r>
    </w:p>
  </w:footnote>
  <w:footnote w:id="240">
    <w:p w14:paraId="2EBF1D65" w14:textId="35271319" w:rsidR="00AB3FC6" w:rsidRDefault="00AB3FC6" w:rsidP="00E96346">
      <w:pPr>
        <w:pStyle w:val="FootnoteText"/>
      </w:pPr>
      <w:r>
        <w:rPr>
          <w:rStyle w:val="FootnoteReference"/>
        </w:rPr>
        <w:footnoteRef/>
      </w:r>
      <w:r>
        <w:t>Commitments include</w:t>
      </w:r>
      <w:r w:rsidRPr="005440A0">
        <w:t xml:space="preserve"> U.S. commitments to the International Monetary Fund. For commitments already disclosed in other notes (e.g., unpaid undelivered orders)</w:t>
      </w:r>
      <w:r>
        <w:t>,</w:t>
      </w:r>
      <w:r w:rsidRPr="005440A0">
        <w:t xml:space="preserve"> the reporting entity should </w:t>
      </w:r>
      <w:r w:rsidR="0011381A">
        <w:t>refer</w:t>
      </w:r>
      <w:r w:rsidRPr="005440A0">
        <w:t xml:space="preserve"> to the corresponding note</w:t>
      </w:r>
      <w:r>
        <w:t>s</w:t>
      </w:r>
      <w:r w:rsidRPr="005440A0">
        <w:t xml:space="preserve"> that discloses such commitments.</w:t>
      </w:r>
    </w:p>
  </w:footnote>
  <w:footnote w:id="241">
    <w:p w14:paraId="74D77C3D" w14:textId="77777777" w:rsidR="00AB3FC6" w:rsidRDefault="00AB3FC6" w:rsidP="00E96346">
      <w:pPr>
        <w:pStyle w:val="FootnoteText"/>
      </w:pPr>
      <w:r>
        <w:rPr>
          <w:rStyle w:val="FootnoteReference"/>
        </w:rPr>
        <w:footnoteRef/>
      </w:r>
      <w:r>
        <w:t>Reasonably possible means that the chance of a future event occurring is less than “probable” but more than “remote.”</w:t>
      </w:r>
    </w:p>
  </w:footnote>
  <w:footnote w:id="242">
    <w:p w14:paraId="09C6141E" w14:textId="221563BC" w:rsidR="00AB3FC6" w:rsidRDefault="00AB3FC6" w:rsidP="00E96346">
      <w:pPr>
        <w:pStyle w:val="FootnoteText"/>
      </w:pPr>
      <w:r>
        <w:rPr>
          <w:rStyle w:val="FootnoteReference"/>
        </w:rPr>
        <w:footnoteRef/>
      </w:r>
      <w:r>
        <w:t>Examples of claims or other contingencies include: (1) indemnity agreements (reimbursements due to licensees or contractors for losses incurred in support of federal activities), (2) claims against the federal government that are in judicial proceedings, (</w:t>
      </w:r>
      <w:r w:rsidR="00026D30">
        <w:t>3</w:t>
      </w:r>
      <w:r>
        <w:t>) litigation addressing claims for equity relief or non-monetary judgments (lawsuits where claimants are seeking specific actions by a federal agency), and (</w:t>
      </w:r>
      <w:r w:rsidR="00026D30">
        <w:t>4</w:t>
      </w:r>
      <w:r>
        <w:t xml:space="preserve">) other legal claims that may derive from treaties or international agreements. (A-136, section II.3.2.4) </w:t>
      </w:r>
    </w:p>
  </w:footnote>
  <w:footnote w:id="243">
    <w:p w14:paraId="0EFE825E" w14:textId="77777777" w:rsidR="00AB3FC6" w:rsidRDefault="00AB3FC6" w:rsidP="00E96346">
      <w:pPr>
        <w:pStyle w:val="FootnoteText"/>
      </w:pPr>
      <w:r>
        <w:rPr>
          <w:rStyle w:val="FootnoteReference"/>
        </w:rPr>
        <w:footnoteRef/>
      </w:r>
      <w:r>
        <w:t>An example of information related to a remote contingency would be the total face amount of insurance and guarantees in force.</w:t>
      </w:r>
    </w:p>
  </w:footnote>
  <w:footnote w:id="244">
    <w:p w14:paraId="5F9F902E" w14:textId="010E0A17" w:rsidR="00AB3FC6" w:rsidRPr="003F3BF0" w:rsidRDefault="00AB3FC6" w:rsidP="00743514">
      <w:pPr>
        <w:autoSpaceDE w:val="0"/>
        <w:autoSpaceDN w:val="0"/>
        <w:spacing w:line="240" w:lineRule="auto"/>
        <w:rPr>
          <w:rFonts w:ascii="Arial" w:hAnsi="Arial" w:cs="Arial"/>
        </w:rPr>
      </w:pPr>
      <w:r w:rsidRPr="00C32137">
        <w:rPr>
          <w:rStyle w:val="FootnoteReference"/>
          <w:rFonts w:ascii="Arial" w:hAnsi="Arial" w:cs="Arial"/>
          <w:sz w:val="18"/>
          <w:szCs w:val="18"/>
        </w:rPr>
        <w:footnoteRef/>
      </w:r>
      <w:r w:rsidRPr="003F3BF0">
        <w:rPr>
          <w:rFonts w:ascii="Arial" w:hAnsi="Arial" w:cs="Arial"/>
          <w:sz w:val="18"/>
          <w:szCs w:val="18"/>
        </w:rPr>
        <w:t xml:space="preserve">To determine program management/accounting responsibility, agencies should consider the legislation authorizing the program; the </w:t>
      </w:r>
      <w:r>
        <w:rPr>
          <w:rFonts w:ascii="Arial" w:hAnsi="Arial" w:cs="Arial"/>
          <w:sz w:val="18"/>
          <w:szCs w:val="18"/>
        </w:rPr>
        <w:t>m</w:t>
      </w:r>
      <w:r w:rsidRPr="003F3BF0">
        <w:rPr>
          <w:rFonts w:ascii="Arial" w:hAnsi="Arial" w:cs="Arial"/>
          <w:sz w:val="18"/>
          <w:szCs w:val="18"/>
        </w:rPr>
        <w:t xml:space="preserve">emorandum of </w:t>
      </w:r>
      <w:r>
        <w:rPr>
          <w:rFonts w:ascii="Arial" w:hAnsi="Arial" w:cs="Arial"/>
          <w:sz w:val="18"/>
          <w:szCs w:val="18"/>
        </w:rPr>
        <w:t>u</w:t>
      </w:r>
      <w:r w:rsidRPr="003F3BF0">
        <w:rPr>
          <w:rFonts w:ascii="Arial" w:hAnsi="Arial" w:cs="Arial"/>
          <w:sz w:val="18"/>
          <w:szCs w:val="18"/>
        </w:rPr>
        <w:t xml:space="preserve">nderstanding that establishes responsibilities; and the provisions of SFFAC 2, </w:t>
      </w:r>
      <w:r w:rsidRPr="003F3BF0">
        <w:rPr>
          <w:rFonts w:ascii="Arial" w:hAnsi="Arial" w:cs="Arial"/>
          <w:i/>
          <w:iCs/>
          <w:sz w:val="18"/>
          <w:szCs w:val="18"/>
        </w:rPr>
        <w:t>Entity and Display</w:t>
      </w:r>
      <w:r w:rsidRPr="00FF0DFA">
        <w:rPr>
          <w:rFonts w:ascii="Arial" w:hAnsi="Arial" w:cs="Arial"/>
          <w:iCs/>
          <w:sz w:val="18"/>
          <w:szCs w:val="18"/>
        </w:rPr>
        <w:t>,</w:t>
      </w:r>
      <w:r w:rsidRPr="003F3BF0">
        <w:rPr>
          <w:rFonts w:ascii="Arial" w:hAnsi="Arial" w:cs="Arial"/>
          <w:i/>
          <w:iCs/>
          <w:sz w:val="18"/>
          <w:szCs w:val="18"/>
        </w:rPr>
        <w:t xml:space="preserve"> </w:t>
      </w:r>
      <w:r w:rsidRPr="003F3BF0">
        <w:rPr>
          <w:rFonts w:ascii="Arial" w:hAnsi="Arial" w:cs="Arial"/>
          <w:sz w:val="18"/>
          <w:szCs w:val="18"/>
        </w:rPr>
        <w:t>as amended. (SFFAS 27, par</w:t>
      </w:r>
      <w:r>
        <w:rPr>
          <w:rFonts w:ascii="Arial" w:hAnsi="Arial" w:cs="Arial"/>
          <w:sz w:val="18"/>
          <w:szCs w:val="18"/>
        </w:rPr>
        <w:t>a</w:t>
      </w:r>
      <w:r w:rsidRPr="003F3BF0">
        <w:rPr>
          <w:rFonts w:ascii="Arial" w:hAnsi="Arial" w:cs="Arial"/>
          <w:sz w:val="18"/>
          <w:szCs w:val="18"/>
        </w:rPr>
        <w:t xml:space="preserve">. 20, fn 7) </w:t>
      </w:r>
    </w:p>
  </w:footnote>
  <w:footnote w:id="245">
    <w:p w14:paraId="076B0B2F" w14:textId="7187D563" w:rsidR="00AB3FC6" w:rsidRDefault="00AB3FC6" w:rsidP="00E96346">
      <w:pPr>
        <w:pStyle w:val="FootnoteText"/>
      </w:pPr>
      <w:r>
        <w:rPr>
          <w:rStyle w:val="FootnoteReference"/>
        </w:rPr>
        <w:footnoteRef/>
      </w:r>
      <w:r w:rsidRPr="004F0C18">
        <w:t xml:space="preserve">A fund from dedicated collections should not be characterized as a “trust” in general purpose external financial reports of </w:t>
      </w:r>
      <w:r>
        <w:t>f</w:t>
      </w:r>
      <w:r w:rsidRPr="004F0C18">
        <w:t xml:space="preserve">ederal entities. (The use of the term trust fund is acceptable only in </w:t>
      </w:r>
      <w:r>
        <w:t>a</w:t>
      </w:r>
      <w:r w:rsidRPr="004F0C18">
        <w:t xml:space="preserve"> fund’s official title.)</w:t>
      </w:r>
    </w:p>
  </w:footnote>
  <w:footnote w:id="246">
    <w:p w14:paraId="748B81FE" w14:textId="3714804C" w:rsidR="00AB3FC6" w:rsidRDefault="00AB3FC6" w:rsidP="00E96346">
      <w:pPr>
        <w:pStyle w:val="FootnoteText"/>
      </w:pPr>
      <w:r>
        <w:rPr>
          <w:rStyle w:val="FootnoteReference"/>
        </w:rPr>
        <w:footnoteRef/>
      </w:r>
      <w:r w:rsidRPr="009B3D27">
        <w:t>Such reporting is</w:t>
      </w:r>
      <w:r>
        <w:t xml:space="preserve"> required for significant reporting entities. Nonsignificant reporting entities are not required to report Funds from Dedicated Collections on a consolidated basis.</w:t>
      </w:r>
    </w:p>
  </w:footnote>
  <w:footnote w:id="247">
    <w:p w14:paraId="6C737580" w14:textId="082B864C" w:rsidR="00AB3FC6" w:rsidRPr="00D17DBA" w:rsidRDefault="00AB3FC6" w:rsidP="00E96346">
      <w:pPr>
        <w:pStyle w:val="FootnoteText"/>
      </w:pPr>
      <w:r w:rsidRPr="00D17DBA">
        <w:rPr>
          <w:rStyle w:val="FootnoteReference"/>
        </w:rPr>
        <w:footnoteRef/>
      </w:r>
      <w:r w:rsidRPr="00D17DBA">
        <w:t>Revenue collected is not revenue that the collecting entity can use in its operations and is thus not recognized. The sources of cash collection are reported by type as indicated in the illustrated</w:t>
      </w:r>
      <w:r>
        <w:t xml:space="preserve"> S</w:t>
      </w:r>
      <w:r w:rsidRPr="00D17DBA">
        <w:t xml:space="preserve">tatement of </w:t>
      </w:r>
      <w:r>
        <w:t>C</w:t>
      </w:r>
      <w:r w:rsidRPr="00D17DBA">
        <w:t xml:space="preserve">ustodial </w:t>
      </w:r>
      <w:r>
        <w:t>A</w:t>
      </w:r>
      <w:r w:rsidRPr="00D17DBA">
        <w:t>ctivity. (A-136, section II.</w:t>
      </w:r>
      <w:r>
        <w:t>3</w:t>
      </w:r>
      <w:r w:rsidRPr="00D17DBA">
        <w:t>.</w:t>
      </w:r>
      <w:r>
        <w:t>6</w:t>
      </w:r>
      <w:r w:rsidRPr="00D17DBA">
        <w:t xml:space="preserve">.2) </w:t>
      </w:r>
    </w:p>
  </w:footnote>
  <w:footnote w:id="248">
    <w:p w14:paraId="246F933B" w14:textId="23860C8C" w:rsidR="00AB3FC6" w:rsidRPr="00D17DBA" w:rsidRDefault="00AB3FC6" w:rsidP="00E96346">
      <w:pPr>
        <w:pStyle w:val="FootnoteText"/>
      </w:pPr>
      <w:r w:rsidRPr="00D17DBA">
        <w:rPr>
          <w:rStyle w:val="FootnoteReference"/>
        </w:rPr>
        <w:footnoteRef/>
      </w:r>
      <w:r w:rsidRPr="00D17DBA">
        <w:t>Cash collections include any amounts paid in advance of due dates unless they are deposits. Deposits are amounts voluntarily paid to reporting entities, such as those made to stop the accrual of interest or those made pending settlements and judgments. Such deposits are separately recognized as deposit liabilities. (SFFAS 7, par</w:t>
      </w:r>
      <w:r>
        <w:t>as</w:t>
      </w:r>
      <w:r w:rsidRPr="00D17DBA">
        <w:t xml:space="preserve">. 50 and 59) </w:t>
      </w:r>
    </w:p>
  </w:footnote>
  <w:footnote w:id="249">
    <w:p w14:paraId="67700F47" w14:textId="29BE65CE" w:rsidR="00AB3FC6" w:rsidRPr="00D17DBA" w:rsidRDefault="00AB3FC6" w:rsidP="00E96346">
      <w:pPr>
        <w:pStyle w:val="FootnoteText"/>
      </w:pPr>
      <w:r w:rsidRPr="00D17DBA">
        <w:rPr>
          <w:rStyle w:val="FootnoteReference"/>
        </w:rPr>
        <w:footnoteRef/>
      </w:r>
      <w:r w:rsidRPr="00D17DBA">
        <w:t>Refund offsets are amounts withheld from refunds on behalf of other agencies and paid to such agencies. (SFFAS 7, par</w:t>
      </w:r>
      <w:r>
        <w:t>a</w:t>
      </w:r>
      <w:r w:rsidRPr="00D17DBA">
        <w:t xml:space="preserve">. 51) </w:t>
      </w:r>
    </w:p>
  </w:footnote>
  <w:footnote w:id="250">
    <w:p w14:paraId="5107169F" w14:textId="11050876" w:rsidR="00AB3FC6" w:rsidRPr="00D17DBA" w:rsidRDefault="00AB3FC6" w:rsidP="00E96346">
      <w:pPr>
        <w:pStyle w:val="FootnoteText"/>
      </w:pPr>
      <w:r w:rsidRPr="00D17DBA">
        <w:rPr>
          <w:rStyle w:val="FootnoteReference"/>
        </w:rPr>
        <w:footnoteRef/>
      </w:r>
      <w:r w:rsidRPr="00D17DBA">
        <w:t>Drawbacks are refunds of duties paid on imported goods that are subsequently exported or destroyed. (SFFAS 7, par</w:t>
      </w:r>
      <w:r>
        <w:t>a</w:t>
      </w:r>
      <w:r w:rsidRPr="00D17DBA">
        <w:t xml:space="preserve">. 51) </w:t>
      </w:r>
    </w:p>
  </w:footnote>
  <w:footnote w:id="251">
    <w:p w14:paraId="17FBA6F5" w14:textId="428EDDBD" w:rsidR="00AB3FC6" w:rsidRPr="00D17DBA" w:rsidRDefault="00AB3FC6" w:rsidP="00E96346">
      <w:pPr>
        <w:pStyle w:val="FootnoteText"/>
      </w:pPr>
      <w:r w:rsidRPr="00D17DBA">
        <w:rPr>
          <w:rStyle w:val="FootnoteReference"/>
        </w:rPr>
        <w:footnoteRef/>
      </w:r>
      <w:r w:rsidRPr="00D17DBA">
        <w:t>Social insurance programs include Social Security, Medicare, Railroad Retirement, Black Lung Benefits, and Unemployment Insurance. (SFFAS 17, par</w:t>
      </w:r>
      <w:r>
        <w:t>a</w:t>
      </w:r>
      <w:r w:rsidRPr="00D17DBA">
        <w:t>. 14)</w:t>
      </w:r>
    </w:p>
  </w:footnote>
  <w:footnote w:id="252">
    <w:p w14:paraId="2C40CCA3" w14:textId="5EB417A5" w:rsidR="00AB3FC6" w:rsidRPr="00D17DBA" w:rsidRDefault="00AB3FC6" w:rsidP="00E96346">
      <w:pPr>
        <w:pStyle w:val="FootnoteText"/>
      </w:pPr>
      <w:r w:rsidRPr="00D17DBA">
        <w:rPr>
          <w:rStyle w:val="FootnoteReference"/>
        </w:rPr>
        <w:footnoteRef/>
      </w:r>
      <w:r w:rsidRPr="00D17DBA">
        <w:t>Amounts related to operating revenues and expenses in ways that are consistent with the exclusions</w:t>
      </w:r>
      <w:r>
        <w:t xml:space="preserve"> in this question</w:t>
      </w:r>
      <w:r w:rsidRPr="00D17DBA">
        <w:t xml:space="preserve"> also may be excluded. (SFFAS 31, par</w:t>
      </w:r>
      <w:r>
        <w:t>a</w:t>
      </w:r>
      <w:r w:rsidRPr="00D17DBA">
        <w:t xml:space="preserve">. 14) </w:t>
      </w:r>
    </w:p>
  </w:footnote>
  <w:footnote w:id="253">
    <w:p w14:paraId="4CF75591" w14:textId="35932FA7" w:rsidR="00AB3FC6" w:rsidRPr="00E1459E" w:rsidRDefault="00AB3FC6" w:rsidP="00E96346">
      <w:pPr>
        <w:pStyle w:val="FootnoteText"/>
      </w:pPr>
      <w:r>
        <w:rPr>
          <w:rStyle w:val="FootnoteReference"/>
        </w:rPr>
        <w:footnoteRef/>
      </w:r>
      <w:r w:rsidRPr="00E1459E">
        <w:t>Non</w:t>
      </w:r>
      <w:r>
        <w:t>-</w:t>
      </w:r>
      <w:r w:rsidRPr="00E1459E">
        <w:t xml:space="preserve">valued fiduciary assets are fiduciary assets for which required disclosure does not include dollar values. </w:t>
      </w:r>
      <w:r>
        <w:t>These</w:t>
      </w:r>
      <w:r w:rsidRPr="00E1459E">
        <w:t xml:space="preserve"> may include land held in trust.</w:t>
      </w:r>
    </w:p>
  </w:footnote>
  <w:footnote w:id="254">
    <w:p w14:paraId="479A7909" w14:textId="4FA44DC4" w:rsidR="00AB3FC6" w:rsidRDefault="00AB3FC6" w:rsidP="00E96346">
      <w:pPr>
        <w:pStyle w:val="FootnoteText"/>
      </w:pPr>
      <w:r>
        <w:rPr>
          <w:rStyle w:val="FootnoteReference"/>
        </w:rPr>
        <w:footnoteRef/>
      </w:r>
      <w:r w:rsidRPr="003D24E2">
        <w:t>Acceptable criteria include quantitative factors</w:t>
      </w:r>
      <w:r>
        <w:t>,</w:t>
      </w:r>
      <w:r w:rsidRPr="003D24E2">
        <w:t xml:space="preserve"> such as the percentage of the reporting entity’s fiduciary net assets or inflows</w:t>
      </w:r>
      <w:r>
        <w:t>,</w:t>
      </w:r>
      <w:r w:rsidRPr="003D24E2">
        <w:t xml:space="preserve"> and qualitative factors</w:t>
      </w:r>
      <w:r>
        <w:t>,</w:t>
      </w:r>
      <w:r w:rsidRPr="003D24E2">
        <w:t xml:space="preserve"> such as whether a fiduciary activity is of immediate concern to beneficiaries, whether it is politically sensitive or controversial, whether it is accumulating large balances, or whether the information provided in the fiduciary note disclosure would be the primary source of financial information for the public</w:t>
      </w:r>
      <w:r>
        <w:t>.</w:t>
      </w:r>
    </w:p>
  </w:footnote>
  <w:footnote w:id="255">
    <w:p w14:paraId="0C22348D" w14:textId="4F94DDCF" w:rsidR="00AB3FC6" w:rsidRPr="003D24E2" w:rsidRDefault="00AB3FC6" w:rsidP="00E96346">
      <w:pPr>
        <w:pStyle w:val="FootnoteText"/>
      </w:pPr>
      <w:r>
        <w:rPr>
          <w:rStyle w:val="FootnoteReference"/>
        </w:rPr>
        <w:footnoteRef/>
      </w:r>
      <w:r w:rsidRPr="003D24E2">
        <w:t>Acceptable criteria include quantitative factors</w:t>
      </w:r>
      <w:r>
        <w:t>,</w:t>
      </w:r>
      <w:r w:rsidRPr="003D24E2">
        <w:t xml:space="preserve"> such as the percentage of the reporting entity’s fiduciary net assets or inflows</w:t>
      </w:r>
      <w:r>
        <w:t>,</w:t>
      </w:r>
      <w:r w:rsidRPr="003D24E2">
        <w:t xml:space="preserve"> and qualitative factors</w:t>
      </w:r>
      <w:r>
        <w:t>,</w:t>
      </w:r>
      <w:r w:rsidRPr="003D24E2">
        <w:t xml:space="preserve"> such as whether a fiduciary activity is of immediate concern to beneficiaries, whether it is politically sensitive or controversial, whether it is accumulating large balances, or whether the information provided in the fiduciary note disclosure would be the primary source of financial information for the public</w:t>
      </w:r>
      <w:r>
        <w:t>.</w:t>
      </w:r>
    </w:p>
  </w:footnote>
  <w:footnote w:id="256">
    <w:p w14:paraId="1746B661" w14:textId="77521551" w:rsidR="00AB3FC6" w:rsidRDefault="00AB3FC6" w:rsidP="00C246F2">
      <w:pPr>
        <w:spacing w:line="240" w:lineRule="auto"/>
      </w:pPr>
      <w:r>
        <w:rPr>
          <w:rStyle w:val="FootnoteReference"/>
        </w:rPr>
        <w:footnoteRef/>
      </w:r>
      <w:r w:rsidRPr="00C246F2">
        <w:rPr>
          <w:rFonts w:ascii="Arial" w:hAnsi="Arial" w:cs="Arial"/>
          <w:sz w:val="18"/>
          <w:szCs w:val="18"/>
        </w:rPr>
        <w:t>Entities should</w:t>
      </w:r>
      <w:r>
        <w:rPr>
          <w:rFonts w:ascii="Arial" w:hAnsi="Arial" w:cs="Arial"/>
          <w:sz w:val="18"/>
          <w:szCs w:val="18"/>
        </w:rPr>
        <w:t xml:space="preserve"> explain significant line items in the reconciliation and are strongly encouraged to follow the TFM crosswalk. </w:t>
      </w:r>
      <w:r w:rsidRPr="00C246F2">
        <w:rPr>
          <w:rFonts w:ascii="Arial" w:hAnsi="Arial" w:cs="Arial"/>
          <w:sz w:val="18"/>
          <w:szCs w:val="18"/>
        </w:rPr>
        <w:t>When submitting notes using OMB’s MAX A-11 Data</w:t>
      </w:r>
      <w:r>
        <w:rPr>
          <w:rFonts w:ascii="Arial" w:hAnsi="Arial" w:cs="Arial"/>
          <w:sz w:val="18"/>
          <w:szCs w:val="18"/>
        </w:rPr>
        <w:t xml:space="preserve"> </w:t>
      </w:r>
      <w:r w:rsidRPr="00C246F2">
        <w:rPr>
          <w:rFonts w:ascii="Arial" w:hAnsi="Arial" w:cs="Arial"/>
          <w:sz w:val="18"/>
          <w:szCs w:val="18"/>
        </w:rPr>
        <w:t xml:space="preserve">Entry system, the significant entity should also submit the crosswalk used to prepare A-136 </w:t>
      </w:r>
      <w:r w:rsidR="005B2B97" w:rsidRPr="005B2B97">
        <w:rPr>
          <w:rFonts w:ascii="Arial" w:hAnsi="Arial" w:cs="Arial"/>
          <w:sz w:val="18"/>
          <w:szCs w:val="18"/>
        </w:rPr>
        <w:t>Reconciliation of Net Cost to Net Outlays (Budget to Accrual Reconciliation)</w:t>
      </w:r>
      <w:r w:rsidR="005B2B97">
        <w:rPr>
          <w:rFonts w:ascii="Arial" w:hAnsi="Arial" w:cs="Arial"/>
          <w:sz w:val="18"/>
          <w:szCs w:val="18"/>
        </w:rPr>
        <w:t xml:space="preserve"> n</w:t>
      </w:r>
      <w:r w:rsidR="005B2B97" w:rsidRPr="00C246F2">
        <w:rPr>
          <w:rFonts w:ascii="Arial" w:hAnsi="Arial" w:cs="Arial"/>
          <w:sz w:val="18"/>
          <w:szCs w:val="18"/>
        </w:rPr>
        <w:t>ote</w:t>
      </w:r>
      <w:r w:rsidRPr="00C246F2">
        <w:rPr>
          <w:rFonts w:ascii="Arial" w:hAnsi="Arial" w:cs="Arial"/>
          <w:sz w:val="18"/>
          <w:szCs w:val="18"/>
        </w:rPr>
        <w:t xml:space="preserve"> and reconcile the note with the investment information in A-136 </w:t>
      </w:r>
      <w:r w:rsidR="005B2B97" w:rsidRPr="005B2B97">
        <w:rPr>
          <w:rFonts w:ascii="Arial" w:hAnsi="Arial" w:cs="Arial"/>
          <w:sz w:val="18"/>
          <w:szCs w:val="18"/>
        </w:rPr>
        <w:t xml:space="preserve">Investments, Net </w:t>
      </w:r>
      <w:r w:rsidR="005B2B97">
        <w:rPr>
          <w:rFonts w:ascii="Arial" w:hAnsi="Arial" w:cs="Arial"/>
          <w:sz w:val="18"/>
          <w:szCs w:val="18"/>
        </w:rPr>
        <w:t>n</w:t>
      </w:r>
      <w:r w:rsidR="005B2B97" w:rsidRPr="00C246F2">
        <w:rPr>
          <w:rFonts w:ascii="Arial" w:hAnsi="Arial" w:cs="Arial"/>
          <w:sz w:val="18"/>
          <w:szCs w:val="18"/>
        </w:rPr>
        <w:t>ote</w:t>
      </w:r>
      <w:r w:rsidRPr="00C246F2">
        <w:rPr>
          <w:rFonts w:ascii="Arial" w:hAnsi="Arial" w:cs="Arial"/>
          <w:sz w:val="18"/>
          <w:szCs w:val="18"/>
        </w:rPr>
        <w:t xml:space="preserve">; the information required for loans and loan </w:t>
      </w:r>
      <w:r>
        <w:rPr>
          <w:rFonts w:ascii="Arial" w:hAnsi="Arial" w:cs="Arial"/>
          <w:sz w:val="18"/>
          <w:szCs w:val="18"/>
        </w:rPr>
        <w:t>g</w:t>
      </w:r>
      <w:r w:rsidRPr="00C246F2">
        <w:rPr>
          <w:rFonts w:ascii="Arial" w:hAnsi="Arial" w:cs="Arial"/>
          <w:sz w:val="18"/>
          <w:szCs w:val="18"/>
        </w:rPr>
        <w:t xml:space="preserve">uarantees in tables N and P in A-136 </w:t>
      </w:r>
      <w:r w:rsidR="005B2B97" w:rsidRPr="005B2B97">
        <w:rPr>
          <w:rFonts w:ascii="Arial" w:hAnsi="Arial" w:cs="Arial"/>
          <w:sz w:val="18"/>
          <w:szCs w:val="18"/>
        </w:rPr>
        <w:t xml:space="preserve">Loans Receivable, Net and Loan Guarantee Liabilities </w:t>
      </w:r>
      <w:r w:rsidR="005B2B97">
        <w:rPr>
          <w:rFonts w:ascii="Arial" w:hAnsi="Arial" w:cs="Arial"/>
          <w:sz w:val="18"/>
          <w:szCs w:val="18"/>
        </w:rPr>
        <w:t>n</w:t>
      </w:r>
      <w:r w:rsidR="005B2B97" w:rsidRPr="00C246F2">
        <w:rPr>
          <w:rFonts w:ascii="Arial" w:hAnsi="Arial" w:cs="Arial"/>
          <w:sz w:val="18"/>
          <w:szCs w:val="18"/>
        </w:rPr>
        <w:t>ote</w:t>
      </w:r>
      <w:r w:rsidRPr="00C246F2">
        <w:rPr>
          <w:rFonts w:ascii="Arial" w:hAnsi="Arial" w:cs="Arial"/>
          <w:sz w:val="18"/>
          <w:szCs w:val="18"/>
        </w:rPr>
        <w:t xml:space="preserve">; and the components of the changes in PP&amp;E, Net in A-136 </w:t>
      </w:r>
      <w:r w:rsidR="005B2B97" w:rsidRPr="005B2B97">
        <w:rPr>
          <w:rFonts w:ascii="Arial" w:hAnsi="Arial" w:cs="Arial"/>
          <w:sz w:val="18"/>
          <w:szCs w:val="18"/>
        </w:rPr>
        <w:t xml:space="preserve">Property, Plant, and Equipment, Net </w:t>
      </w:r>
      <w:r w:rsidR="005B2B97">
        <w:rPr>
          <w:rFonts w:ascii="Arial" w:hAnsi="Arial" w:cs="Arial"/>
          <w:sz w:val="18"/>
          <w:szCs w:val="18"/>
        </w:rPr>
        <w:t>n</w:t>
      </w:r>
      <w:r w:rsidR="005B2B97" w:rsidRPr="00C246F2">
        <w:rPr>
          <w:rFonts w:ascii="Arial" w:hAnsi="Arial" w:cs="Arial"/>
          <w:sz w:val="18"/>
          <w:szCs w:val="18"/>
        </w:rPr>
        <w:t>ote</w:t>
      </w:r>
      <w:r w:rsidRPr="00C246F2">
        <w:rPr>
          <w:rFonts w:ascii="Arial" w:hAnsi="Arial" w:cs="Arial"/>
          <w:sz w:val="18"/>
          <w:szCs w:val="18"/>
        </w:rPr>
        <w:t>.</w:t>
      </w:r>
      <w:r w:rsidRPr="007A7543">
        <w:t xml:space="preserve"> </w:t>
      </w:r>
      <w:r w:rsidRPr="007A7543">
        <w:rPr>
          <w:rFonts w:ascii="Arial" w:hAnsi="Arial" w:cs="Arial"/>
          <w:sz w:val="18"/>
          <w:szCs w:val="18"/>
        </w:rPr>
        <w:t>(A-1</w:t>
      </w:r>
      <w:r w:rsidRPr="00C246F2">
        <w:rPr>
          <w:rFonts w:ascii="Arial" w:hAnsi="Arial" w:cs="Arial"/>
          <w:sz w:val="18"/>
          <w:szCs w:val="18"/>
        </w:rPr>
        <w:t>36, section II.3.8.3</w:t>
      </w:r>
      <w:r>
        <w:rPr>
          <w:rFonts w:ascii="Arial" w:hAnsi="Arial" w:cs="Arial"/>
          <w:sz w:val="18"/>
          <w:szCs w:val="18"/>
        </w:rPr>
        <w:t>1</w:t>
      </w:r>
      <w:r w:rsidRPr="00C246F2">
        <w:rPr>
          <w:rFonts w:ascii="Arial" w:hAnsi="Arial" w:cs="Arial"/>
          <w:sz w:val="18"/>
          <w:szCs w:val="18"/>
        </w:rPr>
        <w:t>)</w:t>
      </w:r>
    </w:p>
  </w:footnote>
  <w:footnote w:id="257">
    <w:p w14:paraId="0ECF60B6" w14:textId="35879F19" w:rsidR="00AB3FC6" w:rsidRDefault="00AB3FC6" w:rsidP="00E96346">
      <w:pPr>
        <w:pStyle w:val="FootnoteText"/>
      </w:pPr>
      <w:r>
        <w:rPr>
          <w:rStyle w:val="FootnoteReference"/>
        </w:rPr>
        <w:footnoteRef/>
      </w:r>
      <w:r>
        <w:t xml:space="preserve">Noncash outlays are outlays that are recognized without a concurrent cash disbursement, such as interest accrued by the Department of Treasury on debt held by the public and the change in allowance for subsidy cost. </w:t>
      </w:r>
    </w:p>
  </w:footnote>
  <w:footnote w:id="258">
    <w:p w14:paraId="631F3D1F" w14:textId="2EEF593A" w:rsidR="006B0D80" w:rsidRDefault="006B0D80" w:rsidP="00E96346">
      <w:pPr>
        <w:pStyle w:val="FootnoteText"/>
      </w:pPr>
      <w:r>
        <w:rPr>
          <w:rStyle w:val="FootnoteReference"/>
        </w:rPr>
        <w:footnoteRef/>
      </w:r>
      <w:r w:rsidRPr="006B0D80">
        <w:t xml:space="preserve">Entities have flexibility in how they report non-intragovernmental, non-short-term leases, </w:t>
      </w:r>
      <w:r>
        <w:t xml:space="preserve">for the purposes of the reconciliation </w:t>
      </w:r>
      <w:r w:rsidRPr="006B0D80">
        <w:t>until the TFM crosswalk is updated for SFFAS 54.</w:t>
      </w:r>
      <w:r>
        <w:t xml:space="preserve"> (A-136, section II.3.8.31)</w:t>
      </w:r>
    </w:p>
  </w:footnote>
  <w:footnote w:id="259">
    <w:p w14:paraId="1DF95AA6" w14:textId="22EC263C" w:rsidR="00AB3FC6" w:rsidRDefault="00AB3FC6" w:rsidP="00911A2E">
      <w:pPr>
        <w:spacing w:after="0" w:line="240" w:lineRule="auto"/>
      </w:pPr>
      <w:r w:rsidRPr="00A309DB">
        <w:rPr>
          <w:rStyle w:val="FootnoteReference"/>
          <w:sz w:val="20"/>
          <w:szCs w:val="20"/>
        </w:rPr>
        <w:footnoteRef/>
      </w:r>
      <w:r w:rsidRPr="00A309DB">
        <w:rPr>
          <w:rFonts w:ascii="Arial" w:hAnsi="Arial" w:cs="Arial"/>
          <w:sz w:val="18"/>
          <w:szCs w:val="18"/>
        </w:rPr>
        <w:t>If remote risks of loss are disclosed, an explanation should be included that avoids the misleading inference that there is more than a remote chance of a loss</w:t>
      </w:r>
      <w:r w:rsidRPr="00A309DB">
        <w:t>.</w:t>
      </w:r>
    </w:p>
  </w:footnote>
  <w:footnote w:id="260">
    <w:p w14:paraId="5BC1A0BC" w14:textId="5B0C13D9" w:rsidR="00AB3FC6" w:rsidRDefault="00AB3FC6" w:rsidP="00E96346">
      <w:pPr>
        <w:pStyle w:val="FootnoteText"/>
      </w:pPr>
      <w:r>
        <w:rPr>
          <w:rStyle w:val="FootnoteReference"/>
        </w:rPr>
        <w:footnoteRef/>
      </w:r>
      <w:r>
        <w:t xml:space="preserve">Intragovernmental transactions are transactions between federal entities. When preparing the federal government’s consolidated financial statements, matching </w:t>
      </w:r>
      <w:r w:rsidRPr="001F75D8">
        <w:t>intragovernmental activity and balances are eliminated from the FR statements.</w:t>
      </w:r>
      <w:r>
        <w:t xml:space="preserve"> </w:t>
      </w:r>
    </w:p>
  </w:footnote>
  <w:footnote w:id="261">
    <w:p w14:paraId="4EBA1159" w14:textId="2D26F882" w:rsidR="00AB3FC6" w:rsidRPr="00DB4CB8" w:rsidRDefault="00AB3FC6" w:rsidP="00E96346">
      <w:pPr>
        <w:pStyle w:val="FootnoteText"/>
      </w:pPr>
      <w:r>
        <w:rPr>
          <w:rStyle w:val="FootnoteReference"/>
        </w:rPr>
        <w:footnoteRef/>
      </w:r>
      <w:r>
        <w:t xml:space="preserve">See </w:t>
      </w:r>
      <w:r w:rsidR="00F74D70" w:rsidRPr="005B5418">
        <w:t>crosswalk that can be obtained from Fiscal Service using the contact information in A-136, Appendix B (A-136, section II.3.8.36)</w:t>
      </w:r>
      <w:r w:rsidRPr="00DB4CB8">
        <w:rPr>
          <w:szCs w:val="22"/>
        </w:rPr>
        <w:t>.</w:t>
      </w:r>
    </w:p>
  </w:footnote>
  <w:footnote w:id="262">
    <w:p w14:paraId="0AF6C1AE" w14:textId="0114AE43" w:rsidR="00AB3FC6" w:rsidRPr="00DB4CB8" w:rsidRDefault="00AB3FC6" w:rsidP="00E96346">
      <w:pPr>
        <w:pStyle w:val="FootnoteText"/>
      </w:pPr>
      <w:r w:rsidRPr="00DB4CB8">
        <w:rPr>
          <w:rStyle w:val="FootnoteReference"/>
        </w:rPr>
        <w:footnoteRef/>
      </w:r>
      <w:r w:rsidRPr="00DB4CB8">
        <w:t xml:space="preserve">See </w:t>
      </w:r>
      <w:r w:rsidR="00F74D70" w:rsidRPr="005B5418">
        <w:t>crosswalk that can be obtained from Fiscal Service using the contact information in A-136, Appendix B (A-136, section II.3.8.36</w:t>
      </w:r>
      <w:r w:rsidR="00F74D70">
        <w:t>)</w:t>
      </w:r>
      <w:r w:rsidRPr="00DB4CB8">
        <w:rPr>
          <w:szCs w:val="22"/>
        </w:rPr>
        <w:t>.</w:t>
      </w:r>
      <w:r w:rsidRPr="00DB4CB8">
        <w:t xml:space="preserve"> </w:t>
      </w:r>
    </w:p>
  </w:footnote>
  <w:footnote w:id="263">
    <w:p w14:paraId="2EA42083" w14:textId="3EEAF03C" w:rsidR="00AB3FC6" w:rsidRDefault="00AB3FC6" w:rsidP="00E96346">
      <w:pPr>
        <w:pStyle w:val="FootnoteText"/>
      </w:pPr>
      <w:r w:rsidRPr="00DB4CB8">
        <w:rPr>
          <w:rStyle w:val="FootnoteReference"/>
        </w:rPr>
        <w:footnoteRef/>
      </w:r>
      <w:r w:rsidRPr="00DB4CB8">
        <w:t xml:space="preserve">See </w:t>
      </w:r>
      <w:r w:rsidR="00F74D70" w:rsidRPr="005B5418">
        <w:t>crosswalk that can be obtained from Fiscal Service using the contact information in A-136, Appendix B (A-136, section II.3.8.36)</w:t>
      </w:r>
      <w:r w:rsidRPr="00DB4CB8">
        <w:rPr>
          <w:szCs w:val="22"/>
        </w:rPr>
        <w:t>.</w:t>
      </w:r>
      <w:r w:rsidRPr="00DB4CB8">
        <w:t xml:space="preserve">  </w:t>
      </w:r>
    </w:p>
  </w:footnote>
  <w:footnote w:id="264">
    <w:p w14:paraId="1F4634BD" w14:textId="14E5F6C3" w:rsidR="00AB3FC6" w:rsidRDefault="00AB3FC6" w:rsidP="00E96346">
      <w:pPr>
        <w:pStyle w:val="FootnoteText"/>
      </w:pPr>
      <w:r>
        <w:rPr>
          <w:rStyle w:val="FootnoteReference"/>
        </w:rPr>
        <w:footnoteRef/>
      </w:r>
      <w:r w:rsidRPr="00482AC9">
        <w:t>In an environment heavily affected by changes in prices</w:t>
      </w:r>
      <w:r>
        <w:t>;</w:t>
      </w:r>
      <w:r w:rsidRPr="00482AC9">
        <w:t xml:space="preserve"> technological advancements</w:t>
      </w:r>
      <w:r>
        <w:t>;</w:t>
      </w:r>
      <w:r w:rsidRPr="00482AC9">
        <w:t xml:space="preserve"> economic and operating conditions</w:t>
      </w:r>
      <w:r>
        <w:t>;</w:t>
      </w:r>
      <w:r w:rsidRPr="00482AC9">
        <w:t xml:space="preserve"> and known geological, engineering, and economic data, estimation methodologies may need to be regularly updated to reflect these changing conditions. (SFFAS 38, par</w:t>
      </w:r>
      <w:r>
        <w:t>a</w:t>
      </w:r>
      <w:r w:rsidRPr="00482AC9">
        <w:t>. 16)</w:t>
      </w:r>
    </w:p>
  </w:footnote>
  <w:footnote w:id="265">
    <w:p w14:paraId="6361F12D" w14:textId="1622F7F5" w:rsidR="00AB3FC6" w:rsidRDefault="00AB3FC6" w:rsidP="00E96346">
      <w:pPr>
        <w:pStyle w:val="FootnoteText"/>
      </w:pPr>
      <w:r>
        <w:rPr>
          <w:rStyle w:val="FootnoteReference"/>
        </w:rPr>
        <w:footnoteRef/>
      </w:r>
      <w:r w:rsidRPr="00482AC9">
        <w:t>Alternative methods for measuring fair value or current price may be acceptable if it is not reasonably possible to estimate present value of future federal royalty receipts on proved reserves using the methodology described in SFFAS 38, par</w:t>
      </w:r>
      <w:r>
        <w:t>as</w:t>
      </w:r>
      <w:r w:rsidRPr="00482AC9">
        <w:t>. 17</w:t>
      </w:r>
      <w:r>
        <w:t>–</w:t>
      </w:r>
      <w:r w:rsidRPr="00482AC9">
        <w:t>19. (SFFAS 38, par</w:t>
      </w:r>
      <w:r>
        <w:t>a</w:t>
      </w:r>
      <w:r w:rsidRPr="00482AC9">
        <w:t>. 22)</w:t>
      </w:r>
    </w:p>
  </w:footnote>
  <w:footnote w:id="266">
    <w:p w14:paraId="3F6E463B" w14:textId="1939483A" w:rsidR="00AB3FC6" w:rsidRDefault="00AB3FC6" w:rsidP="00E96346">
      <w:pPr>
        <w:pStyle w:val="FootnoteText"/>
      </w:pPr>
      <w:r>
        <w:rPr>
          <w:rStyle w:val="FootnoteReference"/>
        </w:rPr>
        <w:footnoteRef/>
      </w:r>
      <w:r>
        <w:t>Resources may be further divided by subtype of commodity and calculated separately if material differences would otherwise result.</w:t>
      </w:r>
    </w:p>
  </w:footnote>
  <w:footnote w:id="267">
    <w:p w14:paraId="04891B15" w14:textId="40549ADD" w:rsidR="00AB3FC6" w:rsidRDefault="00AB3FC6" w:rsidP="00E96346">
      <w:pPr>
        <w:pStyle w:val="FootnoteText"/>
      </w:pPr>
      <w:r w:rsidRPr="001A1D27">
        <w:rPr>
          <w:rStyle w:val="FootnoteReference"/>
        </w:rPr>
        <w:footnoteRef/>
      </w:r>
      <w:r w:rsidRPr="001A1D27">
        <w:t>Stewardship policies are the guiding principles established to assess the areas; offer resources to interested developers; sell and assign leases to winning bidders; administer the leases; collect bonuses, rents, and royalties; and distribute the collections consistent with statutory requirements, prohibitions, and limitations governing the entity.</w:t>
      </w:r>
    </w:p>
    <w:p w14:paraId="1AE09959" w14:textId="77777777" w:rsidR="00AB3FC6" w:rsidRDefault="00AB3FC6" w:rsidP="00E96346">
      <w:pPr>
        <w:pStyle w:val="FootnoteText"/>
      </w:pPr>
    </w:p>
  </w:footnote>
  <w:footnote w:id="268">
    <w:p w14:paraId="35679EF5" w14:textId="388C440D" w:rsidR="00AB3FC6" w:rsidRDefault="00AB3FC6" w:rsidP="00E96346">
      <w:pPr>
        <w:pStyle w:val="FootnoteText"/>
      </w:pPr>
      <w:r>
        <w:rPr>
          <w:rStyle w:val="FootnoteReference"/>
        </w:rPr>
        <w:footnoteRef/>
      </w:r>
      <w:r>
        <w:t>The determination of acceptable condition may vary both between entities and among sites within the same entity. Management shall determine what level of condition is acceptable.</w:t>
      </w:r>
    </w:p>
  </w:footnote>
  <w:footnote w:id="269">
    <w:p w14:paraId="6349FC9C" w14:textId="6FE10F31" w:rsidR="00AB3FC6" w:rsidRDefault="00AB3FC6" w:rsidP="00E96346">
      <w:pPr>
        <w:pStyle w:val="FootnoteText"/>
      </w:pPr>
      <w:r>
        <w:rPr>
          <w:rStyle w:val="FootnoteReference"/>
        </w:rPr>
        <w:footnoteRef/>
      </w:r>
      <w:r>
        <w:t>The term systems can refer to either (1) information technology assets or (2) groupings (assemblages) of component parts belonging to a building, equipment, or other personal property. (SFFAS 42, fn 5)</w:t>
      </w:r>
    </w:p>
  </w:footnote>
  <w:footnote w:id="270">
    <w:p w14:paraId="286CE42F" w14:textId="61E2BE53" w:rsidR="00AB3FC6" w:rsidRPr="00D17DBA" w:rsidRDefault="00AB3FC6" w:rsidP="00E96346">
      <w:pPr>
        <w:pStyle w:val="FootnoteText"/>
      </w:pPr>
      <w:r w:rsidRPr="00D17DBA">
        <w:rPr>
          <w:rStyle w:val="FootnoteReference"/>
        </w:rPr>
        <w:footnoteRef/>
      </w:r>
      <w:r w:rsidRPr="00D17DBA">
        <w:t>Determination of acceptable condition affects the amount of DM&amp;R</w:t>
      </w:r>
      <w:r>
        <w:t>,</w:t>
      </w:r>
      <w:r w:rsidRPr="00D17DBA">
        <w:t xml:space="preserve"> and management may determine that based upon level of service expectations and acceptable condition levels, no significant amounts of </w:t>
      </w:r>
      <w:r w:rsidRPr="00776106">
        <w:t>DM&amp;R</w:t>
      </w:r>
      <w:r w:rsidRPr="00D17DBA">
        <w:t xml:space="preserve"> exist. In such cases, DM&amp;R would not be reported</w:t>
      </w:r>
      <w:r>
        <w:t>.</w:t>
      </w:r>
    </w:p>
  </w:footnote>
  <w:footnote w:id="271">
    <w:p w14:paraId="747AAE0C" w14:textId="1BFAAF5A" w:rsidR="00AB3FC6" w:rsidRPr="00D17DBA" w:rsidRDefault="00AB3FC6" w:rsidP="00E96346">
      <w:pPr>
        <w:pStyle w:val="FootnoteText"/>
      </w:pPr>
      <w:r w:rsidRPr="00D17DBA">
        <w:rPr>
          <w:rStyle w:val="FootnoteReference"/>
        </w:rPr>
        <w:footnoteRef/>
      </w:r>
      <w:r w:rsidRPr="00D17DBA">
        <w:t xml:space="preserve">Assessment methods are techniques or procedures used in a process of systematically evaluating an entity’s PP&amp;E in order to project </w:t>
      </w:r>
      <w:r>
        <w:t>maintenance and repairs</w:t>
      </w:r>
      <w:r w:rsidRPr="00D17DBA">
        <w:t xml:space="preserve">, renewal, or replacement needs that will maintain or preserve its ability to support the entity’s mission or activities it is assigned to serve. </w:t>
      </w:r>
    </w:p>
  </w:footnote>
  <w:footnote w:id="272">
    <w:p w14:paraId="74A9F8C1" w14:textId="5FF9107A" w:rsidR="00AB3FC6" w:rsidRPr="00D17DBA" w:rsidRDefault="00AB3FC6" w:rsidP="00E96346">
      <w:pPr>
        <w:pStyle w:val="FootnoteText"/>
      </w:pPr>
      <w:r w:rsidRPr="00D17DBA">
        <w:rPr>
          <w:rStyle w:val="FootnoteReference"/>
        </w:rPr>
        <w:footnoteRef/>
      </w:r>
      <w:r w:rsidRPr="00D17DBA">
        <w:t xml:space="preserve">DM&amp;R also may be measured and reported for non-capitalized or fully depreciated </w:t>
      </w:r>
      <w:r>
        <w:t>PP&amp;E</w:t>
      </w:r>
      <w:r w:rsidRPr="00D17DBA">
        <w:t>.</w:t>
      </w:r>
    </w:p>
  </w:footnote>
  <w:footnote w:id="273">
    <w:p w14:paraId="6D3CBF1F" w14:textId="15CE111C" w:rsidR="00560E4A" w:rsidRDefault="00560E4A" w:rsidP="00E96346">
      <w:pPr>
        <w:pStyle w:val="FootnoteText"/>
      </w:pPr>
      <w:r>
        <w:rPr>
          <w:rStyle w:val="FootnoteReference"/>
        </w:rPr>
        <w:footnoteRef/>
      </w:r>
      <w:r>
        <w:t>SFFAS 59, para</w:t>
      </w:r>
      <w:r w:rsidR="00271322">
        <w:t>.</w:t>
      </w:r>
      <w:r>
        <w:t xml:space="preserve"> 3, excludes Tribal land, land held or administered on behalf of Tribal governments, and the Outer Continental Shelf. However, SFFAS 59, para</w:t>
      </w:r>
      <w:r w:rsidR="00271322">
        <w:t>.</w:t>
      </w:r>
      <w:r>
        <w:t xml:space="preserve"> A29, provides</w:t>
      </w:r>
      <w:r w:rsidR="00271322">
        <w:t xml:space="preserve"> that</w:t>
      </w:r>
      <w:r>
        <w:t xml:space="preserve"> “if any entity manages material amounts of </w:t>
      </w:r>
      <w:r w:rsidR="009C594A">
        <w:t>Outer Continental Shelf</w:t>
      </w:r>
      <w:r>
        <w:t xml:space="preserve"> acreage, the Board believes that this fact should be disclosed.” </w:t>
      </w:r>
      <w:r w:rsidR="007F6286" w:rsidRPr="007F6286">
        <w:t>(A-136, section II.3.9.8)</w:t>
      </w:r>
    </w:p>
  </w:footnote>
  <w:footnote w:id="274">
    <w:p w14:paraId="4DEE4D80" w14:textId="720B7455" w:rsidR="00560E4A" w:rsidRPr="00BF7303" w:rsidRDefault="00560E4A" w:rsidP="00E96346">
      <w:pPr>
        <w:pStyle w:val="FootnoteText"/>
      </w:pPr>
      <w:r>
        <w:rPr>
          <w:rStyle w:val="FootnoteReference"/>
        </w:rPr>
        <w:footnoteRef/>
      </w:r>
      <w:r w:rsidRPr="000F140C">
        <w:t>SFFAS 59 requires the reporting of “estimated acres of land.” See SFFAS 59, para</w:t>
      </w:r>
      <w:r w:rsidR="00271322">
        <w:t>s.</w:t>
      </w:r>
      <w:r w:rsidRPr="000F140C">
        <w:t xml:space="preserve"> 6</w:t>
      </w:r>
      <w:r w:rsidR="00271322">
        <w:t xml:space="preserve"> and</w:t>
      </w:r>
      <w:r w:rsidRPr="000F140C">
        <w:t xml:space="preserve"> 9</w:t>
      </w:r>
      <w:r w:rsidR="00271322">
        <w:t>–</w:t>
      </w:r>
      <w:r w:rsidRPr="000F140C">
        <w:t xml:space="preserve">12. </w:t>
      </w:r>
      <w:r w:rsidRPr="00B012F6">
        <w:t>Management has discretion in determining the level of aggregation used for predominant use</w:t>
      </w:r>
      <w:r w:rsidRPr="00B842B5">
        <w:t>. See SFFAS 59, para</w:t>
      </w:r>
      <w:r w:rsidR="00271322">
        <w:t>.</w:t>
      </w:r>
      <w:r w:rsidRPr="00B842B5">
        <w:t xml:space="preserve"> A35. </w:t>
      </w:r>
      <w:r>
        <w:t>Assessment of materiality may consider factors such as how land is used in operations, whether land is important to the entity’s mission or operations, whether land accounts for major expenses of the entity, and whether land provides significant revenue to the entity.</w:t>
      </w:r>
      <w:r w:rsidR="007F6286">
        <w:t xml:space="preserve"> </w:t>
      </w:r>
      <w:r w:rsidR="007F6286" w:rsidRPr="007F6286">
        <w:t>(A-136, section II.3.9.8)</w:t>
      </w:r>
    </w:p>
    <w:p w14:paraId="6FBBA669" w14:textId="4A1FF427" w:rsidR="00560E4A" w:rsidRDefault="00560E4A" w:rsidP="00E96346">
      <w:pPr>
        <w:pStyle w:val="FootnoteText"/>
      </w:pPr>
      <w:r>
        <w:t xml:space="preserve"> </w:t>
      </w:r>
    </w:p>
  </w:footnote>
  <w:footnote w:id="275">
    <w:p w14:paraId="7FDCA31D" w14:textId="507BF5DB" w:rsidR="00826FBA" w:rsidRDefault="00826FBA" w:rsidP="00E96346">
      <w:pPr>
        <w:pStyle w:val="FootnoteText"/>
      </w:pPr>
      <w:r>
        <w:rPr>
          <w:rStyle w:val="FootnoteReference"/>
        </w:rPr>
        <w:footnoteRef/>
      </w:r>
      <w:r w:rsidRPr="00826FBA">
        <w:t>Land includes land and permanent land rights. Temporary land rights are not included pursuant to SFFAS 59, paras</w:t>
      </w:r>
      <w:r w:rsidR="00271322">
        <w:t>.</w:t>
      </w:r>
      <w:r w:rsidRPr="00826FBA">
        <w:t xml:space="preserve"> 4 and 5</w:t>
      </w:r>
      <w:r w:rsidR="00271322">
        <w:t>,</w:t>
      </w:r>
      <w:r w:rsidRPr="00826FBA">
        <w:t xml:space="preserve"> and the Outer Continental Shelf is not included pursuant to SFF</w:t>
      </w:r>
      <w:r w:rsidR="00E96346" w:rsidRPr="00826FBA">
        <w:t>A</w:t>
      </w:r>
      <w:r w:rsidRPr="00826FBA">
        <w:t>S 59, para</w:t>
      </w:r>
      <w:r w:rsidR="00271322">
        <w:t>.</w:t>
      </w:r>
      <w:r w:rsidRPr="00826FBA">
        <w:t xml:space="preserve"> 3.</w:t>
      </w:r>
      <w:r>
        <w:t xml:space="preserve"> (A-136, section II.3.9.8)</w:t>
      </w:r>
    </w:p>
  </w:footnote>
  <w:footnote w:id="276">
    <w:p w14:paraId="3651B10F" w14:textId="57C4D755" w:rsidR="00AB3FC6" w:rsidRDefault="00AB3FC6" w:rsidP="00E96346">
      <w:pPr>
        <w:pStyle w:val="FootnoteText"/>
      </w:pPr>
      <w:r w:rsidRPr="00D94881">
        <w:rPr>
          <w:rStyle w:val="FootnoteReference"/>
        </w:rPr>
        <w:footnoteRef/>
      </w:r>
      <w:r w:rsidRPr="00D94881">
        <w:t>Policies for land are the goals and principles the entity established to guide its acquisition, maintenance, use, and disposal of land consistent with statutory requirements, prohibitions, and limitations governing the entity and the land.</w:t>
      </w:r>
    </w:p>
  </w:footnote>
  <w:footnote w:id="277">
    <w:p w14:paraId="240B871C" w14:textId="06C28791" w:rsidR="00AB3FC6" w:rsidRPr="00E41DFE" w:rsidRDefault="00AB3FC6" w:rsidP="00705215">
      <w:pPr>
        <w:autoSpaceDE w:val="0"/>
        <w:autoSpaceDN w:val="0"/>
        <w:adjustRightInd w:val="0"/>
        <w:spacing w:after="0" w:line="240" w:lineRule="auto"/>
      </w:pPr>
      <w:r w:rsidRPr="00E41DFE">
        <w:rPr>
          <w:rStyle w:val="FootnoteReference"/>
        </w:rPr>
        <w:footnoteRef/>
      </w:r>
      <w:r w:rsidRPr="00E41DFE">
        <w:rPr>
          <w:rFonts w:ascii="Arial" w:hAnsi="Arial" w:cs="Arial"/>
          <w:sz w:val="18"/>
          <w:szCs w:val="18"/>
        </w:rPr>
        <w:t>Predominant use is the major or primary current use of an asset during the reporting period and does not include incidental or infrequent uses of the asset. Moreover, predominant use can change between reporting periods. An asset's predominant use should be consistent with the entity's authorizing legislation but may not always be consistent with the original intent or reason why the asset was initially acquired.</w:t>
      </w:r>
    </w:p>
  </w:footnote>
  <w:footnote w:id="278">
    <w:p w14:paraId="3409318B" w14:textId="66E28D87" w:rsidR="009A1D15" w:rsidRDefault="009A1D15">
      <w:pPr>
        <w:pStyle w:val="FootnoteText"/>
      </w:pPr>
      <w:r>
        <w:rPr>
          <w:rStyle w:val="FootnoteReference"/>
        </w:rPr>
        <w:footnoteRef/>
      </w:r>
      <w:r w:rsidRPr="009A1D15">
        <w:t>Land is considered held for disposal or exchange when the entity has satisfied the statutory disposal authority requirements specific to the land in question.</w:t>
      </w:r>
    </w:p>
  </w:footnote>
  <w:footnote w:id="279">
    <w:p w14:paraId="74509A28" w14:textId="6E886161" w:rsidR="00AB3FC6" w:rsidRDefault="00AB3FC6" w:rsidP="00E96346">
      <w:pPr>
        <w:pStyle w:val="FootnoteText"/>
      </w:pPr>
      <w:r>
        <w:rPr>
          <w:rStyle w:val="FootnoteReference"/>
        </w:rPr>
        <w:footnoteRef/>
      </w:r>
      <w:r>
        <w:t>Policies for stewardship land are the goals and principles the entity established to guide its acquisition, maintenance, use, and disposal of stewardship land consistent with statutory requirements, prohibitions, and limitations governing the entity and the stewardship land.</w:t>
      </w:r>
      <w:r w:rsidR="00F806CD">
        <w:t xml:space="preserve"> (SFFAS 59, para. 9)</w:t>
      </w:r>
    </w:p>
  </w:footnote>
  <w:footnote w:id="280">
    <w:p w14:paraId="15CCCBB0" w14:textId="770CDAED" w:rsidR="00AB3FC6" w:rsidRPr="00C50BB9" w:rsidRDefault="00AB3FC6" w:rsidP="00E96346">
      <w:pPr>
        <w:pStyle w:val="FootnoteText"/>
      </w:pPr>
      <w:r>
        <w:rPr>
          <w:rStyle w:val="FootnoteReference"/>
        </w:rPr>
        <w:footnoteRef/>
      </w:r>
      <w:r w:rsidRPr="00C50BB9">
        <w:t xml:space="preserve">Predominant use is the major or primary current use of an asset during the reporting period and does not include incidental or infrequent uses of the asset. Moreover, predominant use can change between reporting periods. An asset's predominant use should be consistent with the entity's authorizing legislation but may not always be consistent with the original intent or reason why the asset was initially acquired. </w:t>
      </w:r>
      <w:r w:rsidR="00F806CD">
        <w:t>(See SFFAS 59)</w:t>
      </w:r>
    </w:p>
  </w:footnote>
  <w:footnote w:id="281">
    <w:p w14:paraId="5AE73A85" w14:textId="0AD6BD00" w:rsidR="00AB3FC6" w:rsidRDefault="00AB3FC6" w:rsidP="00E96346">
      <w:pPr>
        <w:pStyle w:val="FootnoteText"/>
      </w:pPr>
      <w:r w:rsidRPr="00C50BB9">
        <w:rPr>
          <w:rStyle w:val="FootnoteReference"/>
          <w:color w:val="000000"/>
          <w14:textFill>
            <w14:solidFill>
              <w14:srgbClr w14:val="000000">
                <w14:lumMod w14:val="75000"/>
              </w14:srgbClr>
            </w14:solidFill>
          </w14:textFill>
        </w:rPr>
        <w:footnoteRef/>
      </w:r>
      <w:r w:rsidRPr="00C50BB9">
        <w:t xml:space="preserve">Stewardship land is considered held for disposal or exchange when the entity has satisfied the statutory disposal authority requirements specific to the land in question. </w:t>
      </w:r>
    </w:p>
  </w:footnote>
  <w:footnote w:id="282">
    <w:p w14:paraId="0DB1FD65" w14:textId="5DA9E16E" w:rsidR="00AB3FC6" w:rsidRDefault="00AB3FC6" w:rsidP="00E96346">
      <w:pPr>
        <w:pStyle w:val="FootnoteText"/>
      </w:pPr>
      <w:r>
        <w:rPr>
          <w:rStyle w:val="FootnoteReference"/>
        </w:rPr>
        <w:footnoteRef/>
      </w:r>
      <w:r>
        <w:t>These names should be kept constant so that a weakness reported in FMFIA sections or by the auditor has the same name in both tables. Also, to the extent possible, names should be kept constant from year to year.</w:t>
      </w:r>
    </w:p>
  </w:footnote>
  <w:footnote w:id="283">
    <w:p w14:paraId="5146F5C1" w14:textId="77777777" w:rsidR="004B6C54" w:rsidRDefault="004B6C54" w:rsidP="004B6C54">
      <w:pPr>
        <w:pStyle w:val="FootnoteText"/>
      </w:pPr>
      <w:r>
        <w:rPr>
          <w:rStyle w:val="FootnoteReference"/>
        </w:rPr>
        <w:footnoteRef/>
      </w:r>
      <w:r>
        <w:t xml:space="preserve">This statement must be provided to the agency head at least 30 days before the PAR or AFR due date.  </w:t>
      </w:r>
    </w:p>
  </w:footnote>
  <w:footnote w:id="284">
    <w:p w14:paraId="751EBD54" w14:textId="170B57CA" w:rsidR="004B6C54" w:rsidRDefault="004B6C54">
      <w:pPr>
        <w:pStyle w:val="FootnoteText"/>
      </w:pPr>
      <w:r>
        <w:rPr>
          <w:rStyle w:val="FootnoteReference"/>
        </w:rPr>
        <w:footnoteRef/>
      </w:r>
      <w:r w:rsidRPr="004B6C54">
        <w:t>The agency head may comment on, but not modify, the IG statement.</w:t>
      </w:r>
      <w:r>
        <w:t xml:space="preserve"> </w:t>
      </w:r>
      <w:r w:rsidRPr="004B6C54">
        <w:t xml:space="preserve">If provided, comments by the </w:t>
      </w:r>
      <w:r w:rsidR="0053370C">
        <w:t>a</w:t>
      </w:r>
      <w:r w:rsidRPr="004B6C54">
        <w:t xml:space="preserve">gency </w:t>
      </w:r>
      <w:r w:rsidR="0053370C">
        <w:t>h</w:t>
      </w:r>
      <w:r w:rsidRPr="004B6C54">
        <w:t>ead should follow the IG’s statement and address each IG challenge</w:t>
      </w:r>
      <w:r w:rsidR="0053370C">
        <w:t>.</w:t>
      </w:r>
    </w:p>
  </w:footnote>
  <w:footnote w:id="285">
    <w:p w14:paraId="24F0BA0F" w14:textId="041E6321" w:rsidR="00AB3FC6" w:rsidRDefault="00AB3FC6" w:rsidP="00E96346">
      <w:pPr>
        <w:pStyle w:val="FootnoteText"/>
      </w:pPr>
      <w:r>
        <w:rPr>
          <w:rStyle w:val="FootnoteReference"/>
        </w:rPr>
        <w:footnoteRef/>
      </w:r>
      <w:r>
        <w:t xml:space="preserve">Recovery audits are reviews and analyses </w:t>
      </w:r>
      <w:r w:rsidRPr="00595929">
        <w:t xml:space="preserve">of an </w:t>
      </w:r>
      <w:r w:rsidR="00A549F8" w:rsidRPr="00595929">
        <w:t>agency</w:t>
      </w:r>
      <w:r w:rsidR="00A549F8">
        <w:t>’</w:t>
      </w:r>
      <w:r w:rsidR="00A549F8" w:rsidRPr="00595929">
        <w:t xml:space="preserve">s </w:t>
      </w:r>
      <w:r w:rsidRPr="00595929">
        <w:t xml:space="preserve">or program’s accounting and financial records, supporting documentation, and other pertinent information supporting its payments that </w:t>
      </w:r>
      <w:r>
        <w:t>are</w:t>
      </w:r>
      <w:r w:rsidRPr="00595929">
        <w:t xml:space="preserve"> specifically designed to identify </w:t>
      </w:r>
      <w:r>
        <w:t xml:space="preserve">and recover </w:t>
      </w:r>
      <w:r w:rsidRPr="00595929">
        <w:t>overpayments</w:t>
      </w:r>
      <w:r>
        <w:t xml:space="preserve">. (A-123, </w:t>
      </w:r>
      <w:r w:rsidR="00C94B31">
        <w:t xml:space="preserve">app. </w:t>
      </w:r>
      <w:r>
        <w:t>C)</w:t>
      </w:r>
    </w:p>
  </w:footnote>
  <w:footnote w:id="286">
    <w:p w14:paraId="6D31687B" w14:textId="07B093DA" w:rsidR="00AB3FC6" w:rsidRDefault="00AB3FC6" w:rsidP="00E96346">
      <w:pPr>
        <w:pStyle w:val="FootnoteText"/>
      </w:pPr>
      <w:r>
        <w:rPr>
          <w:rStyle w:val="FootnoteReference"/>
        </w:rPr>
        <w:footnoteRef/>
      </w:r>
      <w:r>
        <w:t xml:space="preserve">The Federal Civil Penalties Inflation Adjustment Act Improvements Act of 2015 was enacted as title VII of the Bipartisan Budget Act of 2015. </w:t>
      </w:r>
      <w:r>
        <w:rPr>
          <w:i/>
        </w:rPr>
        <w:t xml:space="preserve">See </w:t>
      </w:r>
      <w:r>
        <w:t xml:space="preserve">Pub. L. No. 114-74, tit. VII, § 701, 129 Stat. 584, 599-601 (Nov. 2, 2015), </w:t>
      </w:r>
      <w:r w:rsidRPr="00B803E3">
        <w:rPr>
          <w:i/>
        </w:rPr>
        <w:t>reprinted in</w:t>
      </w:r>
      <w:r>
        <w:t xml:space="preserve"> 28 U.S.C. § 2461 note. Pursuant to implementing guidance that OMB issued in Circular No. A-136, agencies must include, as Other Information, information about civil monetary penalties within their jurisdiction and the adjustments made under the ac</w:t>
      </w:r>
      <w:r w:rsidRPr="00542130">
        <w:t>t</w:t>
      </w:r>
      <w:r>
        <w:t xml:space="preserve">. The guidance also states that agencies are encouraged to include a table providing this information. </w:t>
      </w:r>
    </w:p>
  </w:footnote>
  <w:footnote w:id="287">
    <w:p w14:paraId="757563D6" w14:textId="77777777" w:rsidR="0086479B" w:rsidRPr="00A032A6" w:rsidRDefault="0086479B" w:rsidP="00A032A6">
      <w:pPr>
        <w:pStyle w:val="BodyText"/>
        <w:spacing w:line="240" w:lineRule="auto"/>
        <w:rPr>
          <w:sz w:val="18"/>
          <w:szCs w:val="18"/>
        </w:rPr>
      </w:pPr>
      <w:r w:rsidRPr="00A032A6">
        <w:rPr>
          <w:rStyle w:val="FootnoteReference"/>
          <w:sz w:val="18"/>
          <w:szCs w:val="18"/>
        </w:rPr>
        <w:footnoteRef/>
      </w:r>
      <w:r w:rsidRPr="00A032A6">
        <w:rPr>
          <w:sz w:val="18"/>
          <w:szCs w:val="18"/>
        </w:rPr>
        <w:t xml:space="preserve">If a table is not provided, the </w:t>
      </w:r>
      <w:r w:rsidRPr="007A7A92">
        <w:rPr>
          <w:i/>
          <w:iCs/>
          <w:sz w:val="18"/>
          <w:szCs w:val="18"/>
        </w:rPr>
        <w:t>Federal Register</w:t>
      </w:r>
      <w:r w:rsidRPr="00A032A6">
        <w:rPr>
          <w:sz w:val="18"/>
          <w:szCs w:val="18"/>
        </w:rPr>
        <w:t xml:space="preserve"> citation(s) and hyperlink(s) for the most recent annual adjustment must be included in the narrative discussion of the penalties.</w:t>
      </w:r>
    </w:p>
    <w:p w14:paraId="644F733F" w14:textId="3384014E" w:rsidR="0086479B" w:rsidRDefault="0086479B" w:rsidP="00E96346">
      <w:pPr>
        <w:pStyle w:val="FootnoteText"/>
      </w:pPr>
      <w:r>
        <w:t xml:space="preserve"> </w:t>
      </w:r>
    </w:p>
  </w:footnote>
  <w:footnote w:id="288">
    <w:p w14:paraId="514BFC9C" w14:textId="1AEF4CCE" w:rsidR="00AB3FC6" w:rsidRDefault="00AB3FC6" w:rsidP="00E96346">
      <w:pPr>
        <w:pStyle w:val="FootnoteText"/>
      </w:pPr>
      <w:r w:rsidRPr="00F20E3E">
        <w:rPr>
          <w:rStyle w:val="FootnoteReference"/>
        </w:rPr>
        <w:footnoteRef/>
      </w:r>
      <w:r w:rsidR="00BC0386">
        <w:t xml:space="preserve">OMB Memorandum </w:t>
      </w:r>
      <w:r w:rsidRPr="00F20E3E">
        <w:t xml:space="preserve">16-18, </w:t>
      </w:r>
      <w:r w:rsidRPr="00F20E3E">
        <w:rPr>
          <w:i/>
        </w:rPr>
        <w:t>Financial and Performance Reporting on Undisbursed Balances in Expired Grant Accounts</w:t>
      </w:r>
      <w:r w:rsidRPr="00F20E3E">
        <w:t xml:space="preserve"> (July 15, 2016), implements the OMB requirement to issue applicable instructions to federal entities enacted in annual Commerce, Justice, Science, and Related Agencies </w:t>
      </w:r>
      <w:r w:rsidR="007E562B">
        <w:t xml:space="preserve">Appropriations </w:t>
      </w:r>
      <w:r w:rsidRPr="00F20E3E">
        <w:t xml:space="preserve">Acts. </w:t>
      </w:r>
      <w:r w:rsidRPr="00F20E3E">
        <w:rPr>
          <w:i/>
        </w:rPr>
        <w:t>See, e.g.,</w:t>
      </w:r>
      <w:r w:rsidRPr="00F20E3E">
        <w:t xml:space="preserve"> Consolidated Appropriations Act, </w:t>
      </w:r>
      <w:r w:rsidR="007E562B" w:rsidRPr="00F20E3E">
        <w:t>202</w:t>
      </w:r>
      <w:r w:rsidR="007E562B">
        <w:t>4</w:t>
      </w:r>
      <w:r w:rsidRPr="00F20E3E">
        <w:t>, Pub. L. No. 11</w:t>
      </w:r>
      <w:r w:rsidR="007E562B">
        <w:t>8-42</w:t>
      </w:r>
      <w:r w:rsidRPr="00F20E3E">
        <w:t xml:space="preserve">, div. </w:t>
      </w:r>
      <w:r w:rsidR="007E562B">
        <w:t>C</w:t>
      </w:r>
      <w:r w:rsidRPr="00F20E3E">
        <w:t xml:space="preserve">, tit. V, § 524, </w:t>
      </w:r>
      <w:r w:rsidR="007E562B" w:rsidRPr="00F20E3E">
        <w:t>13</w:t>
      </w:r>
      <w:r w:rsidR="007E562B">
        <w:t>8</w:t>
      </w:r>
      <w:r w:rsidR="007E562B" w:rsidRPr="00F20E3E">
        <w:t xml:space="preserve"> </w:t>
      </w:r>
      <w:r w:rsidRPr="00F20E3E">
        <w:t xml:space="preserve">Stat. </w:t>
      </w:r>
      <w:r w:rsidR="007E562B">
        <w:t>25</w:t>
      </w:r>
      <w:r w:rsidRPr="00F20E3E">
        <w:t>, (</w:t>
      </w:r>
      <w:r w:rsidR="007E562B">
        <w:t>Mar</w:t>
      </w:r>
      <w:r w:rsidRPr="00F20E3E">
        <w:t xml:space="preserve">. 9, </w:t>
      </w:r>
      <w:r w:rsidR="007E562B" w:rsidRPr="00F20E3E">
        <w:t>202</w:t>
      </w:r>
      <w:r w:rsidR="007E562B">
        <w:t>4</w:t>
      </w:r>
      <w:r w:rsidRPr="00F20E3E">
        <w:t xml:space="preserve">). M-16-18 requires the listed information to be reported in the Other Information section of the applicable entities’ annual </w:t>
      </w:r>
      <w:r w:rsidR="00BC0386">
        <w:t>a</w:t>
      </w:r>
      <w:r w:rsidR="00BC0386" w:rsidRPr="00F20E3E">
        <w:t xml:space="preserve">gency </w:t>
      </w:r>
      <w:r w:rsidR="00BC0386">
        <w:t>f</w:t>
      </w:r>
      <w:r w:rsidR="00BC0386" w:rsidRPr="00F20E3E">
        <w:t xml:space="preserve">inancial </w:t>
      </w:r>
      <w:r w:rsidR="00BC0386">
        <w:t>r</w:t>
      </w:r>
      <w:r w:rsidR="00BC0386" w:rsidRPr="00F20E3E">
        <w:t xml:space="preserve">eports </w:t>
      </w:r>
      <w:r w:rsidRPr="00F20E3E">
        <w:t xml:space="preserve">or </w:t>
      </w:r>
      <w:r w:rsidR="00BC0386">
        <w:t>p</w:t>
      </w:r>
      <w:r w:rsidR="00BC0386" w:rsidRPr="00F20E3E">
        <w:t xml:space="preserve">erformance </w:t>
      </w:r>
      <w:r w:rsidRPr="00F20E3E">
        <w:t xml:space="preserve">and </w:t>
      </w:r>
      <w:r w:rsidR="00BC0386">
        <w:t>a</w:t>
      </w:r>
      <w:r w:rsidR="00BC0386" w:rsidRPr="00F20E3E">
        <w:t xml:space="preserve">ccountability </w:t>
      </w:r>
      <w:r w:rsidR="00BC0386">
        <w:t>r</w:t>
      </w:r>
      <w:r w:rsidR="00BC0386" w:rsidRPr="00F20E3E">
        <w:t>eports</w:t>
      </w:r>
      <w:r w:rsidRPr="00F20E3E">
        <w:t>.</w:t>
      </w:r>
      <w:r>
        <w:t xml:space="preserve"> </w:t>
      </w:r>
    </w:p>
  </w:footnote>
  <w:footnote w:id="289">
    <w:p w14:paraId="1B8217F1" w14:textId="738DD07E" w:rsidR="00AB3FC6" w:rsidRDefault="00AB3FC6" w:rsidP="00E96346">
      <w:pPr>
        <w:pStyle w:val="FootnoteText"/>
      </w:pPr>
      <w:r>
        <w:rPr>
          <w:rStyle w:val="FootnoteReference"/>
        </w:rPr>
        <w:footnoteRef/>
      </w:r>
      <w:r>
        <w:t xml:space="preserve">SFFAS 24 is not covered because this checklist has been developed for use at the federal entity reporting level and is not intended for use in the </w:t>
      </w:r>
      <w:r w:rsidR="00D60049">
        <w:t xml:space="preserve">Consolidated Financial Report (CFR) </w:t>
      </w:r>
      <w:r>
        <w:t>of the U.S. government.</w:t>
      </w:r>
    </w:p>
  </w:footnote>
  <w:footnote w:id="290">
    <w:p w14:paraId="68DD49B2" w14:textId="74F331F2" w:rsidR="00AB3FC6" w:rsidRDefault="00AB3FC6" w:rsidP="00E96346">
      <w:pPr>
        <w:pStyle w:val="FootnoteText"/>
      </w:pPr>
      <w:r>
        <w:rPr>
          <w:rStyle w:val="FootnoteReference"/>
        </w:rPr>
        <w:footnoteRef/>
      </w:r>
      <w:r>
        <w:t>SFFAS 32 is not covered because this checklist has been developed for use at the federal entity reporting level and is not intended for use in the CFR of the U.S. government.</w:t>
      </w:r>
    </w:p>
  </w:footnote>
  <w:footnote w:id="291">
    <w:p w14:paraId="0C612701" w14:textId="4A5081E8" w:rsidR="00AB3FC6" w:rsidRDefault="00AB3FC6" w:rsidP="00E96346">
      <w:pPr>
        <w:pStyle w:val="FootnoteText"/>
      </w:pPr>
      <w:r>
        <w:rPr>
          <w:rStyle w:val="FootnoteReference"/>
        </w:rPr>
        <w:footnoteRef/>
      </w:r>
      <w:r>
        <w:t>SFFAS 36 is not covered because this checklist has been developed for use at the federal-entity reporting level and is not intended for use in the CFR of the U.S. government.</w:t>
      </w:r>
    </w:p>
  </w:footnote>
  <w:footnote w:id="292">
    <w:p w14:paraId="06221614" w14:textId="3939395D" w:rsidR="00AB3FC6" w:rsidRDefault="00AB3FC6" w:rsidP="00E96346">
      <w:pPr>
        <w:pStyle w:val="FootnoteText"/>
      </w:pPr>
      <w:r>
        <w:rPr>
          <w:rStyle w:val="FootnoteReference"/>
        </w:rPr>
        <w:footnoteRef/>
      </w:r>
      <w:r>
        <w:t>SFFAS 52 is not covered because this checklist has been developed for use at the federal entity reporting level and is not intended for use in the CFR of the U.S. government.</w:t>
      </w:r>
    </w:p>
  </w:footnote>
  <w:footnote w:id="293">
    <w:p w14:paraId="10645A70" w14:textId="322B8201" w:rsidR="00AB3FC6" w:rsidRDefault="00AB3FC6" w:rsidP="00E96346">
      <w:pPr>
        <w:pStyle w:val="FootnoteText"/>
      </w:pPr>
      <w:r>
        <w:rPr>
          <w:rStyle w:val="FootnoteReference"/>
        </w:rPr>
        <w:footnoteRef/>
      </w:r>
      <w:r>
        <w:t>Certain requirements of SFFAS 59 became effective for</w:t>
      </w:r>
      <w:r w:rsidRPr="0049656C">
        <w:t xml:space="preserve"> </w:t>
      </w:r>
      <w:r>
        <w:t xml:space="preserve">reporting periods beginning after September 30, 2021. Early adoption is not permitted for </w:t>
      </w:r>
      <w:r w:rsidRPr="0049656C">
        <w:t>certain requirements effective for periods beginning after September 30, 2025.</w:t>
      </w:r>
    </w:p>
  </w:footnote>
  <w:footnote w:id="294">
    <w:p w14:paraId="3B7302A2" w14:textId="1EC27F4A" w:rsidR="00791E1B" w:rsidRDefault="00791E1B" w:rsidP="00791E1B">
      <w:pPr>
        <w:pStyle w:val="FootnoteText"/>
      </w:pPr>
      <w:r>
        <w:rPr>
          <w:rStyle w:val="FootnoteReference"/>
        </w:rPr>
        <w:footnoteRef/>
      </w:r>
      <w:r>
        <w:t>Effective for reporting periods beginning after</w:t>
      </w:r>
      <w:r w:rsidRPr="00791E1B">
        <w:t xml:space="preserve"> </w:t>
      </w:r>
      <w:r>
        <w:t>September 30, 2025. Early implementation is permitted.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74C2" w14:textId="6935F148" w:rsidR="00AB3FC6" w:rsidRPr="0011333B" w:rsidRDefault="00AB3FC6" w:rsidP="00A96FC8">
    <w:pPr>
      <w:pStyle w:val="Header"/>
      <w:pBdr>
        <w:bottom w:val="single" w:sz="18" w:space="0" w:color="auto"/>
      </w:pBdr>
      <w:rPr>
        <w:rFonts w:ascii="Arial" w:hAnsi="Arial" w:cs="Arial"/>
      </w:rPr>
    </w:pPr>
    <w:r w:rsidRPr="0011333B">
      <w:rPr>
        <w:rFonts w:ascii="Arial" w:hAnsi="Arial" w:cs="Arial"/>
      </w:rPr>
      <w:tab/>
      <w:t xml:space="preserve">  </w:t>
    </w:r>
    <w:r w:rsidRPr="0011333B">
      <w:rPr>
        <w:rFonts w:ascii="Arial" w:hAnsi="Arial" w:cs="Arial"/>
      </w:rPr>
      <w:tab/>
    </w:r>
  </w:p>
  <w:p w14:paraId="05F9FC3D" w14:textId="77777777" w:rsidR="00AB3FC6" w:rsidRPr="0011333B" w:rsidRDefault="00AB3FC6" w:rsidP="00A96FC8">
    <w:pPr>
      <w:pStyle w:val="Header"/>
      <w:pBdr>
        <w:bottom w:val="single" w:sz="18" w:space="0" w:color="auto"/>
      </w:pBdr>
      <w:rPr>
        <w:rFonts w:ascii="Arial" w:hAnsi="Arial" w:cs="Arial"/>
      </w:rPr>
    </w:pPr>
  </w:p>
  <w:p w14:paraId="624E67C1" w14:textId="57C68C6C" w:rsidR="00AB3FC6" w:rsidRPr="0011333B" w:rsidRDefault="00AB3FC6" w:rsidP="00A96FC8">
    <w:pPr>
      <w:pStyle w:val="Header"/>
      <w:pBdr>
        <w:bottom w:val="single" w:sz="18" w:space="0" w:color="auto"/>
      </w:pBdr>
      <w:rPr>
        <w:rFonts w:ascii="Arial" w:hAnsi="Arial" w:cs="Arial"/>
      </w:rPr>
    </w:pPr>
    <w:r>
      <w:rPr>
        <w:rFonts w:ascii="Arial" w:hAnsi="Arial" w:cs="Arial"/>
      </w:rPr>
      <w:t>2010 – F</w:t>
    </w:r>
    <w:r w:rsidRPr="0011333B">
      <w:rPr>
        <w:rFonts w:ascii="Arial" w:hAnsi="Arial" w:cs="Arial"/>
      </w:rPr>
      <w:t xml:space="preserve">ederal Financial Reporting </w:t>
    </w:r>
    <w:r>
      <w:rPr>
        <w:rFonts w:ascii="Arial" w:hAnsi="Arial" w:cs="Arial"/>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8111" w14:textId="68309923" w:rsidR="00AB3FC6" w:rsidRPr="0011333B" w:rsidRDefault="00AB3FC6" w:rsidP="00A96FC8">
    <w:pPr>
      <w:pStyle w:val="Header"/>
      <w:pBdr>
        <w:top w:val="single" w:sz="18" w:space="0" w:color="auto"/>
        <w:bottom w:val="single" w:sz="18" w:space="0" w:color="auto"/>
      </w:pBdr>
      <w:spacing w:line="280" w:lineRule="atLeast"/>
      <w:rPr>
        <w:rFonts w:ascii="Arial" w:hAnsi="Arial" w:cs="Arial"/>
      </w:rPr>
    </w:pPr>
  </w:p>
  <w:p w14:paraId="1ADC46EA" w14:textId="5853FB33" w:rsidR="00AB3FC6" w:rsidRPr="0011333B" w:rsidRDefault="00AB3FC6" w:rsidP="00A96FC8">
    <w:pPr>
      <w:pStyle w:val="Header"/>
      <w:pBdr>
        <w:top w:val="single" w:sz="18" w:space="0" w:color="auto"/>
        <w:bottom w:val="single" w:sz="18" w:space="0" w:color="auto"/>
      </w:pBdr>
      <w:spacing w:line="280" w:lineRule="exact"/>
      <w:rPr>
        <w:rFonts w:ascii="Arial" w:hAnsi="Arial" w:cs="Arial"/>
      </w:rPr>
    </w:pPr>
    <w:r>
      <w:rPr>
        <w:rFonts w:ascii="Arial" w:hAnsi="Arial" w:cs="Arial"/>
      </w:rPr>
      <w:t>2010 – F</w:t>
    </w:r>
    <w:r w:rsidRPr="0011333B">
      <w:rPr>
        <w:rFonts w:ascii="Arial" w:hAnsi="Arial" w:cs="Arial"/>
      </w:rPr>
      <w:t xml:space="preserve">ederal </w:t>
    </w:r>
    <w:r>
      <w:rPr>
        <w:rFonts w:ascii="Arial" w:hAnsi="Arial" w:cs="Arial"/>
      </w:rPr>
      <w:t>Financial Reporting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A155" w14:textId="3BC64157" w:rsidR="00AB3FC6" w:rsidRPr="005B3AEF" w:rsidRDefault="00AB3FC6" w:rsidP="00424CCA">
    <w:pPr>
      <w:pStyle w:val="Header"/>
      <w:pBdr>
        <w:top w:val="single" w:sz="18" w:space="1" w:color="auto"/>
        <w:bottom w:val="single" w:sz="18" w:space="1" w:color="auto"/>
      </w:pBdr>
      <w:rPr>
        <w:rFonts w:ascii="Arial" w:hAnsi="Arial" w:cs="Arial"/>
        <w:b/>
      </w:rPr>
    </w:pPr>
    <w:r w:rsidRPr="005B3AEF">
      <w:rPr>
        <w:rFonts w:ascii="Arial" w:hAnsi="Arial" w:cs="Arial"/>
        <w:b/>
      </w:rPr>
      <w:tab/>
    </w:r>
  </w:p>
  <w:p w14:paraId="08A1F53A" w14:textId="77777777" w:rsidR="00AB3FC6" w:rsidRPr="005B3AEF" w:rsidRDefault="00AB3FC6" w:rsidP="00424CCA">
    <w:pPr>
      <w:pStyle w:val="Header"/>
      <w:pBdr>
        <w:top w:val="single" w:sz="18" w:space="1" w:color="auto"/>
        <w:bottom w:val="single" w:sz="18" w:space="1" w:color="auto"/>
      </w:pBdr>
      <w:rPr>
        <w:rFonts w:ascii="Arial" w:hAnsi="Arial" w:cs="Arial"/>
        <w:b/>
      </w:rPr>
    </w:pPr>
  </w:p>
  <w:p w14:paraId="48496027" w14:textId="46A6FEA0" w:rsidR="00AB3FC6" w:rsidRPr="005B3AEF" w:rsidRDefault="00AB3FC6" w:rsidP="009F3048">
    <w:pPr>
      <w:pStyle w:val="Header"/>
      <w:pBdr>
        <w:top w:val="single" w:sz="18" w:space="1" w:color="auto"/>
        <w:bottom w:val="single" w:sz="18" w:space="1" w:color="auto"/>
      </w:pBdr>
      <w:spacing w:after="120"/>
      <w:rPr>
        <w:rFonts w:ascii="Arial" w:hAnsi="Arial" w:cs="Arial"/>
        <w:b/>
      </w:rPr>
    </w:pPr>
    <w:r>
      <w:rPr>
        <w:rFonts w:ascii="Arial" w:hAnsi="Arial" w:cs="Arial"/>
        <w:b/>
      </w:rPr>
      <w:t>2010 – Fe</w:t>
    </w:r>
    <w:r w:rsidRPr="005B3AEF">
      <w:rPr>
        <w:rFonts w:ascii="Arial" w:hAnsi="Arial" w:cs="Arial"/>
        <w:b/>
      </w:rPr>
      <w:t xml:space="preserve">deral Financial Reporting </w:t>
    </w:r>
    <w:r>
      <w:rPr>
        <w:rFonts w:ascii="Arial" w:hAnsi="Arial" w:cs="Arial"/>
        <w:b/>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D8CEE680"/>
    <w:lvl w:ilvl="0">
      <w:start w:val="1"/>
      <w:numFmt w:val="bullet"/>
      <w:pStyle w:val="ListBullet4"/>
      <w:lvlText w:val=""/>
      <w:lvlJc w:val="left"/>
      <w:pPr>
        <w:tabs>
          <w:tab w:val="num" w:pos="1830"/>
        </w:tabs>
        <w:ind w:left="1830" w:hanging="360"/>
      </w:pPr>
      <w:rPr>
        <w:rFonts w:ascii="Symbol" w:hAnsi="Symbol" w:hint="default"/>
      </w:rPr>
    </w:lvl>
  </w:abstractNum>
  <w:abstractNum w:abstractNumId="1" w15:restartNumberingAfterBreak="0">
    <w:nsid w:val="FFFFFF89"/>
    <w:multiLevelType w:val="singleLevel"/>
    <w:tmpl w:val="86B078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8164A"/>
    <w:multiLevelType w:val="hybridMultilevel"/>
    <w:tmpl w:val="8104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C2AF4"/>
    <w:multiLevelType w:val="hybridMultilevel"/>
    <w:tmpl w:val="6A12D114"/>
    <w:lvl w:ilvl="0" w:tplc="BFB8812E">
      <w:start w:val="1"/>
      <w:numFmt w:val="decimalZero"/>
      <w:pStyle w:val="FAM-Subsectio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5134CD"/>
    <w:multiLevelType w:val="hybridMultilevel"/>
    <w:tmpl w:val="D27A120E"/>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7C0209"/>
    <w:multiLevelType w:val="hybridMultilevel"/>
    <w:tmpl w:val="23CCBBC6"/>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068C5BDB"/>
    <w:multiLevelType w:val="hybridMultilevel"/>
    <w:tmpl w:val="0820ECAA"/>
    <w:lvl w:ilvl="0" w:tplc="04090017">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075E4DE3"/>
    <w:multiLevelType w:val="hybridMultilevel"/>
    <w:tmpl w:val="0B285B4C"/>
    <w:lvl w:ilvl="0" w:tplc="971462F0">
      <w:start w:val="1"/>
      <w:numFmt w:val="bullet"/>
      <w:pStyle w:val="FAM-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A80ADA"/>
    <w:multiLevelType w:val="hybridMultilevel"/>
    <w:tmpl w:val="1C8EEEE2"/>
    <w:lvl w:ilvl="0" w:tplc="04090017">
      <w:start w:val="1"/>
      <w:numFmt w:val="lowerLetter"/>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15:restartNumberingAfterBreak="0">
    <w:nsid w:val="0AB02F87"/>
    <w:multiLevelType w:val="hybridMultilevel"/>
    <w:tmpl w:val="2884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470BA"/>
    <w:multiLevelType w:val="hybridMultilevel"/>
    <w:tmpl w:val="4E6E416C"/>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138176E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7D2EA6"/>
    <w:multiLevelType w:val="hybridMultilevel"/>
    <w:tmpl w:val="CA52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A4F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DF1773"/>
    <w:multiLevelType w:val="hybridMultilevel"/>
    <w:tmpl w:val="FD508C8C"/>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17827CB0"/>
    <w:multiLevelType w:val="hybridMultilevel"/>
    <w:tmpl w:val="DE363E0E"/>
    <w:lvl w:ilvl="0" w:tplc="BD0CE73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E608C"/>
    <w:multiLevelType w:val="hybridMultilevel"/>
    <w:tmpl w:val="435EB86C"/>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EEA3685"/>
    <w:multiLevelType w:val="hybridMultilevel"/>
    <w:tmpl w:val="A808BEA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B006D"/>
    <w:multiLevelType w:val="hybridMultilevel"/>
    <w:tmpl w:val="A96ADCC0"/>
    <w:lvl w:ilvl="0" w:tplc="6C5A554E">
      <w:start w:val="1"/>
      <w:numFmt w:val="decimal"/>
      <w:lvlText w:val="%1)"/>
      <w:lvlJc w:val="left"/>
      <w:pPr>
        <w:ind w:left="360" w:hanging="360"/>
      </w:pPr>
      <w:rPr>
        <w:b w:val="0"/>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1FB934A1"/>
    <w:multiLevelType w:val="hybridMultilevel"/>
    <w:tmpl w:val="9C829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E1E0F"/>
    <w:multiLevelType w:val="multilevel"/>
    <w:tmpl w:val="48C8952A"/>
    <w:lvl w:ilvl="0">
      <w:start w:val="1"/>
      <w:numFmt w:val="decimal"/>
      <w:pStyle w:val="FAM-out-1"/>
      <w:lvlText w:val="%1)"/>
      <w:lvlJc w:val="left"/>
      <w:pPr>
        <w:tabs>
          <w:tab w:val="num" w:pos="1800"/>
        </w:tabs>
        <w:ind w:left="1800" w:hanging="360"/>
      </w:pPr>
      <w:rPr>
        <w:rFonts w:hint="default"/>
      </w:rPr>
    </w:lvl>
    <w:lvl w:ilvl="1">
      <w:start w:val="1"/>
      <w:numFmt w:val="lowerLetter"/>
      <w:pStyle w:val="FAM-out-2"/>
      <w:lvlText w:val="%2)"/>
      <w:lvlJc w:val="left"/>
      <w:pPr>
        <w:tabs>
          <w:tab w:val="num" w:pos="2160"/>
        </w:tabs>
        <w:ind w:left="2160" w:hanging="360"/>
      </w:pPr>
      <w:rPr>
        <w:rFonts w:hint="default"/>
      </w:rPr>
    </w:lvl>
    <w:lvl w:ilvl="2">
      <w:start w:val="1"/>
      <w:numFmt w:val="lowerRoman"/>
      <w:pStyle w:val="FAM-out-3"/>
      <w:lvlText w:val="%3)"/>
      <w:lvlJc w:val="left"/>
      <w:pPr>
        <w:tabs>
          <w:tab w:val="num" w:pos="2520"/>
        </w:tabs>
        <w:ind w:left="2520" w:hanging="360"/>
      </w:pPr>
      <w:rPr>
        <w:rFonts w:hint="default"/>
      </w:rPr>
    </w:lvl>
    <w:lvl w:ilvl="3">
      <w:start w:val="1"/>
      <w:numFmt w:val="decimal"/>
      <w:pStyle w:val="FAM-out-4"/>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4976A94"/>
    <w:multiLevelType w:val="multilevel"/>
    <w:tmpl w:val="D646B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26E430A7"/>
    <w:multiLevelType w:val="hybridMultilevel"/>
    <w:tmpl w:val="1D6E8FFC"/>
    <w:lvl w:ilvl="0" w:tplc="4BB86A2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62203F"/>
    <w:multiLevelType w:val="hybridMultilevel"/>
    <w:tmpl w:val="B78C1146"/>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29B550B8"/>
    <w:multiLevelType w:val="hybridMultilevel"/>
    <w:tmpl w:val="8DF21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930A43"/>
    <w:multiLevelType w:val="hybridMultilevel"/>
    <w:tmpl w:val="72FA5A30"/>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2EC162ED"/>
    <w:multiLevelType w:val="hybridMultilevel"/>
    <w:tmpl w:val="B8E4BB92"/>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339D3E61"/>
    <w:multiLevelType w:val="hybridMultilevel"/>
    <w:tmpl w:val="471A3B70"/>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8" w15:restartNumberingAfterBreak="0">
    <w:nsid w:val="38095DB0"/>
    <w:multiLevelType w:val="hybridMultilevel"/>
    <w:tmpl w:val="C71271F6"/>
    <w:lvl w:ilvl="0" w:tplc="6BA05DFE">
      <w:start w:val="1"/>
      <w:numFmt w:val="bullet"/>
      <w:pStyle w:val="FAM-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94857"/>
    <w:multiLevelType w:val="hybridMultilevel"/>
    <w:tmpl w:val="AC6899E2"/>
    <w:lvl w:ilvl="0" w:tplc="04090011">
      <w:start w:val="1"/>
      <w:numFmt w:val="decimal"/>
      <w:lvlText w:val="%1)"/>
      <w:lvlJc w:val="left"/>
      <w:pPr>
        <w:ind w:left="360" w:hanging="360"/>
      </w:pPr>
      <w:rPr>
        <w:sz w:val="22"/>
        <w:szCs w:val="22"/>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D7616C"/>
    <w:multiLevelType w:val="hybridMultilevel"/>
    <w:tmpl w:val="9314F55E"/>
    <w:lvl w:ilvl="0" w:tplc="BCCECA4E">
      <w:start w:val="1"/>
      <w:numFmt w:val="lowerRoman"/>
      <w:lvlText w:val="%1)"/>
      <w:lvlJc w:val="righ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3C3E5D95"/>
    <w:multiLevelType w:val="hybridMultilevel"/>
    <w:tmpl w:val="B5CA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93CBB"/>
    <w:multiLevelType w:val="hybridMultilevel"/>
    <w:tmpl w:val="CB24C574"/>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15:restartNumberingAfterBreak="0">
    <w:nsid w:val="3DD8355C"/>
    <w:multiLevelType w:val="hybridMultilevel"/>
    <w:tmpl w:val="3B406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EE34FDD"/>
    <w:multiLevelType w:val="hybridMultilevel"/>
    <w:tmpl w:val="DFF8C348"/>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42C23FBC"/>
    <w:multiLevelType w:val="hybridMultilevel"/>
    <w:tmpl w:val="5F6ADED6"/>
    <w:lvl w:ilvl="0" w:tplc="5A24AE70">
      <w:start w:val="1"/>
      <w:numFmt w:val="bullet"/>
      <w:pStyle w:val="FAM-Bullet-2"/>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0550EE"/>
    <w:multiLevelType w:val="hybridMultilevel"/>
    <w:tmpl w:val="0F385C22"/>
    <w:lvl w:ilvl="0" w:tplc="04090017">
      <w:start w:val="1"/>
      <w:numFmt w:val="bullet"/>
      <w:pStyle w:val="ListBullet"/>
      <w:lvlText w:val=""/>
      <w:lvlJc w:val="left"/>
      <w:pPr>
        <w:tabs>
          <w:tab w:val="num" w:pos="340"/>
        </w:tabs>
        <w:ind w:left="340" w:hanging="340"/>
      </w:pPr>
      <w:rPr>
        <w:rFonts w:ascii="Symbol" w:hAnsi="Symbol" w:hint="default"/>
        <w:sz w:val="22"/>
        <w:szCs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D46E90"/>
    <w:multiLevelType w:val="hybridMultilevel"/>
    <w:tmpl w:val="D1E26454"/>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45767708"/>
    <w:multiLevelType w:val="multilevel"/>
    <w:tmpl w:val="809A2962"/>
    <w:lvl w:ilvl="0">
      <w:start w:val="1"/>
      <w:numFmt w:val="decimal"/>
      <w:lvlText w:val="%1)"/>
      <w:lvlJc w:val="left"/>
      <w:pPr>
        <w:tabs>
          <w:tab w:val="num" w:pos="1242"/>
        </w:tabs>
        <w:ind w:left="1242" w:hanging="576"/>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556" w:hanging="360"/>
      </w:pPr>
    </w:lvl>
    <w:lvl w:ilvl="2">
      <w:start w:val="1"/>
      <w:numFmt w:val="lowerRoman"/>
      <w:lvlText w:val="%3)"/>
      <w:lvlJc w:val="left"/>
      <w:pPr>
        <w:tabs>
          <w:tab w:val="num" w:pos="2394"/>
        </w:tabs>
        <w:ind w:left="2394" w:hanging="576"/>
      </w:pPr>
      <w:rPr>
        <w:rFonts w:hint="default"/>
        <w:b w:val="0"/>
        <w:sz w:val="22"/>
        <w:szCs w:val="22"/>
      </w:rPr>
    </w:lvl>
    <w:lvl w:ilvl="3">
      <w:start w:val="1"/>
      <w:numFmt w:val="decimal"/>
      <w:lvlText w:val="(%4)"/>
      <w:lvlJc w:val="left"/>
      <w:pPr>
        <w:tabs>
          <w:tab w:val="num" w:pos="2826"/>
        </w:tabs>
        <w:ind w:left="2826" w:hanging="432"/>
      </w:pPr>
      <w:rPr>
        <w:rFonts w:hint="default"/>
      </w:rPr>
    </w:lvl>
    <w:lvl w:ilvl="4">
      <w:start w:val="1"/>
      <w:numFmt w:val="lowerLetter"/>
      <w:lvlText w:val="(%5)"/>
      <w:lvlJc w:val="left"/>
      <w:pPr>
        <w:tabs>
          <w:tab w:val="num" w:pos="2826"/>
        </w:tabs>
        <w:ind w:left="2826" w:hanging="432"/>
      </w:pPr>
      <w:rPr>
        <w:rFonts w:hint="default"/>
      </w:rPr>
    </w:lvl>
    <w:lvl w:ilvl="5">
      <w:start w:val="1"/>
      <w:numFmt w:val="lowerRoman"/>
      <w:lvlText w:val="(%6)"/>
      <w:lvlJc w:val="left"/>
      <w:pPr>
        <w:tabs>
          <w:tab w:val="num" w:pos="2826"/>
        </w:tabs>
        <w:ind w:left="2826" w:hanging="360"/>
      </w:pPr>
      <w:rPr>
        <w:rFonts w:hint="default"/>
      </w:rPr>
    </w:lvl>
    <w:lvl w:ilvl="6">
      <w:start w:val="1"/>
      <w:numFmt w:val="decimal"/>
      <w:lvlText w:val="%7."/>
      <w:lvlJc w:val="left"/>
      <w:pPr>
        <w:tabs>
          <w:tab w:val="num" w:pos="3186"/>
        </w:tabs>
        <w:ind w:left="3186" w:hanging="360"/>
      </w:pPr>
      <w:rPr>
        <w:rFonts w:hint="default"/>
      </w:rPr>
    </w:lvl>
    <w:lvl w:ilvl="7">
      <w:start w:val="1"/>
      <w:numFmt w:val="lowerLetter"/>
      <w:lvlText w:val="%8."/>
      <w:lvlJc w:val="left"/>
      <w:pPr>
        <w:tabs>
          <w:tab w:val="num" w:pos="3546"/>
        </w:tabs>
        <w:ind w:left="3546" w:hanging="360"/>
      </w:pPr>
      <w:rPr>
        <w:rFonts w:hint="default"/>
      </w:rPr>
    </w:lvl>
    <w:lvl w:ilvl="8">
      <w:start w:val="1"/>
      <w:numFmt w:val="lowerRoman"/>
      <w:lvlText w:val="%9."/>
      <w:lvlJc w:val="left"/>
      <w:pPr>
        <w:tabs>
          <w:tab w:val="num" w:pos="3906"/>
        </w:tabs>
        <w:ind w:left="3906" w:hanging="360"/>
      </w:pPr>
      <w:rPr>
        <w:rFonts w:hint="default"/>
      </w:rPr>
    </w:lvl>
  </w:abstractNum>
  <w:abstractNum w:abstractNumId="39" w15:restartNumberingAfterBreak="0">
    <w:nsid w:val="45A75C46"/>
    <w:multiLevelType w:val="hybridMultilevel"/>
    <w:tmpl w:val="26F4CD64"/>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0" w15:restartNumberingAfterBreak="0">
    <w:nsid w:val="45B16611"/>
    <w:multiLevelType w:val="hybridMultilevel"/>
    <w:tmpl w:val="D6D08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8453F60"/>
    <w:multiLevelType w:val="hybridMultilevel"/>
    <w:tmpl w:val="DE9A7836"/>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15:restartNumberingAfterBreak="0">
    <w:nsid w:val="4A0C6378"/>
    <w:multiLevelType w:val="hybridMultilevel"/>
    <w:tmpl w:val="9040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454D80"/>
    <w:multiLevelType w:val="multilevel"/>
    <w:tmpl w:val="AC141E0A"/>
    <w:lvl w:ilvl="0">
      <w:start w:val="1"/>
      <w:numFmt w:val="decimal"/>
      <w:pStyle w:val="FAM-Table-outline"/>
      <w:lvlText w:val="%1)"/>
      <w:lvlJc w:val="left"/>
      <w:pPr>
        <w:tabs>
          <w:tab w:val="num" w:pos="666"/>
        </w:tabs>
        <w:ind w:left="666" w:hanging="576"/>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FAM-Table-outline2"/>
      <w:lvlText w:val="%2)"/>
      <w:lvlJc w:val="left"/>
      <w:pPr>
        <w:tabs>
          <w:tab w:val="num" w:pos="2196"/>
        </w:tabs>
        <w:ind w:left="219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FAM-Table-outline3"/>
      <w:lvlText w:val="%3)"/>
      <w:lvlJc w:val="left"/>
      <w:pPr>
        <w:tabs>
          <w:tab w:val="num" w:pos="1818"/>
        </w:tabs>
        <w:ind w:left="1818" w:hanging="576"/>
      </w:pPr>
      <w:rPr>
        <w:rFonts w:hint="default"/>
        <w:b w:val="0"/>
        <w:sz w:val="22"/>
        <w:szCs w:val="22"/>
      </w:rPr>
    </w:lvl>
    <w:lvl w:ilvl="3">
      <w:start w:val="1"/>
      <w:numFmt w:val="decimal"/>
      <w:pStyle w:val="FAM-Table-outline4"/>
      <w:lvlText w:val="(%4)"/>
      <w:lvlJc w:val="left"/>
      <w:pPr>
        <w:tabs>
          <w:tab w:val="num" w:pos="2250"/>
        </w:tabs>
        <w:ind w:left="2250" w:hanging="432"/>
      </w:pPr>
      <w:rPr>
        <w:rFonts w:hint="default"/>
      </w:rPr>
    </w:lvl>
    <w:lvl w:ilvl="4">
      <w:start w:val="1"/>
      <w:numFmt w:val="lowerLetter"/>
      <w:pStyle w:val="FAM-Table-outline5"/>
      <w:lvlText w:val="(%5)"/>
      <w:lvlJc w:val="left"/>
      <w:pPr>
        <w:tabs>
          <w:tab w:val="num" w:pos="2250"/>
        </w:tabs>
        <w:ind w:left="2250" w:hanging="432"/>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44" w15:restartNumberingAfterBreak="0">
    <w:nsid w:val="500F0DF3"/>
    <w:multiLevelType w:val="hybridMultilevel"/>
    <w:tmpl w:val="9534619A"/>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15:restartNumberingAfterBreak="0">
    <w:nsid w:val="51777D86"/>
    <w:multiLevelType w:val="hybridMultilevel"/>
    <w:tmpl w:val="C162715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6" w15:restartNumberingAfterBreak="0">
    <w:nsid w:val="526A62D1"/>
    <w:multiLevelType w:val="hybridMultilevel"/>
    <w:tmpl w:val="627E0D50"/>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15:restartNumberingAfterBreak="0">
    <w:nsid w:val="52985068"/>
    <w:multiLevelType w:val="multilevel"/>
    <w:tmpl w:val="CCB28884"/>
    <w:lvl w:ilvl="0">
      <w:start w:val="1"/>
      <w:numFmt w:val="decimal"/>
      <w:lvlText w:val="%1)"/>
      <w:lvlJc w:val="left"/>
      <w:pPr>
        <w:tabs>
          <w:tab w:val="num" w:pos="666"/>
        </w:tabs>
        <w:ind w:left="666" w:hanging="576"/>
      </w:pPr>
      <w:rPr>
        <w:rFonts w:ascii="Arial" w:eastAsia="Times New Roman" w:hAnsi="Arial"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96"/>
        </w:tabs>
        <w:ind w:left="219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818"/>
        </w:tabs>
        <w:ind w:left="1818" w:hanging="576"/>
      </w:pPr>
      <w:rPr>
        <w:rFonts w:hint="default"/>
        <w:b w:val="0"/>
        <w:sz w:val="22"/>
        <w:szCs w:val="22"/>
      </w:rPr>
    </w:lvl>
    <w:lvl w:ilvl="3">
      <w:start w:val="1"/>
      <w:numFmt w:val="decimal"/>
      <w:lvlText w:val="(%4)"/>
      <w:lvlJc w:val="left"/>
      <w:pPr>
        <w:tabs>
          <w:tab w:val="num" w:pos="2250"/>
        </w:tabs>
        <w:ind w:left="2250" w:hanging="432"/>
      </w:pPr>
      <w:rPr>
        <w:rFonts w:hint="default"/>
      </w:rPr>
    </w:lvl>
    <w:lvl w:ilvl="4">
      <w:start w:val="1"/>
      <w:numFmt w:val="lowerLetter"/>
      <w:lvlText w:val="(%5)"/>
      <w:lvlJc w:val="left"/>
      <w:pPr>
        <w:tabs>
          <w:tab w:val="num" w:pos="2250"/>
        </w:tabs>
        <w:ind w:left="2250" w:hanging="432"/>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48" w15:restartNumberingAfterBreak="0">
    <w:nsid w:val="53C91C18"/>
    <w:multiLevelType w:val="hybridMultilevel"/>
    <w:tmpl w:val="BE986B28"/>
    <w:lvl w:ilvl="0" w:tplc="88D8616A">
      <w:start w:val="1"/>
      <w:numFmt w:val="lowerLetter"/>
      <w:lvlText w:val="(%1)"/>
      <w:lvlJc w:val="left"/>
      <w:pPr>
        <w:ind w:left="432" w:firstLine="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9" w15:restartNumberingAfterBreak="0">
    <w:nsid w:val="564E4229"/>
    <w:multiLevelType w:val="hybridMultilevel"/>
    <w:tmpl w:val="05A25822"/>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0" w15:restartNumberingAfterBreak="0">
    <w:nsid w:val="58A5776C"/>
    <w:multiLevelType w:val="hybridMultilevel"/>
    <w:tmpl w:val="6AF6F9D4"/>
    <w:lvl w:ilvl="0" w:tplc="04090017">
      <w:start w:val="1"/>
      <w:numFmt w:val="lowerLetter"/>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1" w15:restartNumberingAfterBreak="0">
    <w:nsid w:val="613D36AE"/>
    <w:multiLevelType w:val="hybridMultilevel"/>
    <w:tmpl w:val="C674E6A4"/>
    <w:lvl w:ilvl="0" w:tplc="04090011">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ED0A5F"/>
    <w:multiLevelType w:val="hybridMultilevel"/>
    <w:tmpl w:val="FD541032"/>
    <w:lvl w:ilvl="0" w:tplc="86B078B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4143001"/>
    <w:multiLevelType w:val="hybridMultilevel"/>
    <w:tmpl w:val="20B4E012"/>
    <w:lvl w:ilvl="0" w:tplc="9D203A18">
      <w:start w:val="1"/>
      <w:numFmt w:val="bullet"/>
      <w:pStyle w:val="FAM-Bullet-4"/>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A5663D"/>
    <w:multiLevelType w:val="multilevel"/>
    <w:tmpl w:val="9DB80674"/>
    <w:lvl w:ilvl="0">
      <w:start w:val="1"/>
      <w:numFmt w:val="decimal"/>
      <w:lvlText w:val="%1)"/>
      <w:lvlJc w:val="left"/>
      <w:pPr>
        <w:tabs>
          <w:tab w:val="num" w:pos="792"/>
        </w:tabs>
        <w:ind w:left="792"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224"/>
        </w:tabs>
        <w:ind w:left="1224"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656"/>
        </w:tabs>
        <w:ind w:left="1656"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088"/>
        </w:tabs>
        <w:ind w:left="2088" w:hanging="432"/>
      </w:pPr>
      <w:rPr>
        <w:rFonts w:hint="default"/>
      </w:rPr>
    </w:lvl>
    <w:lvl w:ilvl="4">
      <w:start w:val="1"/>
      <w:numFmt w:val="lowerLetter"/>
      <w:lvlText w:val="(%5)"/>
      <w:lvlJc w:val="left"/>
      <w:pPr>
        <w:tabs>
          <w:tab w:val="num" w:pos="2808"/>
        </w:tabs>
        <w:ind w:left="2808" w:hanging="576"/>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Text w:val="%9."/>
      <w:lvlJc w:val="left"/>
      <w:pPr>
        <w:tabs>
          <w:tab w:val="num" w:pos="3168"/>
        </w:tabs>
        <w:ind w:left="3168" w:hanging="360"/>
      </w:pPr>
      <w:rPr>
        <w:rFonts w:hint="default"/>
      </w:rPr>
    </w:lvl>
  </w:abstractNum>
  <w:abstractNum w:abstractNumId="55" w15:restartNumberingAfterBreak="0">
    <w:nsid w:val="64E9180D"/>
    <w:multiLevelType w:val="hybridMultilevel"/>
    <w:tmpl w:val="AB56B36C"/>
    <w:lvl w:ilvl="0" w:tplc="26AAB232">
      <w:start w:val="1"/>
      <w:numFmt w:val="lowerLetter"/>
      <w:pStyle w:val="FAM-Table-alpha-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58870D4"/>
    <w:multiLevelType w:val="hybridMultilevel"/>
    <w:tmpl w:val="D27A120E"/>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59B38EB"/>
    <w:multiLevelType w:val="hybridMultilevel"/>
    <w:tmpl w:val="5D669544"/>
    <w:lvl w:ilvl="0" w:tplc="FFFFFFFF">
      <w:start w:val="1"/>
      <w:numFmt w:val="decimal"/>
      <w:lvlText w:val="%1)"/>
      <w:lvlJc w:val="left"/>
      <w:pPr>
        <w:ind w:left="360" w:hanging="360"/>
      </w:pPr>
    </w:lvl>
    <w:lvl w:ilvl="1" w:tplc="0409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60D411D"/>
    <w:multiLevelType w:val="hybridMultilevel"/>
    <w:tmpl w:val="AF2A8D5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9" w15:restartNumberingAfterBreak="0">
    <w:nsid w:val="67835011"/>
    <w:multiLevelType w:val="hybridMultilevel"/>
    <w:tmpl w:val="D2AE1C12"/>
    <w:lvl w:ilvl="0" w:tplc="7CF681C4">
      <w:start w:val="1"/>
      <w:numFmt w:val="decimal"/>
      <w:pStyle w:val="FAM-Num-5"/>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81D7B3E"/>
    <w:multiLevelType w:val="hybridMultilevel"/>
    <w:tmpl w:val="9314F55E"/>
    <w:lvl w:ilvl="0" w:tplc="BCCECA4E">
      <w:start w:val="1"/>
      <w:numFmt w:val="lowerRoman"/>
      <w:lvlText w:val="%1)"/>
      <w:lvlJc w:val="righ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15:restartNumberingAfterBreak="0">
    <w:nsid w:val="6A5A4ABD"/>
    <w:multiLevelType w:val="hybridMultilevel"/>
    <w:tmpl w:val="F642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642384"/>
    <w:multiLevelType w:val="multilevel"/>
    <w:tmpl w:val="0409001D"/>
    <w:lvl w:ilvl="0">
      <w:start w:val="1"/>
      <w:numFmt w:val="decimal"/>
      <w:lvlText w:val="%1)"/>
      <w:lvlJc w:val="left"/>
      <w:pPr>
        <w:ind w:left="852" w:hanging="360"/>
      </w:pPr>
    </w:lvl>
    <w:lvl w:ilvl="1">
      <w:start w:val="1"/>
      <w:numFmt w:val="lowerLetter"/>
      <w:lvlText w:val="%2)"/>
      <w:lvlJc w:val="left"/>
      <w:pPr>
        <w:ind w:left="1212" w:hanging="360"/>
      </w:pPr>
    </w:lvl>
    <w:lvl w:ilvl="2">
      <w:start w:val="1"/>
      <w:numFmt w:val="lowerRoman"/>
      <w:lvlText w:val="%3)"/>
      <w:lvlJc w:val="left"/>
      <w:pPr>
        <w:ind w:left="1572" w:hanging="360"/>
      </w:pPr>
    </w:lvl>
    <w:lvl w:ilvl="3">
      <w:start w:val="1"/>
      <w:numFmt w:val="decimal"/>
      <w:lvlText w:val="(%4)"/>
      <w:lvlJc w:val="left"/>
      <w:pPr>
        <w:ind w:left="1932" w:hanging="360"/>
      </w:pPr>
    </w:lvl>
    <w:lvl w:ilvl="4">
      <w:start w:val="1"/>
      <w:numFmt w:val="lowerLetter"/>
      <w:lvlText w:val="(%5)"/>
      <w:lvlJc w:val="left"/>
      <w:pPr>
        <w:ind w:left="2292" w:hanging="360"/>
      </w:pPr>
    </w:lvl>
    <w:lvl w:ilvl="5">
      <w:start w:val="1"/>
      <w:numFmt w:val="lowerRoman"/>
      <w:lvlText w:val="(%6)"/>
      <w:lvlJc w:val="left"/>
      <w:pPr>
        <w:ind w:left="2652" w:hanging="360"/>
      </w:pPr>
    </w:lvl>
    <w:lvl w:ilvl="6">
      <w:start w:val="1"/>
      <w:numFmt w:val="decimal"/>
      <w:lvlText w:val="%7."/>
      <w:lvlJc w:val="left"/>
      <w:pPr>
        <w:ind w:left="3012" w:hanging="360"/>
      </w:pPr>
    </w:lvl>
    <w:lvl w:ilvl="7">
      <w:start w:val="1"/>
      <w:numFmt w:val="lowerLetter"/>
      <w:lvlText w:val="%8."/>
      <w:lvlJc w:val="left"/>
      <w:pPr>
        <w:ind w:left="3372" w:hanging="360"/>
      </w:pPr>
    </w:lvl>
    <w:lvl w:ilvl="8">
      <w:start w:val="1"/>
      <w:numFmt w:val="lowerRoman"/>
      <w:lvlText w:val="%9."/>
      <w:lvlJc w:val="left"/>
      <w:pPr>
        <w:ind w:left="3732" w:hanging="360"/>
      </w:pPr>
    </w:lvl>
  </w:abstractNum>
  <w:abstractNum w:abstractNumId="63" w15:restartNumberingAfterBreak="0">
    <w:nsid w:val="6BDC3879"/>
    <w:multiLevelType w:val="hybridMultilevel"/>
    <w:tmpl w:val="C7360F1E"/>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4" w15:restartNumberingAfterBreak="0">
    <w:nsid w:val="6C9F5229"/>
    <w:multiLevelType w:val="hybridMultilevel"/>
    <w:tmpl w:val="59FA6862"/>
    <w:lvl w:ilvl="0" w:tplc="3D205B3E">
      <w:start w:val="1"/>
      <w:numFmt w:val="lowerLetter"/>
      <w:pStyle w:val="FAM-alpha-4"/>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4647FB"/>
    <w:multiLevelType w:val="hybridMultilevel"/>
    <w:tmpl w:val="BA4431B4"/>
    <w:lvl w:ilvl="0" w:tplc="ABBCFB42">
      <w:start w:val="2"/>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6" w15:restartNumberingAfterBreak="0">
    <w:nsid w:val="742344A4"/>
    <w:multiLevelType w:val="hybridMultilevel"/>
    <w:tmpl w:val="D27A120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58E178F"/>
    <w:multiLevelType w:val="hybridMultilevel"/>
    <w:tmpl w:val="E174B404"/>
    <w:lvl w:ilvl="0" w:tplc="04090017">
      <w:start w:val="1"/>
      <w:numFmt w:val="lowerLetter"/>
      <w:lvlText w:val="%1)"/>
      <w:lvlJc w:val="left"/>
      <w:pPr>
        <w:ind w:left="440" w:hanging="360"/>
      </w:p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8" w15:restartNumberingAfterBreak="0">
    <w:nsid w:val="78907CAE"/>
    <w:multiLevelType w:val="hybridMultilevel"/>
    <w:tmpl w:val="488A288E"/>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9" w15:restartNumberingAfterBreak="0">
    <w:nsid w:val="79B44B23"/>
    <w:multiLevelType w:val="hybridMultilevel"/>
    <w:tmpl w:val="6B88BB14"/>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15:restartNumberingAfterBreak="0">
    <w:nsid w:val="7A5C64E4"/>
    <w:multiLevelType w:val="hybridMultilevel"/>
    <w:tmpl w:val="A4EC93E2"/>
    <w:lvl w:ilvl="0" w:tplc="BCCECA4E">
      <w:start w:val="1"/>
      <w:numFmt w:val="lowerRoman"/>
      <w:lvlText w:val="%1)"/>
      <w:lvlJc w:val="righ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71" w15:restartNumberingAfterBreak="0">
    <w:nsid w:val="7BB2245F"/>
    <w:multiLevelType w:val="hybridMultilevel"/>
    <w:tmpl w:val="F028F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B93F78"/>
    <w:multiLevelType w:val="hybridMultilevel"/>
    <w:tmpl w:val="5E3EF0A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3" w15:restartNumberingAfterBreak="0">
    <w:nsid w:val="7C9B2AA2"/>
    <w:multiLevelType w:val="hybridMultilevel"/>
    <w:tmpl w:val="8DF21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207610">
    <w:abstractNumId w:val="43"/>
  </w:num>
  <w:num w:numId="2" w16cid:durableId="65499172">
    <w:abstractNumId w:val="43"/>
  </w:num>
  <w:num w:numId="3" w16cid:durableId="953629845">
    <w:abstractNumId w:val="36"/>
  </w:num>
  <w:num w:numId="4" w16cid:durableId="352269996">
    <w:abstractNumId w:val="17"/>
  </w:num>
  <w:num w:numId="5" w16cid:durableId="20380398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7973542">
    <w:abstractNumId w:val="1"/>
  </w:num>
  <w:num w:numId="7" w16cid:durableId="18830560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4671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84896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333644">
    <w:abstractNumId w:val="43"/>
  </w:num>
  <w:num w:numId="11" w16cid:durableId="16694035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32463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9458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2651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3645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72385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45232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4995016">
    <w:abstractNumId w:val="43"/>
  </w:num>
  <w:num w:numId="19" w16cid:durableId="1591038636">
    <w:abstractNumId w:val="11"/>
  </w:num>
  <w:num w:numId="20" w16cid:durableId="1671520778">
    <w:abstractNumId w:val="23"/>
  </w:num>
  <w:num w:numId="21" w16cid:durableId="1756123552">
    <w:abstractNumId w:val="67"/>
  </w:num>
  <w:num w:numId="22" w16cid:durableId="16993494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46577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57430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16218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83792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7346609">
    <w:abstractNumId w:val="48"/>
  </w:num>
  <w:num w:numId="28" w16cid:durableId="10757813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46956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07733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88481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22775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82596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33867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70876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29974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32111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13255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99857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86949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26574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09793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5444085">
    <w:abstractNumId w:val="20"/>
  </w:num>
  <w:num w:numId="44" w16cid:durableId="782959594">
    <w:abstractNumId w:val="64"/>
  </w:num>
  <w:num w:numId="45" w16cid:durableId="1632979765">
    <w:abstractNumId w:val="13"/>
  </w:num>
  <w:num w:numId="46" w16cid:durableId="1197502369">
    <w:abstractNumId w:val="59"/>
  </w:num>
  <w:num w:numId="47" w16cid:durableId="710306704">
    <w:abstractNumId w:val="28"/>
  </w:num>
  <w:num w:numId="48" w16cid:durableId="366293503">
    <w:abstractNumId w:val="55"/>
  </w:num>
  <w:num w:numId="49" w16cid:durableId="852845456">
    <w:abstractNumId w:val="69"/>
  </w:num>
  <w:num w:numId="50" w16cid:durableId="1641424904">
    <w:abstractNumId w:val="3"/>
  </w:num>
  <w:num w:numId="51" w16cid:durableId="42876040">
    <w:abstractNumId w:val="43"/>
  </w:num>
  <w:num w:numId="52" w16cid:durableId="2257274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027803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66679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253800">
    <w:abstractNumId w:val="7"/>
  </w:num>
  <w:num w:numId="56" w16cid:durableId="1110969844">
    <w:abstractNumId w:val="35"/>
  </w:num>
  <w:num w:numId="57" w16cid:durableId="927886581">
    <w:abstractNumId w:val="53"/>
  </w:num>
  <w:num w:numId="58" w16cid:durableId="9184230">
    <w:abstractNumId w:val="0"/>
  </w:num>
  <w:num w:numId="59" w16cid:durableId="3344976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951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262708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542696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06120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18176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98336009">
    <w:abstractNumId w:val="43"/>
  </w:num>
  <w:num w:numId="66" w16cid:durableId="13852501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4609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62386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80124957">
    <w:abstractNumId w:val="54"/>
  </w:num>
  <w:num w:numId="70" w16cid:durableId="1693258867">
    <w:abstractNumId w:val="22"/>
  </w:num>
  <w:num w:numId="71" w16cid:durableId="16562551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218154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818848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00362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45136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12180680">
    <w:abstractNumId w:val="21"/>
  </w:num>
  <w:num w:numId="77" w16cid:durableId="1337147594">
    <w:abstractNumId w:val="51"/>
  </w:num>
  <w:num w:numId="78" w16cid:durableId="1141271433">
    <w:abstractNumId w:val="6"/>
  </w:num>
  <w:num w:numId="79" w16cid:durableId="880171903">
    <w:abstractNumId w:val="18"/>
  </w:num>
  <w:num w:numId="80" w16cid:durableId="1417362020">
    <w:abstractNumId w:val="4"/>
  </w:num>
  <w:num w:numId="81" w16cid:durableId="560143680">
    <w:abstractNumId w:val="27"/>
  </w:num>
  <w:num w:numId="82" w16cid:durableId="777527887">
    <w:abstractNumId w:val="45"/>
  </w:num>
  <w:num w:numId="83" w16cid:durableId="1196504609">
    <w:abstractNumId w:val="62"/>
  </w:num>
  <w:num w:numId="84" w16cid:durableId="1011642987">
    <w:abstractNumId w:val="5"/>
  </w:num>
  <w:num w:numId="85" w16cid:durableId="1795639077">
    <w:abstractNumId w:val="44"/>
  </w:num>
  <w:num w:numId="86" w16cid:durableId="5520369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18462449">
    <w:abstractNumId w:val="68"/>
  </w:num>
  <w:num w:numId="88" w16cid:durableId="1821311647">
    <w:abstractNumId w:val="14"/>
  </w:num>
  <w:num w:numId="89" w16cid:durableId="117460122">
    <w:abstractNumId w:val="34"/>
  </w:num>
  <w:num w:numId="90" w16cid:durableId="173039216">
    <w:abstractNumId w:val="46"/>
  </w:num>
  <w:num w:numId="91" w16cid:durableId="1020861478">
    <w:abstractNumId w:val="41"/>
  </w:num>
  <w:num w:numId="92" w16cid:durableId="1612323405">
    <w:abstractNumId w:val="37"/>
  </w:num>
  <w:num w:numId="93" w16cid:durableId="8912910">
    <w:abstractNumId w:val="32"/>
  </w:num>
  <w:num w:numId="94" w16cid:durableId="1386029384">
    <w:abstractNumId w:val="16"/>
  </w:num>
  <w:num w:numId="95" w16cid:durableId="2127892356">
    <w:abstractNumId w:val="49"/>
  </w:num>
  <w:num w:numId="96" w16cid:durableId="212817926">
    <w:abstractNumId w:val="39"/>
  </w:num>
  <w:num w:numId="97" w16cid:durableId="175199107">
    <w:abstractNumId w:val="63"/>
  </w:num>
  <w:num w:numId="98" w16cid:durableId="260837784">
    <w:abstractNumId w:val="70"/>
  </w:num>
  <w:num w:numId="99" w16cid:durableId="2031371059">
    <w:abstractNumId w:val="42"/>
  </w:num>
  <w:num w:numId="100" w16cid:durableId="9799218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932969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12176534">
    <w:abstractNumId w:val="10"/>
  </w:num>
  <w:num w:numId="103" w16cid:durableId="1191453309">
    <w:abstractNumId w:val="60"/>
  </w:num>
  <w:num w:numId="104" w16cid:durableId="59643830">
    <w:abstractNumId w:val="25"/>
  </w:num>
  <w:num w:numId="105" w16cid:durableId="9355993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160760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087690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80499580">
    <w:abstractNumId w:val="29"/>
  </w:num>
  <w:num w:numId="109" w16cid:durableId="1640765411">
    <w:abstractNumId w:val="71"/>
  </w:num>
  <w:num w:numId="110" w16cid:durableId="1487437796">
    <w:abstractNumId w:val="56"/>
  </w:num>
  <w:num w:numId="111" w16cid:durableId="1023633717">
    <w:abstractNumId w:val="72"/>
  </w:num>
  <w:num w:numId="112" w16cid:durableId="465782187">
    <w:abstractNumId w:val="33"/>
  </w:num>
  <w:num w:numId="113" w16cid:durableId="4596863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34242711">
    <w:abstractNumId w:val="30"/>
  </w:num>
  <w:num w:numId="115" w16cid:durableId="450125280">
    <w:abstractNumId w:val="26"/>
  </w:num>
  <w:num w:numId="116" w16cid:durableId="1267688716">
    <w:abstractNumId w:val="15"/>
  </w:num>
  <w:num w:numId="117" w16cid:durableId="1947807692">
    <w:abstractNumId w:val="24"/>
  </w:num>
  <w:num w:numId="118" w16cid:durableId="717700959">
    <w:abstractNumId w:val="73"/>
  </w:num>
  <w:num w:numId="119" w16cid:durableId="669603653">
    <w:abstractNumId w:val="65"/>
  </w:num>
  <w:num w:numId="120" w16cid:durableId="1763716318">
    <w:abstractNumId w:val="31"/>
  </w:num>
  <w:num w:numId="121" w16cid:durableId="336009046">
    <w:abstractNumId w:val="40"/>
  </w:num>
  <w:num w:numId="122" w16cid:durableId="1381976504">
    <w:abstractNumId w:val="2"/>
  </w:num>
  <w:num w:numId="123" w16cid:durableId="610434452">
    <w:abstractNumId w:val="9"/>
  </w:num>
  <w:num w:numId="124" w16cid:durableId="1608584870">
    <w:abstractNumId w:val="12"/>
  </w:num>
  <w:num w:numId="125" w16cid:durableId="961693852">
    <w:abstractNumId w:val="19"/>
  </w:num>
  <w:num w:numId="126" w16cid:durableId="18724500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62068026">
    <w:abstractNumId w:val="52"/>
  </w:num>
  <w:num w:numId="128" w16cid:durableId="1238906579">
    <w:abstractNumId w:val="61"/>
  </w:num>
  <w:num w:numId="129" w16cid:durableId="963003883">
    <w:abstractNumId w:val="8"/>
  </w:num>
  <w:num w:numId="130" w16cid:durableId="1551841135">
    <w:abstractNumId w:val="50"/>
  </w:num>
  <w:num w:numId="131" w16cid:durableId="1618442321">
    <w:abstractNumId w:val="57"/>
  </w:num>
  <w:num w:numId="132" w16cid:durableId="286932555">
    <w:abstractNumId w:val="66"/>
  </w:num>
  <w:num w:numId="133" w16cid:durableId="2058582945">
    <w:abstractNumId w:val="43"/>
  </w:num>
  <w:num w:numId="134" w16cid:durableId="651073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23747602">
    <w:abstractNumId w:val="43"/>
  </w:num>
  <w:num w:numId="136" w16cid:durableId="1248733207">
    <w:abstractNumId w:val="43"/>
  </w:num>
  <w:num w:numId="137" w16cid:durableId="1287540970">
    <w:abstractNumId w:val="43"/>
  </w:num>
  <w:num w:numId="138" w16cid:durableId="34282974">
    <w:abstractNumId w:val="43"/>
  </w:num>
  <w:num w:numId="139" w16cid:durableId="2120559970">
    <w:abstractNumId w:val="43"/>
  </w:num>
  <w:num w:numId="140" w16cid:durableId="1409958947">
    <w:abstractNumId w:val="43"/>
  </w:num>
  <w:num w:numId="141" w16cid:durableId="1191339082">
    <w:abstractNumId w:val="43"/>
  </w:num>
  <w:num w:numId="142" w16cid:durableId="71590718">
    <w:abstractNumId w:val="43"/>
  </w:num>
  <w:num w:numId="143" w16cid:durableId="135539425">
    <w:abstractNumId w:val="43"/>
  </w:num>
  <w:num w:numId="144" w16cid:durableId="604964888">
    <w:abstractNumId w:val="43"/>
  </w:num>
  <w:num w:numId="145" w16cid:durableId="1991404329">
    <w:abstractNumId w:val="43"/>
  </w:num>
  <w:num w:numId="146" w16cid:durableId="1843810324">
    <w:abstractNumId w:val="43"/>
  </w:num>
  <w:num w:numId="147" w16cid:durableId="638730344">
    <w:abstractNumId w:val="43"/>
  </w:num>
  <w:num w:numId="148" w16cid:durableId="979043910">
    <w:abstractNumId w:val="43"/>
  </w:num>
  <w:num w:numId="149" w16cid:durableId="852766209">
    <w:abstractNumId w:val="43"/>
  </w:num>
  <w:num w:numId="150" w16cid:durableId="2068332172">
    <w:abstractNumId w:val="43"/>
  </w:num>
  <w:num w:numId="151" w16cid:durableId="283314715">
    <w:abstractNumId w:val="43"/>
    <w:lvlOverride w:ilvl="0">
      <w:startOverride w:val="1"/>
    </w:lvlOverride>
  </w:num>
  <w:num w:numId="152" w16cid:durableId="1086801761">
    <w:abstractNumId w:val="43"/>
  </w:num>
  <w:num w:numId="153" w16cid:durableId="2109420105">
    <w:abstractNumId w:val="43"/>
    <w:lvlOverride w:ilvl="0">
      <w:startOverride w:val="1"/>
    </w:lvlOverride>
  </w:num>
  <w:num w:numId="154" w16cid:durableId="535627254">
    <w:abstractNumId w:val="43"/>
  </w:num>
  <w:num w:numId="155" w16cid:durableId="1488782988">
    <w:abstractNumId w:val="43"/>
  </w:num>
  <w:num w:numId="156" w16cid:durableId="856621425">
    <w:abstractNumId w:val="43"/>
  </w:num>
  <w:num w:numId="157" w16cid:durableId="1025207217">
    <w:abstractNumId w:val="43"/>
  </w:num>
  <w:num w:numId="158" w16cid:durableId="1611477142">
    <w:abstractNumId w:val="43"/>
  </w:num>
  <w:num w:numId="159" w16cid:durableId="1839543231">
    <w:abstractNumId w:val="43"/>
  </w:num>
  <w:num w:numId="160" w16cid:durableId="647784879">
    <w:abstractNumId w:val="43"/>
  </w:num>
  <w:num w:numId="161" w16cid:durableId="1436173735">
    <w:abstractNumId w:val="43"/>
  </w:num>
  <w:num w:numId="162" w16cid:durableId="344088749">
    <w:abstractNumId w:val="43"/>
  </w:num>
  <w:num w:numId="163" w16cid:durableId="425544401">
    <w:abstractNumId w:val="43"/>
  </w:num>
  <w:num w:numId="164" w16cid:durableId="545994063">
    <w:abstractNumId w:val="43"/>
  </w:num>
  <w:num w:numId="165" w16cid:durableId="502665105">
    <w:abstractNumId w:val="43"/>
  </w:num>
  <w:num w:numId="166" w16cid:durableId="236978409">
    <w:abstractNumId w:val="43"/>
  </w:num>
  <w:num w:numId="167" w16cid:durableId="1741249260">
    <w:abstractNumId w:val="43"/>
  </w:num>
  <w:num w:numId="168" w16cid:durableId="6641096">
    <w:abstractNumId w:val="43"/>
  </w:num>
  <w:num w:numId="169" w16cid:durableId="1195383093">
    <w:abstractNumId w:val="43"/>
  </w:num>
  <w:num w:numId="170" w16cid:durableId="1663973887">
    <w:abstractNumId w:val="43"/>
  </w:num>
  <w:num w:numId="171" w16cid:durableId="102506734">
    <w:abstractNumId w:val="43"/>
  </w:num>
  <w:num w:numId="172" w16cid:durableId="265699584">
    <w:abstractNumId w:val="43"/>
  </w:num>
  <w:num w:numId="173" w16cid:durableId="1667052696">
    <w:abstractNumId w:val="43"/>
  </w:num>
  <w:num w:numId="174" w16cid:durableId="439187496">
    <w:abstractNumId w:val="43"/>
  </w:num>
  <w:num w:numId="175" w16cid:durableId="155994026">
    <w:abstractNumId w:val="43"/>
  </w:num>
  <w:num w:numId="176" w16cid:durableId="1066144278">
    <w:abstractNumId w:val="43"/>
  </w:num>
  <w:num w:numId="177" w16cid:durableId="2058896308">
    <w:abstractNumId w:val="43"/>
  </w:num>
  <w:num w:numId="178" w16cid:durableId="55904439">
    <w:abstractNumId w:val="43"/>
  </w:num>
  <w:num w:numId="179" w16cid:durableId="31620009">
    <w:abstractNumId w:val="43"/>
  </w:num>
  <w:num w:numId="180" w16cid:durableId="1383560527">
    <w:abstractNumId w:val="43"/>
  </w:num>
  <w:num w:numId="181" w16cid:durableId="975795617">
    <w:abstractNumId w:val="43"/>
  </w:num>
  <w:num w:numId="182" w16cid:durableId="1131557476">
    <w:abstractNumId w:val="43"/>
  </w:num>
  <w:num w:numId="183" w16cid:durableId="1799644840">
    <w:abstractNumId w:val="43"/>
  </w:num>
  <w:num w:numId="184" w16cid:durableId="232275814">
    <w:abstractNumId w:val="43"/>
  </w:num>
  <w:num w:numId="185" w16cid:durableId="1368261963">
    <w:abstractNumId w:val="43"/>
  </w:num>
  <w:num w:numId="186" w16cid:durableId="542061054">
    <w:abstractNumId w:val="43"/>
  </w:num>
  <w:num w:numId="187" w16cid:durableId="354893867">
    <w:abstractNumId w:val="43"/>
  </w:num>
  <w:num w:numId="188" w16cid:durableId="857544297">
    <w:abstractNumId w:val="43"/>
  </w:num>
  <w:num w:numId="189" w16cid:durableId="1521506749">
    <w:abstractNumId w:val="43"/>
  </w:num>
  <w:num w:numId="190" w16cid:durableId="1758289835">
    <w:abstractNumId w:val="43"/>
    <w:lvlOverride w:ilvl="0">
      <w:startOverride w:val="1"/>
    </w:lvlOverride>
  </w:num>
  <w:num w:numId="191" w16cid:durableId="629631192">
    <w:abstractNumId w:val="43"/>
  </w:num>
  <w:num w:numId="192" w16cid:durableId="1645161628">
    <w:abstractNumId w:val="43"/>
  </w:num>
  <w:num w:numId="193" w16cid:durableId="1676683647">
    <w:abstractNumId w:val="43"/>
  </w:num>
  <w:num w:numId="194" w16cid:durableId="1599485973">
    <w:abstractNumId w:val="43"/>
  </w:num>
  <w:num w:numId="195" w16cid:durableId="1191799825">
    <w:abstractNumId w:val="43"/>
  </w:num>
  <w:num w:numId="196" w16cid:durableId="19668229">
    <w:abstractNumId w:val="43"/>
  </w:num>
  <w:num w:numId="197" w16cid:durableId="1063600195">
    <w:abstractNumId w:val="43"/>
  </w:num>
  <w:num w:numId="198" w16cid:durableId="20477979">
    <w:abstractNumId w:val="43"/>
  </w:num>
  <w:num w:numId="199" w16cid:durableId="130833389">
    <w:abstractNumId w:val="43"/>
  </w:num>
  <w:num w:numId="200" w16cid:durableId="1771312956">
    <w:abstractNumId w:val="43"/>
  </w:num>
  <w:num w:numId="201" w16cid:durableId="1305506425">
    <w:abstractNumId w:val="43"/>
  </w:num>
  <w:num w:numId="202" w16cid:durableId="457575846">
    <w:abstractNumId w:val="43"/>
  </w:num>
  <w:num w:numId="203" w16cid:durableId="1926571734">
    <w:abstractNumId w:val="43"/>
  </w:num>
  <w:num w:numId="204" w16cid:durableId="105395468">
    <w:abstractNumId w:val="43"/>
  </w:num>
  <w:num w:numId="205" w16cid:durableId="877930605">
    <w:abstractNumId w:val="43"/>
  </w:num>
  <w:num w:numId="206" w16cid:durableId="143398933">
    <w:abstractNumId w:val="43"/>
  </w:num>
  <w:num w:numId="207" w16cid:durableId="1629626851">
    <w:abstractNumId w:val="43"/>
  </w:num>
  <w:num w:numId="208" w16cid:durableId="653267525">
    <w:abstractNumId w:val="43"/>
  </w:num>
  <w:num w:numId="209" w16cid:durableId="480729106">
    <w:abstractNumId w:val="43"/>
  </w:num>
  <w:num w:numId="210" w16cid:durableId="1988969392">
    <w:abstractNumId w:val="43"/>
  </w:num>
  <w:num w:numId="211" w16cid:durableId="1820027417">
    <w:abstractNumId w:val="43"/>
  </w:num>
  <w:num w:numId="212" w16cid:durableId="1670064381">
    <w:abstractNumId w:val="43"/>
  </w:num>
  <w:num w:numId="213" w16cid:durableId="88545471">
    <w:abstractNumId w:val="43"/>
  </w:num>
  <w:num w:numId="214" w16cid:durableId="954559501">
    <w:abstractNumId w:val="43"/>
  </w:num>
  <w:num w:numId="215" w16cid:durableId="1030490412">
    <w:abstractNumId w:val="43"/>
  </w:num>
  <w:num w:numId="216" w16cid:durableId="1237016260">
    <w:abstractNumId w:val="43"/>
  </w:num>
  <w:num w:numId="217" w16cid:durableId="2118675177">
    <w:abstractNumId w:val="43"/>
  </w:num>
  <w:num w:numId="218" w16cid:durableId="1987394277">
    <w:abstractNumId w:val="43"/>
  </w:num>
  <w:num w:numId="219" w16cid:durableId="952981758">
    <w:abstractNumId w:val="43"/>
  </w:num>
  <w:num w:numId="220" w16cid:durableId="1426461366">
    <w:abstractNumId w:val="43"/>
  </w:num>
  <w:num w:numId="221" w16cid:durableId="2116750724">
    <w:abstractNumId w:val="43"/>
  </w:num>
  <w:num w:numId="222" w16cid:durableId="858741688">
    <w:abstractNumId w:val="43"/>
  </w:num>
  <w:num w:numId="223" w16cid:durableId="1588224946">
    <w:abstractNumId w:val="43"/>
  </w:num>
  <w:num w:numId="224" w16cid:durableId="191649070">
    <w:abstractNumId w:val="43"/>
  </w:num>
  <w:num w:numId="225" w16cid:durableId="1210268599">
    <w:abstractNumId w:val="43"/>
  </w:num>
  <w:num w:numId="226" w16cid:durableId="308630700">
    <w:abstractNumId w:val="43"/>
  </w:num>
  <w:num w:numId="227" w16cid:durableId="1188257494">
    <w:abstractNumId w:val="43"/>
  </w:num>
  <w:num w:numId="228" w16cid:durableId="1381974852">
    <w:abstractNumId w:val="43"/>
  </w:num>
  <w:num w:numId="229" w16cid:durableId="1094479803">
    <w:abstractNumId w:val="43"/>
  </w:num>
  <w:num w:numId="230" w16cid:durableId="1252860508">
    <w:abstractNumId w:val="43"/>
  </w:num>
  <w:num w:numId="231" w16cid:durableId="1669553602">
    <w:abstractNumId w:val="43"/>
  </w:num>
  <w:num w:numId="232" w16cid:durableId="1108349704">
    <w:abstractNumId w:val="43"/>
  </w:num>
  <w:num w:numId="233" w16cid:durableId="1769427182">
    <w:abstractNumId w:val="43"/>
  </w:num>
  <w:num w:numId="234" w16cid:durableId="1313485836">
    <w:abstractNumId w:val="43"/>
  </w:num>
  <w:num w:numId="235" w16cid:durableId="1077558436">
    <w:abstractNumId w:val="43"/>
  </w:num>
  <w:num w:numId="236" w16cid:durableId="515773041">
    <w:abstractNumId w:val="43"/>
  </w:num>
  <w:num w:numId="237" w16cid:durableId="1341274226">
    <w:abstractNumId w:val="43"/>
  </w:num>
  <w:num w:numId="238" w16cid:durableId="48650805">
    <w:abstractNumId w:val="43"/>
  </w:num>
  <w:num w:numId="239" w16cid:durableId="2133206393">
    <w:abstractNumId w:val="43"/>
  </w:num>
  <w:num w:numId="240" w16cid:durableId="1638681575">
    <w:abstractNumId w:val="43"/>
  </w:num>
  <w:num w:numId="241" w16cid:durableId="1290668650">
    <w:abstractNumId w:val="38"/>
  </w:num>
  <w:num w:numId="242" w16cid:durableId="409235154">
    <w:abstractNumId w:val="43"/>
  </w:num>
  <w:num w:numId="243" w16cid:durableId="809443125">
    <w:abstractNumId w:val="43"/>
  </w:num>
  <w:num w:numId="244" w16cid:durableId="327832660">
    <w:abstractNumId w:val="43"/>
  </w:num>
  <w:num w:numId="245" w16cid:durableId="1019236471">
    <w:abstractNumId w:val="43"/>
  </w:num>
  <w:num w:numId="246" w16cid:durableId="827941729">
    <w:abstractNumId w:val="43"/>
  </w:num>
  <w:num w:numId="247" w16cid:durableId="1405494362">
    <w:abstractNumId w:val="43"/>
  </w:num>
  <w:num w:numId="248" w16cid:durableId="1685746308">
    <w:abstractNumId w:val="43"/>
  </w:num>
  <w:num w:numId="249" w16cid:durableId="1776637508">
    <w:abstractNumId w:val="43"/>
  </w:num>
  <w:num w:numId="250" w16cid:durableId="618679841">
    <w:abstractNumId w:val="43"/>
  </w:num>
  <w:num w:numId="251" w16cid:durableId="437800320">
    <w:abstractNumId w:val="43"/>
  </w:num>
  <w:num w:numId="252" w16cid:durableId="2056344211">
    <w:abstractNumId w:val="43"/>
  </w:num>
  <w:num w:numId="253" w16cid:durableId="1848710800">
    <w:abstractNumId w:val="43"/>
  </w:num>
  <w:num w:numId="254" w16cid:durableId="1290862819">
    <w:abstractNumId w:val="43"/>
  </w:num>
  <w:num w:numId="255" w16cid:durableId="530186808">
    <w:abstractNumId w:val="43"/>
  </w:num>
  <w:num w:numId="256" w16cid:durableId="1306198082">
    <w:abstractNumId w:val="43"/>
  </w:num>
  <w:num w:numId="257" w16cid:durableId="1006129650">
    <w:abstractNumId w:val="43"/>
  </w:num>
  <w:num w:numId="258" w16cid:durableId="756169694">
    <w:abstractNumId w:val="43"/>
  </w:num>
  <w:num w:numId="259" w16cid:durableId="1961717446">
    <w:abstractNumId w:val="43"/>
  </w:num>
  <w:num w:numId="260" w16cid:durableId="929122727">
    <w:abstractNumId w:val="43"/>
  </w:num>
  <w:num w:numId="261" w16cid:durableId="500782757">
    <w:abstractNumId w:val="43"/>
  </w:num>
  <w:num w:numId="262" w16cid:durableId="381751916">
    <w:abstractNumId w:val="43"/>
  </w:num>
  <w:num w:numId="263" w16cid:durableId="466434947">
    <w:abstractNumId w:val="43"/>
  </w:num>
  <w:num w:numId="264" w16cid:durableId="1442610731">
    <w:abstractNumId w:val="43"/>
  </w:num>
  <w:num w:numId="265" w16cid:durableId="97607103">
    <w:abstractNumId w:val="43"/>
  </w:num>
  <w:num w:numId="266" w16cid:durableId="268202043">
    <w:abstractNumId w:val="43"/>
  </w:num>
  <w:num w:numId="267" w16cid:durableId="103352076">
    <w:abstractNumId w:val="43"/>
  </w:num>
  <w:num w:numId="268" w16cid:durableId="280190039">
    <w:abstractNumId w:val="43"/>
  </w:num>
  <w:num w:numId="269" w16cid:durableId="1360353618">
    <w:abstractNumId w:val="43"/>
  </w:num>
  <w:num w:numId="270" w16cid:durableId="753892708">
    <w:abstractNumId w:val="43"/>
  </w:num>
  <w:num w:numId="271" w16cid:durableId="66654441">
    <w:abstractNumId w:val="43"/>
  </w:num>
  <w:num w:numId="272" w16cid:durableId="1977374569">
    <w:abstractNumId w:val="43"/>
  </w:num>
  <w:num w:numId="273" w16cid:durableId="2091540843">
    <w:abstractNumId w:val="43"/>
  </w:num>
  <w:num w:numId="274" w16cid:durableId="2105225580">
    <w:abstractNumId w:val="43"/>
  </w:num>
  <w:num w:numId="275" w16cid:durableId="427625589">
    <w:abstractNumId w:val="43"/>
  </w:num>
  <w:num w:numId="276" w16cid:durableId="1821655149">
    <w:abstractNumId w:val="43"/>
  </w:num>
  <w:num w:numId="277" w16cid:durableId="1799101460">
    <w:abstractNumId w:val="43"/>
  </w:num>
  <w:num w:numId="278" w16cid:durableId="1336154417">
    <w:abstractNumId w:val="43"/>
  </w:num>
  <w:num w:numId="279" w16cid:durableId="1885828928">
    <w:abstractNumId w:val="43"/>
  </w:num>
  <w:num w:numId="280" w16cid:durableId="1367605984">
    <w:abstractNumId w:val="43"/>
  </w:num>
  <w:num w:numId="281" w16cid:durableId="192546342">
    <w:abstractNumId w:val="43"/>
  </w:num>
  <w:num w:numId="282" w16cid:durableId="1038434697">
    <w:abstractNumId w:val="43"/>
  </w:num>
  <w:num w:numId="283" w16cid:durableId="441143856">
    <w:abstractNumId w:val="43"/>
  </w:num>
  <w:num w:numId="284" w16cid:durableId="779179629">
    <w:abstractNumId w:val="43"/>
  </w:num>
  <w:num w:numId="285" w16cid:durableId="444270302">
    <w:abstractNumId w:val="43"/>
  </w:num>
  <w:num w:numId="286" w16cid:durableId="988243223">
    <w:abstractNumId w:val="43"/>
  </w:num>
  <w:num w:numId="287" w16cid:durableId="806556080">
    <w:abstractNumId w:val="43"/>
  </w:num>
  <w:num w:numId="288" w16cid:durableId="1472283754">
    <w:abstractNumId w:val="43"/>
  </w:num>
  <w:num w:numId="289" w16cid:durableId="1652372006">
    <w:abstractNumId w:val="43"/>
  </w:num>
  <w:num w:numId="290" w16cid:durableId="407919829">
    <w:abstractNumId w:val="43"/>
  </w:num>
  <w:num w:numId="291" w16cid:durableId="1407726361">
    <w:abstractNumId w:val="43"/>
  </w:num>
  <w:num w:numId="292" w16cid:durableId="1218469573">
    <w:abstractNumId w:val="43"/>
  </w:num>
  <w:num w:numId="293" w16cid:durableId="962661652">
    <w:abstractNumId w:val="43"/>
  </w:num>
  <w:num w:numId="294" w16cid:durableId="1067653474">
    <w:abstractNumId w:val="43"/>
  </w:num>
  <w:num w:numId="295" w16cid:durableId="1989245892">
    <w:abstractNumId w:val="43"/>
  </w:num>
  <w:num w:numId="296" w16cid:durableId="1897471523">
    <w:abstractNumId w:val="43"/>
  </w:num>
  <w:num w:numId="297" w16cid:durableId="341473247">
    <w:abstractNumId w:val="43"/>
  </w:num>
  <w:num w:numId="298" w16cid:durableId="363287204">
    <w:abstractNumId w:val="43"/>
  </w:num>
  <w:num w:numId="299" w16cid:durableId="1602566743">
    <w:abstractNumId w:val="43"/>
  </w:num>
  <w:num w:numId="300" w16cid:durableId="957219431">
    <w:abstractNumId w:val="43"/>
  </w:num>
  <w:num w:numId="301" w16cid:durableId="1898859138">
    <w:abstractNumId w:val="43"/>
  </w:num>
  <w:num w:numId="302" w16cid:durableId="1687901005">
    <w:abstractNumId w:val="43"/>
  </w:num>
  <w:num w:numId="303" w16cid:durableId="1629552768">
    <w:abstractNumId w:val="43"/>
  </w:num>
  <w:num w:numId="304" w16cid:durableId="1804693881">
    <w:abstractNumId w:val="43"/>
  </w:num>
  <w:num w:numId="305" w16cid:durableId="1770153926">
    <w:abstractNumId w:val="43"/>
  </w:num>
  <w:num w:numId="306" w16cid:durableId="243683419">
    <w:abstractNumId w:val="43"/>
  </w:num>
  <w:num w:numId="307" w16cid:durableId="886835872">
    <w:abstractNumId w:val="43"/>
  </w:num>
  <w:num w:numId="308" w16cid:durableId="855733661">
    <w:abstractNumId w:val="43"/>
  </w:num>
  <w:num w:numId="309" w16cid:durableId="1221674683">
    <w:abstractNumId w:val="43"/>
  </w:num>
  <w:num w:numId="310" w16cid:durableId="548733193">
    <w:abstractNumId w:val="43"/>
  </w:num>
  <w:num w:numId="311" w16cid:durableId="125314518">
    <w:abstractNumId w:val="43"/>
  </w:num>
  <w:num w:numId="312" w16cid:durableId="829516554">
    <w:abstractNumId w:val="43"/>
  </w:num>
  <w:num w:numId="313" w16cid:durableId="1642422346">
    <w:abstractNumId w:val="43"/>
  </w:num>
  <w:num w:numId="314" w16cid:durableId="2100254019">
    <w:abstractNumId w:val="43"/>
  </w:num>
  <w:num w:numId="315" w16cid:durableId="1014454485">
    <w:abstractNumId w:val="43"/>
  </w:num>
  <w:num w:numId="316" w16cid:durableId="1294749225">
    <w:abstractNumId w:val="43"/>
  </w:num>
  <w:num w:numId="317" w16cid:durableId="775371497">
    <w:abstractNumId w:val="43"/>
  </w:num>
  <w:num w:numId="318" w16cid:durableId="1612393436">
    <w:abstractNumId w:val="43"/>
  </w:num>
  <w:num w:numId="319" w16cid:durableId="903836039">
    <w:abstractNumId w:val="43"/>
  </w:num>
  <w:num w:numId="320" w16cid:durableId="783960890">
    <w:abstractNumId w:val="43"/>
  </w:num>
  <w:num w:numId="321" w16cid:durableId="1945796276">
    <w:abstractNumId w:val="43"/>
  </w:num>
  <w:num w:numId="322" w16cid:durableId="591402893">
    <w:abstractNumId w:val="43"/>
  </w:num>
  <w:num w:numId="323" w16cid:durableId="735319305">
    <w:abstractNumId w:val="43"/>
  </w:num>
  <w:num w:numId="324" w16cid:durableId="1592857646">
    <w:abstractNumId w:val="43"/>
  </w:num>
  <w:num w:numId="325" w16cid:durableId="1547256274">
    <w:abstractNumId w:val="43"/>
  </w:num>
  <w:num w:numId="326" w16cid:durableId="1580211993">
    <w:abstractNumId w:val="43"/>
  </w:num>
  <w:num w:numId="327" w16cid:durableId="436020033">
    <w:abstractNumId w:val="43"/>
  </w:num>
  <w:num w:numId="328" w16cid:durableId="1532722438">
    <w:abstractNumId w:val="43"/>
  </w:num>
  <w:num w:numId="329" w16cid:durableId="469903868">
    <w:abstractNumId w:val="43"/>
  </w:num>
  <w:num w:numId="330" w16cid:durableId="1158613605">
    <w:abstractNumId w:val="43"/>
  </w:num>
  <w:num w:numId="331" w16cid:durableId="1554653476">
    <w:abstractNumId w:val="43"/>
  </w:num>
  <w:num w:numId="332" w16cid:durableId="314919088">
    <w:abstractNumId w:val="43"/>
  </w:num>
  <w:num w:numId="333" w16cid:durableId="1232889955">
    <w:abstractNumId w:val="43"/>
  </w:num>
  <w:num w:numId="334" w16cid:durableId="1420909079">
    <w:abstractNumId w:val="43"/>
  </w:num>
  <w:num w:numId="335" w16cid:durableId="942229666">
    <w:abstractNumId w:val="43"/>
  </w:num>
  <w:num w:numId="336" w16cid:durableId="779254113">
    <w:abstractNumId w:val="43"/>
  </w:num>
  <w:num w:numId="337" w16cid:durableId="1555235272">
    <w:abstractNumId w:val="43"/>
  </w:num>
  <w:num w:numId="338" w16cid:durableId="2040470586">
    <w:abstractNumId w:val="43"/>
  </w:num>
  <w:num w:numId="339" w16cid:durableId="1802267618">
    <w:abstractNumId w:val="43"/>
  </w:num>
  <w:num w:numId="340" w16cid:durableId="2012440189">
    <w:abstractNumId w:val="43"/>
  </w:num>
  <w:num w:numId="341" w16cid:durableId="1023626598">
    <w:abstractNumId w:val="43"/>
  </w:num>
  <w:num w:numId="342" w16cid:durableId="168182394">
    <w:abstractNumId w:val="43"/>
  </w:num>
  <w:num w:numId="343" w16cid:durableId="495416564">
    <w:abstractNumId w:val="43"/>
  </w:num>
  <w:num w:numId="344" w16cid:durableId="1061755503">
    <w:abstractNumId w:val="43"/>
  </w:num>
  <w:num w:numId="345" w16cid:durableId="277687959">
    <w:abstractNumId w:val="43"/>
  </w:num>
  <w:num w:numId="346" w16cid:durableId="260913646">
    <w:abstractNumId w:val="43"/>
  </w:num>
  <w:num w:numId="347" w16cid:durableId="334917754">
    <w:abstractNumId w:val="43"/>
  </w:num>
  <w:num w:numId="348" w16cid:durableId="1078207963">
    <w:abstractNumId w:val="43"/>
  </w:num>
  <w:num w:numId="349" w16cid:durableId="233323157">
    <w:abstractNumId w:val="43"/>
  </w:num>
  <w:num w:numId="350" w16cid:durableId="529612272">
    <w:abstractNumId w:val="43"/>
  </w:num>
  <w:num w:numId="351" w16cid:durableId="175926716">
    <w:abstractNumId w:val="43"/>
  </w:num>
  <w:num w:numId="352" w16cid:durableId="1021009599">
    <w:abstractNumId w:val="43"/>
  </w:num>
  <w:num w:numId="353" w16cid:durableId="605769919">
    <w:abstractNumId w:val="43"/>
  </w:num>
  <w:num w:numId="354" w16cid:durableId="2136868268">
    <w:abstractNumId w:val="43"/>
  </w:num>
  <w:num w:numId="355" w16cid:durableId="351958307">
    <w:abstractNumId w:val="43"/>
  </w:num>
  <w:num w:numId="356" w16cid:durableId="1775972877">
    <w:abstractNumId w:val="43"/>
  </w:num>
  <w:num w:numId="357" w16cid:durableId="935869248">
    <w:abstractNumId w:val="43"/>
  </w:num>
  <w:num w:numId="358" w16cid:durableId="1518153253">
    <w:abstractNumId w:val="43"/>
  </w:num>
  <w:num w:numId="359" w16cid:durableId="422797586">
    <w:abstractNumId w:val="43"/>
  </w:num>
  <w:num w:numId="360" w16cid:durableId="836577709">
    <w:abstractNumId w:val="43"/>
  </w:num>
  <w:num w:numId="361" w16cid:durableId="377167871">
    <w:abstractNumId w:val="43"/>
  </w:num>
  <w:num w:numId="362" w16cid:durableId="746808568">
    <w:abstractNumId w:val="43"/>
  </w:num>
  <w:num w:numId="363" w16cid:durableId="1800300600">
    <w:abstractNumId w:val="43"/>
  </w:num>
  <w:num w:numId="364" w16cid:durableId="959647538">
    <w:abstractNumId w:val="43"/>
  </w:num>
  <w:num w:numId="365" w16cid:durableId="569192830">
    <w:abstractNumId w:val="43"/>
  </w:num>
  <w:num w:numId="366" w16cid:durableId="416361917">
    <w:abstractNumId w:val="43"/>
  </w:num>
  <w:num w:numId="367" w16cid:durableId="251859111">
    <w:abstractNumId w:val="43"/>
  </w:num>
  <w:num w:numId="368" w16cid:durableId="480657559">
    <w:abstractNumId w:val="43"/>
  </w:num>
  <w:num w:numId="369" w16cid:durableId="1491947774">
    <w:abstractNumId w:val="43"/>
  </w:num>
  <w:num w:numId="370" w16cid:durableId="721633456">
    <w:abstractNumId w:val="43"/>
  </w:num>
  <w:num w:numId="371" w16cid:durableId="247619171">
    <w:abstractNumId w:val="43"/>
  </w:num>
  <w:num w:numId="372" w16cid:durableId="390662814">
    <w:abstractNumId w:val="43"/>
  </w:num>
  <w:num w:numId="373" w16cid:durableId="584454903">
    <w:abstractNumId w:val="43"/>
  </w:num>
  <w:num w:numId="374" w16cid:durableId="1412971258">
    <w:abstractNumId w:val="43"/>
  </w:num>
  <w:num w:numId="375" w16cid:durableId="976644513">
    <w:abstractNumId w:val="43"/>
  </w:num>
  <w:num w:numId="376" w16cid:durableId="1367440770">
    <w:abstractNumId w:val="43"/>
  </w:num>
  <w:num w:numId="377" w16cid:durableId="1271544012">
    <w:abstractNumId w:val="43"/>
  </w:num>
  <w:num w:numId="378" w16cid:durableId="909848295">
    <w:abstractNumId w:val="43"/>
  </w:num>
  <w:num w:numId="379" w16cid:durableId="1238518284">
    <w:abstractNumId w:val="43"/>
  </w:num>
  <w:num w:numId="380" w16cid:durableId="87388987">
    <w:abstractNumId w:val="43"/>
  </w:num>
  <w:num w:numId="381" w16cid:durableId="89812426">
    <w:abstractNumId w:val="43"/>
  </w:num>
  <w:num w:numId="382" w16cid:durableId="187988685">
    <w:abstractNumId w:val="43"/>
  </w:num>
  <w:num w:numId="383" w16cid:durableId="411663715">
    <w:abstractNumId w:val="43"/>
  </w:num>
  <w:num w:numId="384" w16cid:durableId="1720516965">
    <w:abstractNumId w:val="43"/>
  </w:num>
  <w:num w:numId="385" w16cid:durableId="1724021936">
    <w:abstractNumId w:val="43"/>
  </w:num>
  <w:num w:numId="386" w16cid:durableId="223764028">
    <w:abstractNumId w:val="43"/>
  </w:num>
  <w:num w:numId="387" w16cid:durableId="1348752576">
    <w:abstractNumId w:val="43"/>
  </w:num>
  <w:num w:numId="388" w16cid:durableId="980116118">
    <w:abstractNumId w:val="43"/>
  </w:num>
  <w:num w:numId="389" w16cid:durableId="1344816023">
    <w:abstractNumId w:val="43"/>
  </w:num>
  <w:num w:numId="390" w16cid:durableId="1165432397">
    <w:abstractNumId w:val="43"/>
  </w:num>
  <w:num w:numId="391" w16cid:durableId="303047950">
    <w:abstractNumId w:val="43"/>
  </w:num>
  <w:num w:numId="392" w16cid:durableId="2020614453">
    <w:abstractNumId w:val="43"/>
  </w:num>
  <w:num w:numId="393" w16cid:durableId="671638007">
    <w:abstractNumId w:val="43"/>
  </w:num>
  <w:num w:numId="394" w16cid:durableId="531312115">
    <w:abstractNumId w:val="43"/>
  </w:num>
  <w:num w:numId="395" w16cid:durableId="2141023481">
    <w:abstractNumId w:val="43"/>
  </w:num>
  <w:num w:numId="396" w16cid:durableId="998771909">
    <w:abstractNumId w:val="43"/>
  </w:num>
  <w:num w:numId="397" w16cid:durableId="1350595811">
    <w:abstractNumId w:val="43"/>
  </w:num>
  <w:num w:numId="398" w16cid:durableId="1201628098">
    <w:abstractNumId w:val="43"/>
  </w:num>
  <w:num w:numId="399" w16cid:durableId="173999884">
    <w:abstractNumId w:val="43"/>
  </w:num>
  <w:num w:numId="400" w16cid:durableId="527913595">
    <w:abstractNumId w:val="43"/>
  </w:num>
  <w:num w:numId="401" w16cid:durableId="1634405762">
    <w:abstractNumId w:val="43"/>
  </w:num>
  <w:num w:numId="402" w16cid:durableId="844592923">
    <w:abstractNumId w:val="43"/>
  </w:num>
  <w:num w:numId="403" w16cid:durableId="4670437">
    <w:abstractNumId w:val="43"/>
  </w:num>
  <w:num w:numId="404" w16cid:durableId="1415471767">
    <w:abstractNumId w:val="43"/>
  </w:num>
  <w:num w:numId="405" w16cid:durableId="1683817168">
    <w:abstractNumId w:val="43"/>
  </w:num>
  <w:num w:numId="406" w16cid:durableId="1710255437">
    <w:abstractNumId w:val="43"/>
  </w:num>
  <w:num w:numId="407" w16cid:durableId="1663701194">
    <w:abstractNumId w:val="43"/>
  </w:num>
  <w:num w:numId="408" w16cid:durableId="1285651701">
    <w:abstractNumId w:val="43"/>
  </w:num>
  <w:num w:numId="409" w16cid:durableId="1200320341">
    <w:abstractNumId w:val="43"/>
  </w:num>
  <w:num w:numId="410" w16cid:durableId="641691282">
    <w:abstractNumId w:val="43"/>
  </w:num>
  <w:num w:numId="411" w16cid:durableId="1976444312">
    <w:abstractNumId w:val="43"/>
  </w:num>
  <w:num w:numId="412" w16cid:durableId="369915706">
    <w:abstractNumId w:val="43"/>
  </w:num>
  <w:num w:numId="413" w16cid:durableId="106971946">
    <w:abstractNumId w:val="43"/>
  </w:num>
  <w:num w:numId="414" w16cid:durableId="1521774665">
    <w:abstractNumId w:val="43"/>
  </w:num>
  <w:num w:numId="415" w16cid:durableId="426848350">
    <w:abstractNumId w:val="43"/>
  </w:num>
  <w:num w:numId="416" w16cid:durableId="1646156358">
    <w:abstractNumId w:val="43"/>
  </w:num>
  <w:num w:numId="417" w16cid:durableId="1769933415">
    <w:abstractNumId w:val="43"/>
  </w:num>
  <w:num w:numId="418" w16cid:durableId="1389257811">
    <w:abstractNumId w:val="43"/>
  </w:num>
  <w:num w:numId="419" w16cid:durableId="1497185995">
    <w:abstractNumId w:val="43"/>
  </w:num>
  <w:num w:numId="420" w16cid:durableId="328405069">
    <w:abstractNumId w:val="43"/>
  </w:num>
  <w:num w:numId="421" w16cid:durableId="1947928804">
    <w:abstractNumId w:val="43"/>
  </w:num>
  <w:num w:numId="422" w16cid:durableId="1042560154">
    <w:abstractNumId w:val="43"/>
  </w:num>
  <w:num w:numId="423" w16cid:durableId="723260294">
    <w:abstractNumId w:val="43"/>
  </w:num>
  <w:num w:numId="424" w16cid:durableId="959796364">
    <w:abstractNumId w:val="43"/>
  </w:num>
  <w:num w:numId="425" w16cid:durableId="732773293">
    <w:abstractNumId w:val="43"/>
  </w:num>
  <w:num w:numId="426" w16cid:durableId="338895786">
    <w:abstractNumId w:val="43"/>
  </w:num>
  <w:num w:numId="427" w16cid:durableId="1407193428">
    <w:abstractNumId w:val="43"/>
  </w:num>
  <w:num w:numId="428" w16cid:durableId="541551305">
    <w:abstractNumId w:val="43"/>
  </w:num>
  <w:num w:numId="429" w16cid:durableId="922763049">
    <w:abstractNumId w:val="43"/>
    <w:lvlOverride w:ilvl="0">
      <w:startOverride w:val="1"/>
    </w:lvlOverride>
  </w:num>
  <w:num w:numId="430" w16cid:durableId="133370665">
    <w:abstractNumId w:val="43"/>
  </w:num>
  <w:num w:numId="431" w16cid:durableId="280965016">
    <w:abstractNumId w:val="43"/>
  </w:num>
  <w:num w:numId="432" w16cid:durableId="328142156">
    <w:abstractNumId w:val="43"/>
  </w:num>
  <w:num w:numId="433" w16cid:durableId="748649996">
    <w:abstractNumId w:val="43"/>
  </w:num>
  <w:num w:numId="434" w16cid:durableId="1339431068">
    <w:abstractNumId w:val="43"/>
  </w:num>
  <w:num w:numId="435" w16cid:durableId="1772045057">
    <w:abstractNumId w:val="43"/>
    <w:lvlOverride w:ilvl="0">
      <w:startOverride w:val="1"/>
    </w:lvlOverride>
  </w:num>
  <w:num w:numId="436" w16cid:durableId="486702804">
    <w:abstractNumId w:val="43"/>
  </w:num>
  <w:num w:numId="437" w16cid:durableId="300187484">
    <w:abstractNumId w:val="43"/>
  </w:num>
  <w:num w:numId="438" w16cid:durableId="1730303790">
    <w:abstractNumId w:val="43"/>
  </w:num>
  <w:num w:numId="439" w16cid:durableId="970481340">
    <w:abstractNumId w:val="43"/>
  </w:num>
  <w:num w:numId="440" w16cid:durableId="2126658698">
    <w:abstractNumId w:val="43"/>
  </w:num>
  <w:num w:numId="441" w16cid:durableId="389575072">
    <w:abstractNumId w:val="43"/>
  </w:num>
  <w:num w:numId="442" w16cid:durableId="212272543">
    <w:abstractNumId w:val="43"/>
  </w:num>
  <w:num w:numId="443" w16cid:durableId="938951420">
    <w:abstractNumId w:val="43"/>
  </w:num>
  <w:num w:numId="444" w16cid:durableId="2018268049">
    <w:abstractNumId w:val="43"/>
  </w:num>
  <w:num w:numId="445" w16cid:durableId="441220227">
    <w:abstractNumId w:val="43"/>
  </w:num>
  <w:num w:numId="446" w16cid:durableId="1855269902">
    <w:abstractNumId w:val="43"/>
  </w:num>
  <w:num w:numId="447" w16cid:durableId="1942374933">
    <w:abstractNumId w:val="43"/>
  </w:num>
  <w:num w:numId="448" w16cid:durableId="1697461191">
    <w:abstractNumId w:val="43"/>
  </w:num>
  <w:num w:numId="449" w16cid:durableId="691759534">
    <w:abstractNumId w:val="43"/>
  </w:num>
  <w:num w:numId="450" w16cid:durableId="407269895">
    <w:abstractNumId w:val="43"/>
  </w:num>
  <w:num w:numId="451" w16cid:durableId="684096438">
    <w:abstractNumId w:val="43"/>
  </w:num>
  <w:num w:numId="452" w16cid:durableId="260380000">
    <w:abstractNumId w:val="43"/>
  </w:num>
  <w:num w:numId="453" w16cid:durableId="1408188419">
    <w:abstractNumId w:val="43"/>
  </w:num>
  <w:num w:numId="454" w16cid:durableId="982581517">
    <w:abstractNumId w:val="43"/>
  </w:num>
  <w:num w:numId="455" w16cid:durableId="1168784950">
    <w:abstractNumId w:val="43"/>
  </w:num>
  <w:num w:numId="456" w16cid:durableId="328338750">
    <w:abstractNumId w:val="43"/>
  </w:num>
  <w:num w:numId="457" w16cid:durableId="97987727">
    <w:abstractNumId w:val="43"/>
  </w:num>
  <w:num w:numId="458" w16cid:durableId="737751537">
    <w:abstractNumId w:val="43"/>
  </w:num>
  <w:num w:numId="459" w16cid:durableId="629018174">
    <w:abstractNumId w:val="43"/>
  </w:num>
  <w:num w:numId="460" w16cid:durableId="1247112007">
    <w:abstractNumId w:val="43"/>
  </w:num>
  <w:num w:numId="461" w16cid:durableId="491257883">
    <w:abstractNumId w:val="43"/>
  </w:num>
  <w:num w:numId="462" w16cid:durableId="270742571">
    <w:abstractNumId w:val="43"/>
  </w:num>
  <w:num w:numId="463" w16cid:durableId="630405891">
    <w:abstractNumId w:val="43"/>
  </w:num>
  <w:num w:numId="464" w16cid:durableId="1961834288">
    <w:abstractNumId w:val="43"/>
  </w:num>
  <w:num w:numId="465" w16cid:durableId="1028531601">
    <w:abstractNumId w:val="43"/>
  </w:num>
  <w:num w:numId="466" w16cid:durableId="871461421">
    <w:abstractNumId w:val="43"/>
  </w:num>
  <w:num w:numId="467" w16cid:durableId="2079086291">
    <w:abstractNumId w:val="43"/>
  </w:num>
  <w:num w:numId="468" w16cid:durableId="559172176">
    <w:abstractNumId w:val="43"/>
  </w:num>
  <w:num w:numId="469" w16cid:durableId="1293752927">
    <w:abstractNumId w:val="43"/>
  </w:num>
  <w:num w:numId="470" w16cid:durableId="1867719124">
    <w:abstractNumId w:val="43"/>
  </w:num>
  <w:num w:numId="471" w16cid:durableId="909120251">
    <w:abstractNumId w:val="43"/>
  </w:num>
  <w:num w:numId="472" w16cid:durableId="1805459952">
    <w:abstractNumId w:val="43"/>
  </w:num>
  <w:num w:numId="473" w16cid:durableId="445732407">
    <w:abstractNumId w:val="43"/>
  </w:num>
  <w:num w:numId="474" w16cid:durableId="658001533">
    <w:abstractNumId w:val="43"/>
  </w:num>
  <w:num w:numId="475" w16cid:durableId="1225532761">
    <w:abstractNumId w:val="43"/>
  </w:num>
  <w:num w:numId="476" w16cid:durableId="1777671653">
    <w:abstractNumId w:val="43"/>
  </w:num>
  <w:num w:numId="477" w16cid:durableId="1519093">
    <w:abstractNumId w:val="43"/>
  </w:num>
  <w:num w:numId="478" w16cid:durableId="1163089130">
    <w:abstractNumId w:val="43"/>
  </w:num>
  <w:num w:numId="479" w16cid:durableId="250236835">
    <w:abstractNumId w:val="43"/>
  </w:num>
  <w:num w:numId="480" w16cid:durableId="1316447884">
    <w:abstractNumId w:val="43"/>
  </w:num>
  <w:num w:numId="481" w16cid:durableId="627784600">
    <w:abstractNumId w:val="43"/>
  </w:num>
  <w:num w:numId="482" w16cid:durableId="1427926469">
    <w:abstractNumId w:val="43"/>
    <w:lvlOverride w:ilvl="0">
      <w:startOverride w:val="1"/>
    </w:lvlOverride>
  </w:num>
  <w:num w:numId="483" w16cid:durableId="2137675105">
    <w:abstractNumId w:val="43"/>
  </w:num>
  <w:num w:numId="484" w16cid:durableId="330790672">
    <w:abstractNumId w:val="43"/>
  </w:num>
  <w:num w:numId="485" w16cid:durableId="2032411678">
    <w:abstractNumId w:val="43"/>
  </w:num>
  <w:num w:numId="486" w16cid:durableId="465898694">
    <w:abstractNumId w:val="43"/>
  </w:num>
  <w:num w:numId="487" w16cid:durableId="1814784899">
    <w:abstractNumId w:val="43"/>
  </w:num>
  <w:num w:numId="488" w16cid:durableId="687489909">
    <w:abstractNumId w:val="43"/>
  </w:num>
  <w:num w:numId="489" w16cid:durableId="490560835">
    <w:abstractNumId w:val="43"/>
  </w:num>
  <w:num w:numId="490" w16cid:durableId="1423988442">
    <w:abstractNumId w:val="43"/>
  </w:num>
  <w:num w:numId="491" w16cid:durableId="2135367014">
    <w:abstractNumId w:val="43"/>
  </w:num>
  <w:num w:numId="492" w16cid:durableId="256207340">
    <w:abstractNumId w:val="43"/>
  </w:num>
  <w:num w:numId="493" w16cid:durableId="971248559">
    <w:abstractNumId w:val="43"/>
  </w:num>
  <w:num w:numId="494" w16cid:durableId="797184188">
    <w:abstractNumId w:val="43"/>
  </w:num>
  <w:num w:numId="495" w16cid:durableId="282615779">
    <w:abstractNumId w:val="43"/>
  </w:num>
  <w:num w:numId="496" w16cid:durableId="92366872">
    <w:abstractNumId w:val="43"/>
  </w:num>
  <w:num w:numId="497" w16cid:durableId="1169709812">
    <w:abstractNumId w:val="43"/>
  </w:num>
  <w:num w:numId="498" w16cid:durableId="1730953823">
    <w:abstractNumId w:val="43"/>
  </w:num>
  <w:num w:numId="499" w16cid:durableId="17854606">
    <w:abstractNumId w:val="43"/>
  </w:num>
  <w:num w:numId="500" w16cid:durableId="1736851187">
    <w:abstractNumId w:val="43"/>
  </w:num>
  <w:num w:numId="501" w16cid:durableId="2000772205">
    <w:abstractNumId w:val="43"/>
  </w:num>
  <w:num w:numId="502" w16cid:durableId="1679191487">
    <w:abstractNumId w:val="43"/>
  </w:num>
  <w:num w:numId="503" w16cid:durableId="112988125">
    <w:abstractNumId w:val="43"/>
  </w:num>
  <w:num w:numId="504" w16cid:durableId="1864787193">
    <w:abstractNumId w:val="43"/>
  </w:num>
  <w:num w:numId="505" w16cid:durableId="847984798">
    <w:abstractNumId w:val="43"/>
  </w:num>
  <w:num w:numId="506" w16cid:durableId="1319962677">
    <w:abstractNumId w:val="43"/>
  </w:num>
  <w:num w:numId="507" w16cid:durableId="725418344">
    <w:abstractNumId w:val="43"/>
  </w:num>
  <w:num w:numId="508" w16cid:durableId="1547335395">
    <w:abstractNumId w:val="43"/>
  </w:num>
  <w:num w:numId="509" w16cid:durableId="1087069074">
    <w:abstractNumId w:val="43"/>
  </w:num>
  <w:num w:numId="510" w16cid:durableId="2060548686">
    <w:abstractNumId w:val="43"/>
  </w:num>
  <w:num w:numId="511" w16cid:durableId="1866751526">
    <w:abstractNumId w:val="43"/>
  </w:num>
  <w:num w:numId="512" w16cid:durableId="191110085">
    <w:abstractNumId w:val="43"/>
  </w:num>
  <w:num w:numId="513" w16cid:durableId="1245602248">
    <w:abstractNumId w:val="43"/>
  </w:num>
  <w:num w:numId="514" w16cid:durableId="944921047">
    <w:abstractNumId w:val="43"/>
  </w:num>
  <w:num w:numId="515" w16cid:durableId="1431318016">
    <w:abstractNumId w:val="43"/>
  </w:num>
  <w:num w:numId="516" w16cid:durableId="1040713725">
    <w:abstractNumId w:val="43"/>
  </w:num>
  <w:num w:numId="517" w16cid:durableId="1628242431">
    <w:abstractNumId w:val="43"/>
  </w:num>
  <w:num w:numId="518" w16cid:durableId="932322566">
    <w:abstractNumId w:val="43"/>
  </w:num>
  <w:num w:numId="519" w16cid:durableId="1434976376">
    <w:abstractNumId w:val="43"/>
  </w:num>
  <w:num w:numId="520" w16cid:durableId="1217624043">
    <w:abstractNumId w:val="43"/>
  </w:num>
  <w:num w:numId="521" w16cid:durableId="1396664724">
    <w:abstractNumId w:val="43"/>
  </w:num>
  <w:num w:numId="522" w16cid:durableId="2064481466">
    <w:abstractNumId w:val="43"/>
  </w:num>
  <w:num w:numId="523" w16cid:durableId="266619889">
    <w:abstractNumId w:val="43"/>
  </w:num>
  <w:num w:numId="524" w16cid:durableId="1915504765">
    <w:abstractNumId w:val="43"/>
  </w:num>
  <w:num w:numId="525" w16cid:durableId="2119984718">
    <w:abstractNumId w:val="43"/>
  </w:num>
  <w:num w:numId="526" w16cid:durableId="522747520">
    <w:abstractNumId w:val="43"/>
  </w:num>
  <w:num w:numId="527" w16cid:durableId="296033137">
    <w:abstractNumId w:val="43"/>
  </w:num>
  <w:num w:numId="528" w16cid:durableId="276987400">
    <w:abstractNumId w:val="43"/>
  </w:num>
  <w:num w:numId="529" w16cid:durableId="1950887367">
    <w:abstractNumId w:val="43"/>
  </w:num>
  <w:num w:numId="530" w16cid:durableId="24209517">
    <w:abstractNumId w:val="43"/>
  </w:num>
  <w:num w:numId="531" w16cid:durableId="1229076547">
    <w:abstractNumId w:val="43"/>
  </w:num>
  <w:num w:numId="532" w16cid:durableId="1954314842">
    <w:abstractNumId w:val="43"/>
  </w:num>
  <w:num w:numId="533" w16cid:durableId="1605727852">
    <w:abstractNumId w:val="43"/>
  </w:num>
  <w:num w:numId="534" w16cid:durableId="1322008166">
    <w:abstractNumId w:val="43"/>
  </w:num>
  <w:num w:numId="535" w16cid:durableId="3748581">
    <w:abstractNumId w:val="43"/>
  </w:num>
  <w:num w:numId="536" w16cid:durableId="942300713">
    <w:abstractNumId w:val="43"/>
  </w:num>
  <w:num w:numId="537" w16cid:durableId="1961757905">
    <w:abstractNumId w:val="43"/>
  </w:num>
  <w:num w:numId="538" w16cid:durableId="599920754">
    <w:abstractNumId w:val="43"/>
  </w:num>
  <w:num w:numId="539" w16cid:durableId="77483260">
    <w:abstractNumId w:val="43"/>
  </w:num>
  <w:num w:numId="540" w16cid:durableId="1968200758">
    <w:abstractNumId w:val="43"/>
  </w:num>
  <w:num w:numId="541" w16cid:durableId="317929699">
    <w:abstractNumId w:val="43"/>
  </w:num>
  <w:num w:numId="542" w16cid:durableId="27224671">
    <w:abstractNumId w:val="43"/>
  </w:num>
  <w:num w:numId="543" w16cid:durableId="5518660">
    <w:abstractNumId w:val="43"/>
  </w:num>
  <w:num w:numId="544" w16cid:durableId="1884753745">
    <w:abstractNumId w:val="43"/>
  </w:num>
  <w:num w:numId="545" w16cid:durableId="2090689517">
    <w:abstractNumId w:val="43"/>
  </w:num>
  <w:num w:numId="546" w16cid:durableId="1420171865">
    <w:abstractNumId w:val="43"/>
  </w:num>
  <w:num w:numId="547" w16cid:durableId="1002010213">
    <w:abstractNumId w:val="43"/>
  </w:num>
  <w:num w:numId="548" w16cid:durableId="396631191">
    <w:abstractNumId w:val="43"/>
  </w:num>
  <w:num w:numId="549" w16cid:durableId="241989637">
    <w:abstractNumId w:val="43"/>
  </w:num>
  <w:num w:numId="550" w16cid:durableId="642583203">
    <w:abstractNumId w:val="43"/>
  </w:num>
  <w:num w:numId="551" w16cid:durableId="1235511932">
    <w:abstractNumId w:val="43"/>
  </w:num>
  <w:num w:numId="552" w16cid:durableId="1161314929">
    <w:abstractNumId w:val="43"/>
  </w:num>
  <w:num w:numId="553" w16cid:durableId="1228766708">
    <w:abstractNumId w:val="43"/>
  </w:num>
  <w:num w:numId="554" w16cid:durableId="160585823">
    <w:abstractNumId w:val="43"/>
  </w:num>
  <w:num w:numId="555" w16cid:durableId="1207110529">
    <w:abstractNumId w:val="43"/>
  </w:num>
  <w:num w:numId="556" w16cid:durableId="1424959282">
    <w:abstractNumId w:val="43"/>
  </w:num>
  <w:num w:numId="557" w16cid:durableId="164130383">
    <w:abstractNumId w:val="43"/>
  </w:num>
  <w:num w:numId="558" w16cid:durableId="1175731481">
    <w:abstractNumId w:val="43"/>
  </w:num>
  <w:num w:numId="559" w16cid:durableId="775441577">
    <w:abstractNumId w:val="43"/>
  </w:num>
  <w:num w:numId="560" w16cid:durableId="512498302">
    <w:abstractNumId w:val="43"/>
  </w:num>
  <w:num w:numId="561" w16cid:durableId="1106998959">
    <w:abstractNumId w:val="43"/>
  </w:num>
  <w:num w:numId="562" w16cid:durableId="732434013">
    <w:abstractNumId w:val="43"/>
  </w:num>
  <w:num w:numId="563" w16cid:durableId="72897745">
    <w:abstractNumId w:val="43"/>
  </w:num>
  <w:num w:numId="564" w16cid:durableId="88897342">
    <w:abstractNumId w:val="43"/>
  </w:num>
  <w:num w:numId="565" w16cid:durableId="185560005">
    <w:abstractNumId w:val="43"/>
  </w:num>
  <w:num w:numId="566" w16cid:durableId="58603545">
    <w:abstractNumId w:val="43"/>
  </w:num>
  <w:num w:numId="567" w16cid:durableId="922565826">
    <w:abstractNumId w:val="43"/>
  </w:num>
  <w:num w:numId="568" w16cid:durableId="1596592686">
    <w:abstractNumId w:val="43"/>
  </w:num>
  <w:num w:numId="569" w16cid:durableId="332299776">
    <w:abstractNumId w:val="43"/>
  </w:num>
  <w:num w:numId="570" w16cid:durableId="1943150645">
    <w:abstractNumId w:val="43"/>
  </w:num>
  <w:num w:numId="571" w16cid:durableId="318116887">
    <w:abstractNumId w:val="43"/>
  </w:num>
  <w:num w:numId="572" w16cid:durableId="1244531999">
    <w:abstractNumId w:val="43"/>
  </w:num>
  <w:num w:numId="573" w16cid:durableId="1898780430">
    <w:abstractNumId w:val="43"/>
  </w:num>
  <w:num w:numId="574" w16cid:durableId="1964727197">
    <w:abstractNumId w:val="43"/>
  </w:num>
  <w:num w:numId="575" w16cid:durableId="1454782780">
    <w:abstractNumId w:val="43"/>
  </w:num>
  <w:num w:numId="576" w16cid:durableId="251161252">
    <w:abstractNumId w:val="43"/>
  </w:num>
  <w:num w:numId="577" w16cid:durableId="899710890">
    <w:abstractNumId w:val="43"/>
  </w:num>
  <w:num w:numId="578" w16cid:durableId="1313562458">
    <w:abstractNumId w:val="43"/>
  </w:num>
  <w:num w:numId="579" w16cid:durableId="307903596">
    <w:abstractNumId w:val="43"/>
  </w:num>
  <w:num w:numId="580" w16cid:durableId="1539464199">
    <w:abstractNumId w:val="43"/>
  </w:num>
  <w:num w:numId="581" w16cid:durableId="266353761">
    <w:abstractNumId w:val="43"/>
  </w:num>
  <w:num w:numId="582" w16cid:durableId="806242896">
    <w:abstractNumId w:val="43"/>
  </w:num>
  <w:num w:numId="583" w16cid:durableId="1026099945">
    <w:abstractNumId w:val="43"/>
  </w:num>
  <w:num w:numId="584" w16cid:durableId="355891799">
    <w:abstractNumId w:val="43"/>
  </w:num>
  <w:num w:numId="585" w16cid:durableId="207764023">
    <w:abstractNumId w:val="43"/>
  </w:num>
  <w:num w:numId="586" w16cid:durableId="1310744304">
    <w:abstractNumId w:val="43"/>
  </w:num>
  <w:num w:numId="587" w16cid:durableId="10298909">
    <w:abstractNumId w:val="43"/>
  </w:num>
  <w:num w:numId="588" w16cid:durableId="477110977">
    <w:abstractNumId w:val="43"/>
  </w:num>
  <w:num w:numId="589" w16cid:durableId="643236862">
    <w:abstractNumId w:val="43"/>
  </w:num>
  <w:num w:numId="590" w16cid:durableId="1269116974">
    <w:abstractNumId w:val="43"/>
  </w:num>
  <w:num w:numId="591" w16cid:durableId="1629777131">
    <w:abstractNumId w:val="43"/>
  </w:num>
  <w:num w:numId="592" w16cid:durableId="1314526997">
    <w:abstractNumId w:val="43"/>
  </w:num>
  <w:num w:numId="593" w16cid:durableId="1045984082">
    <w:abstractNumId w:val="43"/>
  </w:num>
  <w:num w:numId="594" w16cid:durableId="1720977914">
    <w:abstractNumId w:val="43"/>
  </w:num>
  <w:num w:numId="595" w16cid:durableId="1768185453">
    <w:abstractNumId w:val="43"/>
  </w:num>
  <w:num w:numId="596" w16cid:durableId="1865090264">
    <w:abstractNumId w:val="43"/>
  </w:num>
  <w:num w:numId="597" w16cid:durableId="99032224">
    <w:abstractNumId w:val="43"/>
  </w:num>
  <w:num w:numId="598" w16cid:durableId="225117469">
    <w:abstractNumId w:val="43"/>
  </w:num>
  <w:num w:numId="599" w16cid:durableId="1350378316">
    <w:abstractNumId w:val="43"/>
  </w:num>
  <w:num w:numId="600" w16cid:durableId="578055403">
    <w:abstractNumId w:val="43"/>
  </w:num>
  <w:num w:numId="601" w16cid:durableId="1916862686">
    <w:abstractNumId w:val="43"/>
  </w:num>
  <w:num w:numId="602" w16cid:durableId="1829903771">
    <w:abstractNumId w:val="43"/>
  </w:num>
  <w:num w:numId="603" w16cid:durableId="2135906586">
    <w:abstractNumId w:val="43"/>
  </w:num>
  <w:num w:numId="604" w16cid:durableId="1188251839">
    <w:abstractNumId w:val="43"/>
  </w:num>
  <w:num w:numId="605" w16cid:durableId="2021735337">
    <w:abstractNumId w:val="43"/>
  </w:num>
  <w:num w:numId="606" w16cid:durableId="1946188343">
    <w:abstractNumId w:val="43"/>
  </w:num>
  <w:num w:numId="607" w16cid:durableId="1083919045">
    <w:abstractNumId w:val="43"/>
  </w:num>
  <w:num w:numId="608" w16cid:durableId="376470923">
    <w:abstractNumId w:val="43"/>
  </w:num>
  <w:num w:numId="609" w16cid:durableId="448016406">
    <w:abstractNumId w:val="43"/>
  </w:num>
  <w:num w:numId="610" w16cid:durableId="923300587">
    <w:abstractNumId w:val="43"/>
  </w:num>
  <w:num w:numId="611" w16cid:durableId="347098836">
    <w:abstractNumId w:val="43"/>
  </w:num>
  <w:num w:numId="612" w16cid:durableId="1354959687">
    <w:abstractNumId w:val="43"/>
  </w:num>
  <w:num w:numId="613" w16cid:durableId="2086682742">
    <w:abstractNumId w:val="43"/>
  </w:num>
  <w:num w:numId="614" w16cid:durableId="1135029695">
    <w:abstractNumId w:val="43"/>
  </w:num>
  <w:num w:numId="615" w16cid:durableId="962006627">
    <w:abstractNumId w:val="43"/>
  </w:num>
  <w:num w:numId="616" w16cid:durableId="1264143103">
    <w:abstractNumId w:val="43"/>
  </w:num>
  <w:num w:numId="617" w16cid:durableId="1417483715">
    <w:abstractNumId w:val="43"/>
  </w:num>
  <w:num w:numId="618" w16cid:durableId="1923682512">
    <w:abstractNumId w:val="43"/>
  </w:num>
  <w:num w:numId="619" w16cid:durableId="437531243">
    <w:abstractNumId w:val="43"/>
  </w:num>
  <w:num w:numId="620" w16cid:durableId="968434116">
    <w:abstractNumId w:val="43"/>
  </w:num>
  <w:num w:numId="621" w16cid:durableId="988053418">
    <w:abstractNumId w:val="43"/>
  </w:num>
  <w:num w:numId="622" w16cid:durableId="1655917368">
    <w:abstractNumId w:val="43"/>
  </w:num>
  <w:num w:numId="623" w16cid:durableId="1130367024">
    <w:abstractNumId w:val="43"/>
  </w:num>
  <w:num w:numId="624" w16cid:durableId="2080397629">
    <w:abstractNumId w:val="43"/>
  </w:num>
  <w:num w:numId="625" w16cid:durableId="1194223853">
    <w:abstractNumId w:val="43"/>
  </w:num>
  <w:num w:numId="626" w16cid:durableId="1311442877">
    <w:abstractNumId w:val="43"/>
  </w:num>
  <w:num w:numId="627" w16cid:durableId="1698236174">
    <w:abstractNumId w:val="43"/>
  </w:num>
  <w:num w:numId="628" w16cid:durableId="1810435472">
    <w:abstractNumId w:val="43"/>
  </w:num>
  <w:num w:numId="629" w16cid:durableId="312874013">
    <w:abstractNumId w:val="43"/>
  </w:num>
  <w:num w:numId="630" w16cid:durableId="1251162329">
    <w:abstractNumId w:val="43"/>
  </w:num>
  <w:num w:numId="631" w16cid:durableId="1212036705">
    <w:abstractNumId w:val="43"/>
  </w:num>
  <w:num w:numId="632" w16cid:durableId="1132796583">
    <w:abstractNumId w:val="43"/>
  </w:num>
  <w:num w:numId="633" w16cid:durableId="785931134">
    <w:abstractNumId w:val="43"/>
  </w:num>
  <w:num w:numId="634" w16cid:durableId="1905217760">
    <w:abstractNumId w:val="43"/>
  </w:num>
  <w:num w:numId="635" w16cid:durableId="1947150737">
    <w:abstractNumId w:val="43"/>
  </w:num>
  <w:num w:numId="636" w16cid:durableId="356346394">
    <w:abstractNumId w:val="43"/>
  </w:num>
  <w:num w:numId="637" w16cid:durableId="1960406279">
    <w:abstractNumId w:val="43"/>
  </w:num>
  <w:num w:numId="638" w16cid:durableId="2095664077">
    <w:abstractNumId w:val="43"/>
  </w:num>
  <w:num w:numId="639" w16cid:durableId="35467552">
    <w:abstractNumId w:val="43"/>
  </w:num>
  <w:num w:numId="640" w16cid:durableId="1658076485">
    <w:abstractNumId w:val="43"/>
  </w:num>
  <w:num w:numId="641" w16cid:durableId="1979796329">
    <w:abstractNumId w:val="43"/>
  </w:num>
  <w:num w:numId="642" w16cid:durableId="906844057">
    <w:abstractNumId w:val="43"/>
  </w:num>
  <w:num w:numId="643" w16cid:durableId="943725682">
    <w:abstractNumId w:val="43"/>
  </w:num>
  <w:num w:numId="644" w16cid:durableId="1391071532">
    <w:abstractNumId w:val="43"/>
  </w:num>
  <w:num w:numId="645" w16cid:durableId="993333020">
    <w:abstractNumId w:val="43"/>
  </w:num>
  <w:num w:numId="646" w16cid:durableId="1916473242">
    <w:abstractNumId w:val="47"/>
  </w:num>
  <w:num w:numId="647" w16cid:durableId="2046712073">
    <w:abstractNumId w:val="43"/>
  </w:num>
  <w:num w:numId="648" w16cid:durableId="614554524">
    <w:abstractNumId w:val="43"/>
  </w:num>
  <w:num w:numId="649" w16cid:durableId="1539658132">
    <w:abstractNumId w:val="43"/>
  </w:num>
  <w:num w:numId="650" w16cid:durableId="1100301131">
    <w:abstractNumId w:val="43"/>
  </w:num>
  <w:num w:numId="651" w16cid:durableId="1906060254">
    <w:abstractNumId w:val="43"/>
  </w:num>
  <w:num w:numId="652" w16cid:durableId="1359969462">
    <w:abstractNumId w:val="43"/>
  </w:num>
  <w:num w:numId="653" w16cid:durableId="1376927374">
    <w:abstractNumId w:val="43"/>
  </w:num>
  <w:num w:numId="654" w16cid:durableId="1512988359">
    <w:abstractNumId w:val="43"/>
  </w:num>
  <w:num w:numId="655" w16cid:durableId="1307275291">
    <w:abstractNumId w:val="43"/>
  </w:num>
  <w:num w:numId="656" w16cid:durableId="2145386854">
    <w:abstractNumId w:val="43"/>
  </w:num>
  <w:num w:numId="657" w16cid:durableId="1249196112">
    <w:abstractNumId w:val="43"/>
  </w:num>
  <w:num w:numId="658" w16cid:durableId="1404570688">
    <w:abstractNumId w:val="43"/>
  </w:num>
  <w:num w:numId="659" w16cid:durableId="93287663">
    <w:abstractNumId w:val="43"/>
  </w:num>
  <w:num w:numId="660" w16cid:durableId="2119057327">
    <w:abstractNumId w:val="43"/>
  </w:num>
  <w:num w:numId="661" w16cid:durableId="1337534725">
    <w:abstractNumId w:val="43"/>
  </w:num>
  <w:num w:numId="662" w16cid:durableId="815682772">
    <w:abstractNumId w:val="43"/>
  </w:num>
  <w:num w:numId="663" w16cid:durableId="1339238249">
    <w:abstractNumId w:val="43"/>
  </w:num>
  <w:num w:numId="664" w16cid:durableId="932975061">
    <w:abstractNumId w:val="43"/>
  </w:num>
  <w:num w:numId="665" w16cid:durableId="1596591669">
    <w:abstractNumId w:val="43"/>
  </w:num>
  <w:num w:numId="666" w16cid:durableId="1523472950">
    <w:abstractNumId w:val="43"/>
  </w:num>
  <w:num w:numId="667" w16cid:durableId="857279835">
    <w:abstractNumId w:val="43"/>
  </w:num>
  <w:num w:numId="668" w16cid:durableId="12232540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16cid:durableId="1276257276">
    <w:abstractNumId w:val="43"/>
  </w:num>
  <w:num w:numId="670" w16cid:durableId="138446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16cid:durableId="125589864">
    <w:abstractNumId w:val="43"/>
  </w:num>
  <w:num w:numId="672" w16cid:durableId="10050865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16cid:durableId="15526443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16cid:durableId="1780061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16cid:durableId="291520408">
    <w:abstractNumId w:val="43"/>
  </w:num>
  <w:num w:numId="676" w16cid:durableId="358510810">
    <w:abstractNumId w:val="43"/>
  </w:num>
  <w:num w:numId="677" w16cid:durableId="16216470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16cid:durableId="2113744524">
    <w:abstractNumId w:val="43"/>
  </w:num>
  <w:num w:numId="679" w16cid:durableId="8821363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16cid:durableId="2057852026">
    <w:abstractNumId w:val="43"/>
  </w:num>
  <w:num w:numId="681" w16cid:durableId="10820691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16cid:durableId="19214502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16cid:durableId="20110621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16cid:durableId="1852986747">
    <w:abstractNumId w:val="43"/>
  </w:num>
  <w:num w:numId="685" w16cid:durableId="1854612858">
    <w:abstractNumId w:val="43"/>
  </w:num>
  <w:num w:numId="686" w16cid:durableId="1897425352">
    <w:abstractNumId w:val="58"/>
  </w:num>
  <w:num w:numId="687" w16cid:durableId="1422095789">
    <w:abstractNumId w:val="43"/>
  </w:num>
  <w:num w:numId="688" w16cid:durableId="341902291">
    <w:abstractNumId w:val="43"/>
  </w:num>
  <w:num w:numId="689" w16cid:durableId="7471168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16cid:durableId="547451119">
    <w:abstractNumId w:val="43"/>
  </w:num>
  <w:num w:numId="691" w16cid:durableId="70276331">
    <w:abstractNumId w:val="43"/>
  </w:num>
  <w:num w:numId="692" w16cid:durableId="1395591623">
    <w:abstractNumId w:val="43"/>
  </w:num>
  <w:num w:numId="693" w16cid:durableId="119032106">
    <w:abstractNumId w:val="43"/>
  </w:num>
  <w:numIdMacAtCleanup w:val="6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069"/>
    <w:rsid w:val="00000253"/>
    <w:rsid w:val="00000258"/>
    <w:rsid w:val="00000443"/>
    <w:rsid w:val="00000446"/>
    <w:rsid w:val="00001239"/>
    <w:rsid w:val="000014DB"/>
    <w:rsid w:val="000015B4"/>
    <w:rsid w:val="000018B1"/>
    <w:rsid w:val="000018B7"/>
    <w:rsid w:val="00002234"/>
    <w:rsid w:val="000025B5"/>
    <w:rsid w:val="00003798"/>
    <w:rsid w:val="0000392B"/>
    <w:rsid w:val="00003F2B"/>
    <w:rsid w:val="0000484F"/>
    <w:rsid w:val="00004989"/>
    <w:rsid w:val="00004B42"/>
    <w:rsid w:val="000061A3"/>
    <w:rsid w:val="000065B5"/>
    <w:rsid w:val="00006766"/>
    <w:rsid w:val="0000726C"/>
    <w:rsid w:val="00007A8B"/>
    <w:rsid w:val="00007E23"/>
    <w:rsid w:val="00007F07"/>
    <w:rsid w:val="000100A2"/>
    <w:rsid w:val="000100B1"/>
    <w:rsid w:val="000101B2"/>
    <w:rsid w:val="00010466"/>
    <w:rsid w:val="00011C5B"/>
    <w:rsid w:val="00011DFD"/>
    <w:rsid w:val="00011E80"/>
    <w:rsid w:val="000127F2"/>
    <w:rsid w:val="00012A89"/>
    <w:rsid w:val="00012A9A"/>
    <w:rsid w:val="00012F71"/>
    <w:rsid w:val="000135DF"/>
    <w:rsid w:val="000136A2"/>
    <w:rsid w:val="000136B0"/>
    <w:rsid w:val="0001383B"/>
    <w:rsid w:val="00013B57"/>
    <w:rsid w:val="000156B1"/>
    <w:rsid w:val="00015FFB"/>
    <w:rsid w:val="0001649A"/>
    <w:rsid w:val="00016D87"/>
    <w:rsid w:val="000178AE"/>
    <w:rsid w:val="00017B40"/>
    <w:rsid w:val="00017DB2"/>
    <w:rsid w:val="00017E12"/>
    <w:rsid w:val="0002025B"/>
    <w:rsid w:val="00020454"/>
    <w:rsid w:val="0002054B"/>
    <w:rsid w:val="0002055A"/>
    <w:rsid w:val="00020C3A"/>
    <w:rsid w:val="00021165"/>
    <w:rsid w:val="0002171A"/>
    <w:rsid w:val="00021F04"/>
    <w:rsid w:val="00022126"/>
    <w:rsid w:val="000226AB"/>
    <w:rsid w:val="00022AF5"/>
    <w:rsid w:val="00022DC3"/>
    <w:rsid w:val="00023353"/>
    <w:rsid w:val="00023496"/>
    <w:rsid w:val="000239E7"/>
    <w:rsid w:val="00023BA9"/>
    <w:rsid w:val="0002403D"/>
    <w:rsid w:val="0002502B"/>
    <w:rsid w:val="00025238"/>
    <w:rsid w:val="00025612"/>
    <w:rsid w:val="00025663"/>
    <w:rsid w:val="00025F94"/>
    <w:rsid w:val="0002600F"/>
    <w:rsid w:val="00026436"/>
    <w:rsid w:val="000264E7"/>
    <w:rsid w:val="00026D30"/>
    <w:rsid w:val="00026ED6"/>
    <w:rsid w:val="00026ED7"/>
    <w:rsid w:val="00027500"/>
    <w:rsid w:val="00027802"/>
    <w:rsid w:val="0002785F"/>
    <w:rsid w:val="00027C1D"/>
    <w:rsid w:val="00027C63"/>
    <w:rsid w:val="00030026"/>
    <w:rsid w:val="0003014C"/>
    <w:rsid w:val="00030304"/>
    <w:rsid w:val="0003048F"/>
    <w:rsid w:val="00030811"/>
    <w:rsid w:val="000308A3"/>
    <w:rsid w:val="0003094F"/>
    <w:rsid w:val="00031A16"/>
    <w:rsid w:val="00031F75"/>
    <w:rsid w:val="0003260A"/>
    <w:rsid w:val="000327A6"/>
    <w:rsid w:val="00032FCF"/>
    <w:rsid w:val="000331A1"/>
    <w:rsid w:val="0003359D"/>
    <w:rsid w:val="00033AE9"/>
    <w:rsid w:val="00033C0B"/>
    <w:rsid w:val="00033DCD"/>
    <w:rsid w:val="00033DDC"/>
    <w:rsid w:val="0003424A"/>
    <w:rsid w:val="0003466D"/>
    <w:rsid w:val="0003473B"/>
    <w:rsid w:val="00034769"/>
    <w:rsid w:val="00034A2C"/>
    <w:rsid w:val="00034F33"/>
    <w:rsid w:val="000350E6"/>
    <w:rsid w:val="000350FF"/>
    <w:rsid w:val="00035465"/>
    <w:rsid w:val="00035499"/>
    <w:rsid w:val="000355E7"/>
    <w:rsid w:val="000357C5"/>
    <w:rsid w:val="00035E76"/>
    <w:rsid w:val="000363AD"/>
    <w:rsid w:val="000364EB"/>
    <w:rsid w:val="00036A48"/>
    <w:rsid w:val="00036D8D"/>
    <w:rsid w:val="000370A1"/>
    <w:rsid w:val="000370D3"/>
    <w:rsid w:val="000371DA"/>
    <w:rsid w:val="000372DB"/>
    <w:rsid w:val="000379CC"/>
    <w:rsid w:val="00037D92"/>
    <w:rsid w:val="00037DCF"/>
    <w:rsid w:val="000402F9"/>
    <w:rsid w:val="0004047C"/>
    <w:rsid w:val="00040625"/>
    <w:rsid w:val="00040C2C"/>
    <w:rsid w:val="00040E1F"/>
    <w:rsid w:val="00041156"/>
    <w:rsid w:val="00041334"/>
    <w:rsid w:val="00041577"/>
    <w:rsid w:val="000418E0"/>
    <w:rsid w:val="00041968"/>
    <w:rsid w:val="00042163"/>
    <w:rsid w:val="00042A32"/>
    <w:rsid w:val="00042F23"/>
    <w:rsid w:val="000434D4"/>
    <w:rsid w:val="00043E75"/>
    <w:rsid w:val="00044E2A"/>
    <w:rsid w:val="00044F4F"/>
    <w:rsid w:val="0004518F"/>
    <w:rsid w:val="000455D7"/>
    <w:rsid w:val="00045A9A"/>
    <w:rsid w:val="000463BF"/>
    <w:rsid w:val="0004646D"/>
    <w:rsid w:val="000464E2"/>
    <w:rsid w:val="00046568"/>
    <w:rsid w:val="00046759"/>
    <w:rsid w:val="00046A48"/>
    <w:rsid w:val="00046AD2"/>
    <w:rsid w:val="00046BF7"/>
    <w:rsid w:val="000509CF"/>
    <w:rsid w:val="00050C04"/>
    <w:rsid w:val="00050F44"/>
    <w:rsid w:val="0005116C"/>
    <w:rsid w:val="0005187B"/>
    <w:rsid w:val="00051B61"/>
    <w:rsid w:val="00051E73"/>
    <w:rsid w:val="00051F22"/>
    <w:rsid w:val="00052522"/>
    <w:rsid w:val="0005266F"/>
    <w:rsid w:val="000529E5"/>
    <w:rsid w:val="0005301B"/>
    <w:rsid w:val="00053131"/>
    <w:rsid w:val="00053178"/>
    <w:rsid w:val="000538FA"/>
    <w:rsid w:val="00054333"/>
    <w:rsid w:val="000548BD"/>
    <w:rsid w:val="000549D5"/>
    <w:rsid w:val="00054EA5"/>
    <w:rsid w:val="0005515D"/>
    <w:rsid w:val="0005518D"/>
    <w:rsid w:val="00055277"/>
    <w:rsid w:val="0005542C"/>
    <w:rsid w:val="00055729"/>
    <w:rsid w:val="000557D3"/>
    <w:rsid w:val="00056064"/>
    <w:rsid w:val="00056182"/>
    <w:rsid w:val="0005634B"/>
    <w:rsid w:val="000564BD"/>
    <w:rsid w:val="00056524"/>
    <w:rsid w:val="00056C1C"/>
    <w:rsid w:val="0005714E"/>
    <w:rsid w:val="00057A06"/>
    <w:rsid w:val="00057D03"/>
    <w:rsid w:val="00061386"/>
    <w:rsid w:val="00061547"/>
    <w:rsid w:val="00062186"/>
    <w:rsid w:val="00062302"/>
    <w:rsid w:val="00062379"/>
    <w:rsid w:val="00062586"/>
    <w:rsid w:val="0006291C"/>
    <w:rsid w:val="00062F0E"/>
    <w:rsid w:val="00063179"/>
    <w:rsid w:val="000634A6"/>
    <w:rsid w:val="00063692"/>
    <w:rsid w:val="00063E37"/>
    <w:rsid w:val="00063F28"/>
    <w:rsid w:val="000645D4"/>
    <w:rsid w:val="00064C84"/>
    <w:rsid w:val="00064CF6"/>
    <w:rsid w:val="00064F9F"/>
    <w:rsid w:val="00065BA2"/>
    <w:rsid w:val="00066028"/>
    <w:rsid w:val="0006629D"/>
    <w:rsid w:val="000662F5"/>
    <w:rsid w:val="00066329"/>
    <w:rsid w:val="0006694C"/>
    <w:rsid w:val="0006698E"/>
    <w:rsid w:val="000674A0"/>
    <w:rsid w:val="000675EC"/>
    <w:rsid w:val="00067912"/>
    <w:rsid w:val="00067D21"/>
    <w:rsid w:val="00067D32"/>
    <w:rsid w:val="00070208"/>
    <w:rsid w:val="00070364"/>
    <w:rsid w:val="000707DF"/>
    <w:rsid w:val="00070B42"/>
    <w:rsid w:val="000711C8"/>
    <w:rsid w:val="000711FB"/>
    <w:rsid w:val="000712CB"/>
    <w:rsid w:val="00071425"/>
    <w:rsid w:val="00071627"/>
    <w:rsid w:val="00072759"/>
    <w:rsid w:val="00072B4D"/>
    <w:rsid w:val="00072C8B"/>
    <w:rsid w:val="0007310B"/>
    <w:rsid w:val="000739AD"/>
    <w:rsid w:val="00073B1A"/>
    <w:rsid w:val="00073CAF"/>
    <w:rsid w:val="00073F7F"/>
    <w:rsid w:val="000742F4"/>
    <w:rsid w:val="00076121"/>
    <w:rsid w:val="000764E4"/>
    <w:rsid w:val="000769C4"/>
    <w:rsid w:val="000772A3"/>
    <w:rsid w:val="00077852"/>
    <w:rsid w:val="00077924"/>
    <w:rsid w:val="00077B9F"/>
    <w:rsid w:val="00080221"/>
    <w:rsid w:val="00081A09"/>
    <w:rsid w:val="00081DF4"/>
    <w:rsid w:val="00082887"/>
    <w:rsid w:val="00082C2E"/>
    <w:rsid w:val="00083613"/>
    <w:rsid w:val="00083898"/>
    <w:rsid w:val="00084515"/>
    <w:rsid w:val="00084B32"/>
    <w:rsid w:val="000859AA"/>
    <w:rsid w:val="00085B5D"/>
    <w:rsid w:val="00085D9A"/>
    <w:rsid w:val="00085E63"/>
    <w:rsid w:val="00086BD0"/>
    <w:rsid w:val="000871F0"/>
    <w:rsid w:val="000872AE"/>
    <w:rsid w:val="000874CB"/>
    <w:rsid w:val="000879F3"/>
    <w:rsid w:val="00087B11"/>
    <w:rsid w:val="0009091A"/>
    <w:rsid w:val="0009184A"/>
    <w:rsid w:val="00091DBE"/>
    <w:rsid w:val="00092D2B"/>
    <w:rsid w:val="00093646"/>
    <w:rsid w:val="00093AC8"/>
    <w:rsid w:val="00093C42"/>
    <w:rsid w:val="00093F26"/>
    <w:rsid w:val="00094145"/>
    <w:rsid w:val="000945A1"/>
    <w:rsid w:val="000945A5"/>
    <w:rsid w:val="0009477F"/>
    <w:rsid w:val="00094856"/>
    <w:rsid w:val="00094E92"/>
    <w:rsid w:val="00095A07"/>
    <w:rsid w:val="00095C82"/>
    <w:rsid w:val="0009601C"/>
    <w:rsid w:val="000964A3"/>
    <w:rsid w:val="000964D6"/>
    <w:rsid w:val="00096743"/>
    <w:rsid w:val="00096B0F"/>
    <w:rsid w:val="00097008"/>
    <w:rsid w:val="00097052"/>
    <w:rsid w:val="000971A5"/>
    <w:rsid w:val="0009770D"/>
    <w:rsid w:val="000979AC"/>
    <w:rsid w:val="00097A06"/>
    <w:rsid w:val="00097B90"/>
    <w:rsid w:val="00097C3F"/>
    <w:rsid w:val="000A0138"/>
    <w:rsid w:val="000A0155"/>
    <w:rsid w:val="000A025A"/>
    <w:rsid w:val="000A033F"/>
    <w:rsid w:val="000A03A8"/>
    <w:rsid w:val="000A0761"/>
    <w:rsid w:val="000A0C1F"/>
    <w:rsid w:val="000A0FC2"/>
    <w:rsid w:val="000A1285"/>
    <w:rsid w:val="000A16A9"/>
    <w:rsid w:val="000A16F4"/>
    <w:rsid w:val="000A1D7F"/>
    <w:rsid w:val="000A1D85"/>
    <w:rsid w:val="000A2516"/>
    <w:rsid w:val="000A27A8"/>
    <w:rsid w:val="000A310D"/>
    <w:rsid w:val="000A327E"/>
    <w:rsid w:val="000A3616"/>
    <w:rsid w:val="000A3679"/>
    <w:rsid w:val="000A3A36"/>
    <w:rsid w:val="000A4146"/>
    <w:rsid w:val="000A425C"/>
    <w:rsid w:val="000A549C"/>
    <w:rsid w:val="000A5895"/>
    <w:rsid w:val="000A5CAE"/>
    <w:rsid w:val="000A6076"/>
    <w:rsid w:val="000A62D0"/>
    <w:rsid w:val="000A62EE"/>
    <w:rsid w:val="000A6986"/>
    <w:rsid w:val="000A70C5"/>
    <w:rsid w:val="000A7554"/>
    <w:rsid w:val="000A7AF7"/>
    <w:rsid w:val="000A7B7C"/>
    <w:rsid w:val="000B00FB"/>
    <w:rsid w:val="000B07D3"/>
    <w:rsid w:val="000B0D22"/>
    <w:rsid w:val="000B0E01"/>
    <w:rsid w:val="000B16B0"/>
    <w:rsid w:val="000B24AF"/>
    <w:rsid w:val="000B26DB"/>
    <w:rsid w:val="000B2DAF"/>
    <w:rsid w:val="000B327B"/>
    <w:rsid w:val="000B3FC5"/>
    <w:rsid w:val="000B456E"/>
    <w:rsid w:val="000B4804"/>
    <w:rsid w:val="000B4A07"/>
    <w:rsid w:val="000B4EA9"/>
    <w:rsid w:val="000B5491"/>
    <w:rsid w:val="000B5A22"/>
    <w:rsid w:val="000B5F29"/>
    <w:rsid w:val="000B6098"/>
    <w:rsid w:val="000B65F2"/>
    <w:rsid w:val="000B696E"/>
    <w:rsid w:val="000C001D"/>
    <w:rsid w:val="000C0453"/>
    <w:rsid w:val="000C0527"/>
    <w:rsid w:val="000C0769"/>
    <w:rsid w:val="000C084D"/>
    <w:rsid w:val="000C0962"/>
    <w:rsid w:val="000C0DEA"/>
    <w:rsid w:val="000C0F7B"/>
    <w:rsid w:val="000C1C98"/>
    <w:rsid w:val="000C236A"/>
    <w:rsid w:val="000C2984"/>
    <w:rsid w:val="000C3306"/>
    <w:rsid w:val="000C3463"/>
    <w:rsid w:val="000C3CCA"/>
    <w:rsid w:val="000C44ED"/>
    <w:rsid w:val="000C4F1F"/>
    <w:rsid w:val="000C5CA2"/>
    <w:rsid w:val="000C6076"/>
    <w:rsid w:val="000C61AC"/>
    <w:rsid w:val="000C65AD"/>
    <w:rsid w:val="000C65C3"/>
    <w:rsid w:val="000C674F"/>
    <w:rsid w:val="000C6995"/>
    <w:rsid w:val="000C69A4"/>
    <w:rsid w:val="000C6AD2"/>
    <w:rsid w:val="000C75FA"/>
    <w:rsid w:val="000C7A74"/>
    <w:rsid w:val="000C7D0D"/>
    <w:rsid w:val="000D01DD"/>
    <w:rsid w:val="000D05E7"/>
    <w:rsid w:val="000D071A"/>
    <w:rsid w:val="000D0788"/>
    <w:rsid w:val="000D07CD"/>
    <w:rsid w:val="000D07E8"/>
    <w:rsid w:val="000D1136"/>
    <w:rsid w:val="000D1368"/>
    <w:rsid w:val="000D157C"/>
    <w:rsid w:val="000D1890"/>
    <w:rsid w:val="000D1AC2"/>
    <w:rsid w:val="000D1DE2"/>
    <w:rsid w:val="000D22BE"/>
    <w:rsid w:val="000D24A8"/>
    <w:rsid w:val="000D24AA"/>
    <w:rsid w:val="000D3200"/>
    <w:rsid w:val="000D332E"/>
    <w:rsid w:val="000D35C6"/>
    <w:rsid w:val="000D3B1C"/>
    <w:rsid w:val="000D4065"/>
    <w:rsid w:val="000D433D"/>
    <w:rsid w:val="000D47D4"/>
    <w:rsid w:val="000D509F"/>
    <w:rsid w:val="000D539C"/>
    <w:rsid w:val="000D5827"/>
    <w:rsid w:val="000D59E9"/>
    <w:rsid w:val="000D5D7C"/>
    <w:rsid w:val="000D63A1"/>
    <w:rsid w:val="000D6B09"/>
    <w:rsid w:val="000D6CA5"/>
    <w:rsid w:val="000E0071"/>
    <w:rsid w:val="000E02B9"/>
    <w:rsid w:val="000E0451"/>
    <w:rsid w:val="000E0947"/>
    <w:rsid w:val="000E0FAB"/>
    <w:rsid w:val="000E19D4"/>
    <w:rsid w:val="000E1A2F"/>
    <w:rsid w:val="000E22CF"/>
    <w:rsid w:val="000E2383"/>
    <w:rsid w:val="000E24C0"/>
    <w:rsid w:val="000E2AE9"/>
    <w:rsid w:val="000E32CE"/>
    <w:rsid w:val="000E3911"/>
    <w:rsid w:val="000E3C98"/>
    <w:rsid w:val="000E41FC"/>
    <w:rsid w:val="000E47FF"/>
    <w:rsid w:val="000E4A26"/>
    <w:rsid w:val="000E4BAA"/>
    <w:rsid w:val="000E4C10"/>
    <w:rsid w:val="000E4CD3"/>
    <w:rsid w:val="000E595A"/>
    <w:rsid w:val="000E5D1A"/>
    <w:rsid w:val="000E5E97"/>
    <w:rsid w:val="000E64FA"/>
    <w:rsid w:val="000E668F"/>
    <w:rsid w:val="000E6C77"/>
    <w:rsid w:val="000E77F0"/>
    <w:rsid w:val="000E7C4F"/>
    <w:rsid w:val="000F0138"/>
    <w:rsid w:val="000F01E5"/>
    <w:rsid w:val="000F1182"/>
    <w:rsid w:val="000F1A79"/>
    <w:rsid w:val="000F21AB"/>
    <w:rsid w:val="000F27CD"/>
    <w:rsid w:val="000F2D7D"/>
    <w:rsid w:val="000F34E4"/>
    <w:rsid w:val="000F38D9"/>
    <w:rsid w:val="000F3AE4"/>
    <w:rsid w:val="000F3FDE"/>
    <w:rsid w:val="000F426A"/>
    <w:rsid w:val="000F4971"/>
    <w:rsid w:val="000F4C7A"/>
    <w:rsid w:val="000F4D5E"/>
    <w:rsid w:val="000F4ED2"/>
    <w:rsid w:val="000F4F1E"/>
    <w:rsid w:val="000F53FB"/>
    <w:rsid w:val="000F5BC6"/>
    <w:rsid w:val="000F5CCB"/>
    <w:rsid w:val="000F5EDF"/>
    <w:rsid w:val="000F633B"/>
    <w:rsid w:val="000F63F5"/>
    <w:rsid w:val="000F6502"/>
    <w:rsid w:val="000F6B43"/>
    <w:rsid w:val="000F6F3C"/>
    <w:rsid w:val="000F7016"/>
    <w:rsid w:val="000F7279"/>
    <w:rsid w:val="000F7726"/>
    <w:rsid w:val="000F7766"/>
    <w:rsid w:val="000F7A68"/>
    <w:rsid w:val="000F7A83"/>
    <w:rsid w:val="00100217"/>
    <w:rsid w:val="00100B4F"/>
    <w:rsid w:val="00100D33"/>
    <w:rsid w:val="001019F7"/>
    <w:rsid w:val="001021BD"/>
    <w:rsid w:val="00102396"/>
    <w:rsid w:val="0010292D"/>
    <w:rsid w:val="00102B36"/>
    <w:rsid w:val="00102CB7"/>
    <w:rsid w:val="00103653"/>
    <w:rsid w:val="001038CD"/>
    <w:rsid w:val="00103965"/>
    <w:rsid w:val="00103A54"/>
    <w:rsid w:val="001041D3"/>
    <w:rsid w:val="001041DF"/>
    <w:rsid w:val="00105536"/>
    <w:rsid w:val="001058A7"/>
    <w:rsid w:val="00106029"/>
    <w:rsid w:val="00106068"/>
    <w:rsid w:val="00106286"/>
    <w:rsid w:val="00107949"/>
    <w:rsid w:val="00110A01"/>
    <w:rsid w:val="0011108A"/>
    <w:rsid w:val="0011151C"/>
    <w:rsid w:val="00111582"/>
    <w:rsid w:val="00111AD6"/>
    <w:rsid w:val="00111BEE"/>
    <w:rsid w:val="001128E8"/>
    <w:rsid w:val="00112C80"/>
    <w:rsid w:val="00112F8A"/>
    <w:rsid w:val="00113327"/>
    <w:rsid w:val="0011333B"/>
    <w:rsid w:val="00113618"/>
    <w:rsid w:val="0011381A"/>
    <w:rsid w:val="001139F1"/>
    <w:rsid w:val="00113F3A"/>
    <w:rsid w:val="00113F40"/>
    <w:rsid w:val="00114B8B"/>
    <w:rsid w:val="00114F87"/>
    <w:rsid w:val="001153DE"/>
    <w:rsid w:val="001153F8"/>
    <w:rsid w:val="001155A4"/>
    <w:rsid w:val="00115AEC"/>
    <w:rsid w:val="00116035"/>
    <w:rsid w:val="00117061"/>
    <w:rsid w:val="001170E1"/>
    <w:rsid w:val="00117890"/>
    <w:rsid w:val="00117CA6"/>
    <w:rsid w:val="00120346"/>
    <w:rsid w:val="001205F2"/>
    <w:rsid w:val="00120D17"/>
    <w:rsid w:val="0012196E"/>
    <w:rsid w:val="001225B1"/>
    <w:rsid w:val="00122965"/>
    <w:rsid w:val="0012299E"/>
    <w:rsid w:val="00122C75"/>
    <w:rsid w:val="00122DC5"/>
    <w:rsid w:val="001231EE"/>
    <w:rsid w:val="00123486"/>
    <w:rsid w:val="001234C2"/>
    <w:rsid w:val="001235C6"/>
    <w:rsid w:val="001238F8"/>
    <w:rsid w:val="00123AC9"/>
    <w:rsid w:val="00123DCA"/>
    <w:rsid w:val="00123E9B"/>
    <w:rsid w:val="001240A5"/>
    <w:rsid w:val="001240B2"/>
    <w:rsid w:val="0012442D"/>
    <w:rsid w:val="00124683"/>
    <w:rsid w:val="00124999"/>
    <w:rsid w:val="00124D3F"/>
    <w:rsid w:val="00124DC7"/>
    <w:rsid w:val="00124E0C"/>
    <w:rsid w:val="0012502A"/>
    <w:rsid w:val="001256B4"/>
    <w:rsid w:val="0012580D"/>
    <w:rsid w:val="00125C98"/>
    <w:rsid w:val="001262C4"/>
    <w:rsid w:val="00127DCA"/>
    <w:rsid w:val="0013004B"/>
    <w:rsid w:val="00130184"/>
    <w:rsid w:val="00130A1F"/>
    <w:rsid w:val="00130C62"/>
    <w:rsid w:val="00131000"/>
    <w:rsid w:val="00131515"/>
    <w:rsid w:val="00131945"/>
    <w:rsid w:val="00132EFB"/>
    <w:rsid w:val="00133A9B"/>
    <w:rsid w:val="001343EA"/>
    <w:rsid w:val="001349F7"/>
    <w:rsid w:val="00134D12"/>
    <w:rsid w:val="001352F9"/>
    <w:rsid w:val="00136164"/>
    <w:rsid w:val="00136C5C"/>
    <w:rsid w:val="00136DB6"/>
    <w:rsid w:val="00137159"/>
    <w:rsid w:val="001374DD"/>
    <w:rsid w:val="0013769F"/>
    <w:rsid w:val="00137CAA"/>
    <w:rsid w:val="00140040"/>
    <w:rsid w:val="00140062"/>
    <w:rsid w:val="00140D07"/>
    <w:rsid w:val="00141265"/>
    <w:rsid w:val="0014137B"/>
    <w:rsid w:val="0014138F"/>
    <w:rsid w:val="0014187E"/>
    <w:rsid w:val="00142470"/>
    <w:rsid w:val="001427BD"/>
    <w:rsid w:val="00142D31"/>
    <w:rsid w:val="00142D42"/>
    <w:rsid w:val="00143160"/>
    <w:rsid w:val="00143422"/>
    <w:rsid w:val="00143A92"/>
    <w:rsid w:val="00143AFC"/>
    <w:rsid w:val="00143BC8"/>
    <w:rsid w:val="00143CDE"/>
    <w:rsid w:val="00144057"/>
    <w:rsid w:val="001442BF"/>
    <w:rsid w:val="001447A8"/>
    <w:rsid w:val="00144841"/>
    <w:rsid w:val="001455CE"/>
    <w:rsid w:val="00145AD2"/>
    <w:rsid w:val="00145C8B"/>
    <w:rsid w:val="00146BFB"/>
    <w:rsid w:val="00146C26"/>
    <w:rsid w:val="00146F8D"/>
    <w:rsid w:val="001473AC"/>
    <w:rsid w:val="0014767A"/>
    <w:rsid w:val="001477E7"/>
    <w:rsid w:val="00147A0C"/>
    <w:rsid w:val="001500B6"/>
    <w:rsid w:val="00150527"/>
    <w:rsid w:val="00150DE2"/>
    <w:rsid w:val="00150EFD"/>
    <w:rsid w:val="001513E6"/>
    <w:rsid w:val="001516CB"/>
    <w:rsid w:val="0015186C"/>
    <w:rsid w:val="00151AE0"/>
    <w:rsid w:val="00151E64"/>
    <w:rsid w:val="00151E75"/>
    <w:rsid w:val="00151F8C"/>
    <w:rsid w:val="0015260C"/>
    <w:rsid w:val="001526B0"/>
    <w:rsid w:val="00152A86"/>
    <w:rsid w:val="00152DD5"/>
    <w:rsid w:val="00152DE7"/>
    <w:rsid w:val="001536CE"/>
    <w:rsid w:val="00153A2A"/>
    <w:rsid w:val="00153A39"/>
    <w:rsid w:val="00153A3E"/>
    <w:rsid w:val="00153CF3"/>
    <w:rsid w:val="00153DBF"/>
    <w:rsid w:val="001544CA"/>
    <w:rsid w:val="00154612"/>
    <w:rsid w:val="001548D1"/>
    <w:rsid w:val="001561C7"/>
    <w:rsid w:val="00156BA5"/>
    <w:rsid w:val="00156FB0"/>
    <w:rsid w:val="001571F8"/>
    <w:rsid w:val="001573EA"/>
    <w:rsid w:val="0015795C"/>
    <w:rsid w:val="00157A6C"/>
    <w:rsid w:val="00157CD8"/>
    <w:rsid w:val="00160865"/>
    <w:rsid w:val="00160FD9"/>
    <w:rsid w:val="00161B01"/>
    <w:rsid w:val="00161B4F"/>
    <w:rsid w:val="00161BD1"/>
    <w:rsid w:val="0016211C"/>
    <w:rsid w:val="00162271"/>
    <w:rsid w:val="00163053"/>
    <w:rsid w:val="001631F8"/>
    <w:rsid w:val="0016341D"/>
    <w:rsid w:val="00163492"/>
    <w:rsid w:val="00163EC0"/>
    <w:rsid w:val="0016426B"/>
    <w:rsid w:val="00165068"/>
    <w:rsid w:val="00165283"/>
    <w:rsid w:val="0016529E"/>
    <w:rsid w:val="0016542C"/>
    <w:rsid w:val="0016578B"/>
    <w:rsid w:val="00165898"/>
    <w:rsid w:val="00166538"/>
    <w:rsid w:val="0016668A"/>
    <w:rsid w:val="001666E0"/>
    <w:rsid w:val="00166C3F"/>
    <w:rsid w:val="00167719"/>
    <w:rsid w:val="0017022A"/>
    <w:rsid w:val="0017047D"/>
    <w:rsid w:val="00170559"/>
    <w:rsid w:val="00170627"/>
    <w:rsid w:val="00170C5D"/>
    <w:rsid w:val="001719D4"/>
    <w:rsid w:val="00171ACD"/>
    <w:rsid w:val="0017223E"/>
    <w:rsid w:val="00172952"/>
    <w:rsid w:val="00172E57"/>
    <w:rsid w:val="00173044"/>
    <w:rsid w:val="00173833"/>
    <w:rsid w:val="00173B37"/>
    <w:rsid w:val="00173C19"/>
    <w:rsid w:val="00173F91"/>
    <w:rsid w:val="00174579"/>
    <w:rsid w:val="00175B84"/>
    <w:rsid w:val="00175DFF"/>
    <w:rsid w:val="0017604A"/>
    <w:rsid w:val="001762BB"/>
    <w:rsid w:val="001765CF"/>
    <w:rsid w:val="00176916"/>
    <w:rsid w:val="00176DDD"/>
    <w:rsid w:val="00176E39"/>
    <w:rsid w:val="001770CC"/>
    <w:rsid w:val="00177F7B"/>
    <w:rsid w:val="001806A9"/>
    <w:rsid w:val="00180779"/>
    <w:rsid w:val="00180CCE"/>
    <w:rsid w:val="00180DEB"/>
    <w:rsid w:val="00180FA6"/>
    <w:rsid w:val="001813E6"/>
    <w:rsid w:val="0018236D"/>
    <w:rsid w:val="00182793"/>
    <w:rsid w:val="00182B75"/>
    <w:rsid w:val="00182BA6"/>
    <w:rsid w:val="00182CA8"/>
    <w:rsid w:val="00182F95"/>
    <w:rsid w:val="001836BF"/>
    <w:rsid w:val="001838A2"/>
    <w:rsid w:val="00183AF4"/>
    <w:rsid w:val="001849AA"/>
    <w:rsid w:val="001854E1"/>
    <w:rsid w:val="00185910"/>
    <w:rsid w:val="001861C8"/>
    <w:rsid w:val="001863D0"/>
    <w:rsid w:val="00186660"/>
    <w:rsid w:val="001867ED"/>
    <w:rsid w:val="001868E6"/>
    <w:rsid w:val="00186C58"/>
    <w:rsid w:val="00187370"/>
    <w:rsid w:val="00187469"/>
    <w:rsid w:val="00187595"/>
    <w:rsid w:val="00190174"/>
    <w:rsid w:val="00190643"/>
    <w:rsid w:val="001907B1"/>
    <w:rsid w:val="00190BE7"/>
    <w:rsid w:val="00190C1B"/>
    <w:rsid w:val="00190C4D"/>
    <w:rsid w:val="00191402"/>
    <w:rsid w:val="00191B9D"/>
    <w:rsid w:val="00191DBC"/>
    <w:rsid w:val="001926D9"/>
    <w:rsid w:val="00192AFE"/>
    <w:rsid w:val="00193437"/>
    <w:rsid w:val="00193621"/>
    <w:rsid w:val="001936ED"/>
    <w:rsid w:val="00193731"/>
    <w:rsid w:val="001939C1"/>
    <w:rsid w:val="0019458B"/>
    <w:rsid w:val="001949FC"/>
    <w:rsid w:val="001950E3"/>
    <w:rsid w:val="001952FE"/>
    <w:rsid w:val="001959D3"/>
    <w:rsid w:val="00195A4D"/>
    <w:rsid w:val="001965FC"/>
    <w:rsid w:val="001966EF"/>
    <w:rsid w:val="00196C90"/>
    <w:rsid w:val="00196DA7"/>
    <w:rsid w:val="00196DE3"/>
    <w:rsid w:val="00196F39"/>
    <w:rsid w:val="00197998"/>
    <w:rsid w:val="00197B21"/>
    <w:rsid w:val="00197E38"/>
    <w:rsid w:val="00197E7B"/>
    <w:rsid w:val="001A0220"/>
    <w:rsid w:val="001A028C"/>
    <w:rsid w:val="001A04E4"/>
    <w:rsid w:val="001A0620"/>
    <w:rsid w:val="001A0A4F"/>
    <w:rsid w:val="001A0ABF"/>
    <w:rsid w:val="001A0E68"/>
    <w:rsid w:val="001A0F09"/>
    <w:rsid w:val="001A11B3"/>
    <w:rsid w:val="001A1310"/>
    <w:rsid w:val="001A1810"/>
    <w:rsid w:val="001A1CDB"/>
    <w:rsid w:val="001A1D27"/>
    <w:rsid w:val="001A21F4"/>
    <w:rsid w:val="001A2FFB"/>
    <w:rsid w:val="001A3317"/>
    <w:rsid w:val="001A35E5"/>
    <w:rsid w:val="001A3D61"/>
    <w:rsid w:val="001A3F3D"/>
    <w:rsid w:val="001A4B26"/>
    <w:rsid w:val="001A5263"/>
    <w:rsid w:val="001A54A6"/>
    <w:rsid w:val="001A5762"/>
    <w:rsid w:val="001A59A6"/>
    <w:rsid w:val="001A5E68"/>
    <w:rsid w:val="001A5EC2"/>
    <w:rsid w:val="001A6147"/>
    <w:rsid w:val="001A633F"/>
    <w:rsid w:val="001A6AFE"/>
    <w:rsid w:val="001A77F0"/>
    <w:rsid w:val="001A7933"/>
    <w:rsid w:val="001B09E1"/>
    <w:rsid w:val="001B155D"/>
    <w:rsid w:val="001B188D"/>
    <w:rsid w:val="001B1D48"/>
    <w:rsid w:val="001B1DC7"/>
    <w:rsid w:val="001B2243"/>
    <w:rsid w:val="001B28DB"/>
    <w:rsid w:val="001B2B82"/>
    <w:rsid w:val="001B2C4B"/>
    <w:rsid w:val="001B2D56"/>
    <w:rsid w:val="001B308B"/>
    <w:rsid w:val="001B35AC"/>
    <w:rsid w:val="001B3953"/>
    <w:rsid w:val="001B4951"/>
    <w:rsid w:val="001B4E49"/>
    <w:rsid w:val="001B4F2B"/>
    <w:rsid w:val="001B55AC"/>
    <w:rsid w:val="001B5861"/>
    <w:rsid w:val="001B59FB"/>
    <w:rsid w:val="001B5C17"/>
    <w:rsid w:val="001B5E50"/>
    <w:rsid w:val="001B6751"/>
    <w:rsid w:val="001B6AAB"/>
    <w:rsid w:val="001B6DC7"/>
    <w:rsid w:val="001B72D7"/>
    <w:rsid w:val="001B7719"/>
    <w:rsid w:val="001B7B5E"/>
    <w:rsid w:val="001C01CC"/>
    <w:rsid w:val="001C028C"/>
    <w:rsid w:val="001C050B"/>
    <w:rsid w:val="001C0666"/>
    <w:rsid w:val="001C0B20"/>
    <w:rsid w:val="001C0CE8"/>
    <w:rsid w:val="001C1181"/>
    <w:rsid w:val="001C1829"/>
    <w:rsid w:val="001C189E"/>
    <w:rsid w:val="001C1990"/>
    <w:rsid w:val="001C1BB5"/>
    <w:rsid w:val="001C1C7B"/>
    <w:rsid w:val="001C203D"/>
    <w:rsid w:val="001C22E3"/>
    <w:rsid w:val="001C272A"/>
    <w:rsid w:val="001C27C5"/>
    <w:rsid w:val="001C2F37"/>
    <w:rsid w:val="001C3156"/>
    <w:rsid w:val="001C3904"/>
    <w:rsid w:val="001C3DDA"/>
    <w:rsid w:val="001C3F36"/>
    <w:rsid w:val="001C406D"/>
    <w:rsid w:val="001C41DC"/>
    <w:rsid w:val="001C4283"/>
    <w:rsid w:val="001C4638"/>
    <w:rsid w:val="001C492B"/>
    <w:rsid w:val="001C4AE6"/>
    <w:rsid w:val="001C4C75"/>
    <w:rsid w:val="001C567E"/>
    <w:rsid w:val="001C5B70"/>
    <w:rsid w:val="001C5C02"/>
    <w:rsid w:val="001C64D1"/>
    <w:rsid w:val="001C6D79"/>
    <w:rsid w:val="001C6E01"/>
    <w:rsid w:val="001C6F6F"/>
    <w:rsid w:val="001C736A"/>
    <w:rsid w:val="001C77D5"/>
    <w:rsid w:val="001C7977"/>
    <w:rsid w:val="001C7B18"/>
    <w:rsid w:val="001C7E28"/>
    <w:rsid w:val="001D1213"/>
    <w:rsid w:val="001D1383"/>
    <w:rsid w:val="001D15EC"/>
    <w:rsid w:val="001D179A"/>
    <w:rsid w:val="001D17DD"/>
    <w:rsid w:val="001D18EC"/>
    <w:rsid w:val="001D1B29"/>
    <w:rsid w:val="001D1D0B"/>
    <w:rsid w:val="001D1E1F"/>
    <w:rsid w:val="001D24AA"/>
    <w:rsid w:val="001D28E7"/>
    <w:rsid w:val="001D2AC8"/>
    <w:rsid w:val="001D45B9"/>
    <w:rsid w:val="001D4F50"/>
    <w:rsid w:val="001D6242"/>
    <w:rsid w:val="001D6761"/>
    <w:rsid w:val="001D6819"/>
    <w:rsid w:val="001D6E6B"/>
    <w:rsid w:val="001D6F94"/>
    <w:rsid w:val="001D6F9D"/>
    <w:rsid w:val="001D7C1E"/>
    <w:rsid w:val="001E0250"/>
    <w:rsid w:val="001E083C"/>
    <w:rsid w:val="001E0EB5"/>
    <w:rsid w:val="001E10F9"/>
    <w:rsid w:val="001E11C3"/>
    <w:rsid w:val="001E1ACF"/>
    <w:rsid w:val="001E21E9"/>
    <w:rsid w:val="001E23E5"/>
    <w:rsid w:val="001E25F6"/>
    <w:rsid w:val="001E27C1"/>
    <w:rsid w:val="001E34A5"/>
    <w:rsid w:val="001E3682"/>
    <w:rsid w:val="001E38B4"/>
    <w:rsid w:val="001E39D6"/>
    <w:rsid w:val="001E3DA1"/>
    <w:rsid w:val="001E3DBD"/>
    <w:rsid w:val="001E4243"/>
    <w:rsid w:val="001E483D"/>
    <w:rsid w:val="001E4BC0"/>
    <w:rsid w:val="001E4F50"/>
    <w:rsid w:val="001E50F2"/>
    <w:rsid w:val="001E5780"/>
    <w:rsid w:val="001E59BB"/>
    <w:rsid w:val="001E5CAF"/>
    <w:rsid w:val="001E66C4"/>
    <w:rsid w:val="001E6C06"/>
    <w:rsid w:val="001E6D9C"/>
    <w:rsid w:val="001E6FE9"/>
    <w:rsid w:val="001E78C8"/>
    <w:rsid w:val="001E7CD5"/>
    <w:rsid w:val="001E7F97"/>
    <w:rsid w:val="001F0E8F"/>
    <w:rsid w:val="001F111B"/>
    <w:rsid w:val="001F1333"/>
    <w:rsid w:val="001F17C8"/>
    <w:rsid w:val="001F285A"/>
    <w:rsid w:val="001F314D"/>
    <w:rsid w:val="001F31A0"/>
    <w:rsid w:val="001F32D0"/>
    <w:rsid w:val="001F36BA"/>
    <w:rsid w:val="001F3CFF"/>
    <w:rsid w:val="001F41CF"/>
    <w:rsid w:val="001F4C0F"/>
    <w:rsid w:val="001F5553"/>
    <w:rsid w:val="001F616D"/>
    <w:rsid w:val="001F69BB"/>
    <w:rsid w:val="001F6C7C"/>
    <w:rsid w:val="001F75D8"/>
    <w:rsid w:val="001F7602"/>
    <w:rsid w:val="001F7FE3"/>
    <w:rsid w:val="00200000"/>
    <w:rsid w:val="002008D7"/>
    <w:rsid w:val="00200B35"/>
    <w:rsid w:val="00200DB8"/>
    <w:rsid w:val="00200E4B"/>
    <w:rsid w:val="00200FEF"/>
    <w:rsid w:val="002013A9"/>
    <w:rsid w:val="0020191C"/>
    <w:rsid w:val="002019A1"/>
    <w:rsid w:val="00201D6B"/>
    <w:rsid w:val="002027D3"/>
    <w:rsid w:val="00202C33"/>
    <w:rsid w:val="002032C8"/>
    <w:rsid w:val="00203517"/>
    <w:rsid w:val="0020374A"/>
    <w:rsid w:val="00203FC9"/>
    <w:rsid w:val="0020444C"/>
    <w:rsid w:val="0020459B"/>
    <w:rsid w:val="002045D1"/>
    <w:rsid w:val="00205419"/>
    <w:rsid w:val="0020579F"/>
    <w:rsid w:val="00205D00"/>
    <w:rsid w:val="00205DEC"/>
    <w:rsid w:val="00205E66"/>
    <w:rsid w:val="0020636E"/>
    <w:rsid w:val="00206787"/>
    <w:rsid w:val="00206B17"/>
    <w:rsid w:val="00206D24"/>
    <w:rsid w:val="00206DFA"/>
    <w:rsid w:val="00206F7F"/>
    <w:rsid w:val="002073A2"/>
    <w:rsid w:val="00207A6A"/>
    <w:rsid w:val="00207C1B"/>
    <w:rsid w:val="00207C5C"/>
    <w:rsid w:val="00207E37"/>
    <w:rsid w:val="002105B8"/>
    <w:rsid w:val="00210A09"/>
    <w:rsid w:val="00210C35"/>
    <w:rsid w:val="0021162F"/>
    <w:rsid w:val="00211910"/>
    <w:rsid w:val="00211E25"/>
    <w:rsid w:val="00212579"/>
    <w:rsid w:val="0021292D"/>
    <w:rsid w:val="00212945"/>
    <w:rsid w:val="00212A68"/>
    <w:rsid w:val="00213B3F"/>
    <w:rsid w:val="00214786"/>
    <w:rsid w:val="002147F6"/>
    <w:rsid w:val="0021489B"/>
    <w:rsid w:val="00214A7E"/>
    <w:rsid w:val="00214DC8"/>
    <w:rsid w:val="00214FF6"/>
    <w:rsid w:val="00215054"/>
    <w:rsid w:val="00215259"/>
    <w:rsid w:val="00215835"/>
    <w:rsid w:val="002163A2"/>
    <w:rsid w:val="00216B31"/>
    <w:rsid w:val="0021708F"/>
    <w:rsid w:val="002175A2"/>
    <w:rsid w:val="00217DBF"/>
    <w:rsid w:val="00220283"/>
    <w:rsid w:val="00221C0B"/>
    <w:rsid w:val="00221CE4"/>
    <w:rsid w:val="00221D67"/>
    <w:rsid w:val="00221D9F"/>
    <w:rsid w:val="00221DF5"/>
    <w:rsid w:val="00221E16"/>
    <w:rsid w:val="00221F0F"/>
    <w:rsid w:val="0022253E"/>
    <w:rsid w:val="00222742"/>
    <w:rsid w:val="00222BAE"/>
    <w:rsid w:val="00222BFE"/>
    <w:rsid w:val="00223515"/>
    <w:rsid w:val="00223BCB"/>
    <w:rsid w:val="00223E22"/>
    <w:rsid w:val="00223E79"/>
    <w:rsid w:val="00224581"/>
    <w:rsid w:val="00224654"/>
    <w:rsid w:val="00224756"/>
    <w:rsid w:val="00224A48"/>
    <w:rsid w:val="00224C08"/>
    <w:rsid w:val="00224FE2"/>
    <w:rsid w:val="0022521A"/>
    <w:rsid w:val="002255C5"/>
    <w:rsid w:val="002255D6"/>
    <w:rsid w:val="002262DC"/>
    <w:rsid w:val="00226582"/>
    <w:rsid w:val="002266E5"/>
    <w:rsid w:val="00226934"/>
    <w:rsid w:val="00226B00"/>
    <w:rsid w:val="00226B53"/>
    <w:rsid w:val="00226B5F"/>
    <w:rsid w:val="00226E1D"/>
    <w:rsid w:val="00227001"/>
    <w:rsid w:val="00227A1D"/>
    <w:rsid w:val="00230589"/>
    <w:rsid w:val="00230F55"/>
    <w:rsid w:val="00231398"/>
    <w:rsid w:val="002313FC"/>
    <w:rsid w:val="00231952"/>
    <w:rsid w:val="00231979"/>
    <w:rsid w:val="00232B8E"/>
    <w:rsid w:val="00232CDE"/>
    <w:rsid w:val="00233381"/>
    <w:rsid w:val="00233457"/>
    <w:rsid w:val="00233594"/>
    <w:rsid w:val="00233A2D"/>
    <w:rsid w:val="00233D0A"/>
    <w:rsid w:val="00233D0B"/>
    <w:rsid w:val="00234082"/>
    <w:rsid w:val="00234557"/>
    <w:rsid w:val="00234C02"/>
    <w:rsid w:val="00234CC0"/>
    <w:rsid w:val="002353D9"/>
    <w:rsid w:val="002355DF"/>
    <w:rsid w:val="0023674D"/>
    <w:rsid w:val="00236F76"/>
    <w:rsid w:val="00237085"/>
    <w:rsid w:val="00237754"/>
    <w:rsid w:val="00237F0B"/>
    <w:rsid w:val="00240063"/>
    <w:rsid w:val="002403CC"/>
    <w:rsid w:val="0024041F"/>
    <w:rsid w:val="002405C0"/>
    <w:rsid w:val="00240A69"/>
    <w:rsid w:val="00240B10"/>
    <w:rsid w:val="002411D0"/>
    <w:rsid w:val="00241247"/>
    <w:rsid w:val="00241E8D"/>
    <w:rsid w:val="00242183"/>
    <w:rsid w:val="0024250E"/>
    <w:rsid w:val="00242B6E"/>
    <w:rsid w:val="00242D3D"/>
    <w:rsid w:val="00243282"/>
    <w:rsid w:val="00243462"/>
    <w:rsid w:val="0024393E"/>
    <w:rsid w:val="00243A5C"/>
    <w:rsid w:val="00243BFD"/>
    <w:rsid w:val="00243C78"/>
    <w:rsid w:val="00243D27"/>
    <w:rsid w:val="0024457C"/>
    <w:rsid w:val="002447D0"/>
    <w:rsid w:val="00244DE4"/>
    <w:rsid w:val="0024522C"/>
    <w:rsid w:val="00245412"/>
    <w:rsid w:val="00246604"/>
    <w:rsid w:val="00246D0C"/>
    <w:rsid w:val="00246E91"/>
    <w:rsid w:val="002479A2"/>
    <w:rsid w:val="002500E9"/>
    <w:rsid w:val="002503AA"/>
    <w:rsid w:val="00251375"/>
    <w:rsid w:val="002515AB"/>
    <w:rsid w:val="00252126"/>
    <w:rsid w:val="002521BE"/>
    <w:rsid w:val="002522E8"/>
    <w:rsid w:val="002524F4"/>
    <w:rsid w:val="002525C2"/>
    <w:rsid w:val="0025278A"/>
    <w:rsid w:val="00252819"/>
    <w:rsid w:val="00252C2A"/>
    <w:rsid w:val="00252C92"/>
    <w:rsid w:val="002531EE"/>
    <w:rsid w:val="002539DD"/>
    <w:rsid w:val="002539EB"/>
    <w:rsid w:val="00253AB8"/>
    <w:rsid w:val="00253BFF"/>
    <w:rsid w:val="00253F8D"/>
    <w:rsid w:val="00254485"/>
    <w:rsid w:val="00254CA3"/>
    <w:rsid w:val="002554D6"/>
    <w:rsid w:val="002555B4"/>
    <w:rsid w:val="002557AC"/>
    <w:rsid w:val="002558AD"/>
    <w:rsid w:val="002558FF"/>
    <w:rsid w:val="00255DB5"/>
    <w:rsid w:val="00256244"/>
    <w:rsid w:val="0025639D"/>
    <w:rsid w:val="002565BD"/>
    <w:rsid w:val="00256A1B"/>
    <w:rsid w:val="0025701F"/>
    <w:rsid w:val="002574A0"/>
    <w:rsid w:val="00257C8F"/>
    <w:rsid w:val="00257E47"/>
    <w:rsid w:val="00260E02"/>
    <w:rsid w:val="0026112A"/>
    <w:rsid w:val="0026115E"/>
    <w:rsid w:val="002614E3"/>
    <w:rsid w:val="00261532"/>
    <w:rsid w:val="0026169D"/>
    <w:rsid w:val="00262238"/>
    <w:rsid w:val="00262580"/>
    <w:rsid w:val="00262978"/>
    <w:rsid w:val="00262DE7"/>
    <w:rsid w:val="002630B3"/>
    <w:rsid w:val="00263271"/>
    <w:rsid w:val="002638A6"/>
    <w:rsid w:val="00263EDC"/>
    <w:rsid w:val="0026428E"/>
    <w:rsid w:val="0026432B"/>
    <w:rsid w:val="0026435A"/>
    <w:rsid w:val="00264515"/>
    <w:rsid w:val="00264D36"/>
    <w:rsid w:val="0026544C"/>
    <w:rsid w:val="002654A9"/>
    <w:rsid w:val="0026582B"/>
    <w:rsid w:val="002671A3"/>
    <w:rsid w:val="002672DF"/>
    <w:rsid w:val="002679F4"/>
    <w:rsid w:val="00267AC2"/>
    <w:rsid w:val="00267FA9"/>
    <w:rsid w:val="00270B33"/>
    <w:rsid w:val="00271322"/>
    <w:rsid w:val="00271C5F"/>
    <w:rsid w:val="002720A2"/>
    <w:rsid w:val="002720FB"/>
    <w:rsid w:val="00273627"/>
    <w:rsid w:val="0027390C"/>
    <w:rsid w:val="00273BF8"/>
    <w:rsid w:val="00274AAB"/>
    <w:rsid w:val="00274C5F"/>
    <w:rsid w:val="00274EFB"/>
    <w:rsid w:val="00275218"/>
    <w:rsid w:val="00275601"/>
    <w:rsid w:val="00276130"/>
    <w:rsid w:val="00276F92"/>
    <w:rsid w:val="00276FB7"/>
    <w:rsid w:val="002770CE"/>
    <w:rsid w:val="00277A46"/>
    <w:rsid w:val="00277D2B"/>
    <w:rsid w:val="002807CE"/>
    <w:rsid w:val="00280C55"/>
    <w:rsid w:val="002810D2"/>
    <w:rsid w:val="002820D6"/>
    <w:rsid w:val="00282267"/>
    <w:rsid w:val="002823AB"/>
    <w:rsid w:val="00282E94"/>
    <w:rsid w:val="00282F0C"/>
    <w:rsid w:val="0028353B"/>
    <w:rsid w:val="00283A48"/>
    <w:rsid w:val="00283B0A"/>
    <w:rsid w:val="00284F90"/>
    <w:rsid w:val="002850D0"/>
    <w:rsid w:val="002851FF"/>
    <w:rsid w:val="002852C7"/>
    <w:rsid w:val="002854DB"/>
    <w:rsid w:val="00285796"/>
    <w:rsid w:val="00285A0C"/>
    <w:rsid w:val="00285BEC"/>
    <w:rsid w:val="00285DD2"/>
    <w:rsid w:val="00286088"/>
    <w:rsid w:val="002866C2"/>
    <w:rsid w:val="00286778"/>
    <w:rsid w:val="002867C2"/>
    <w:rsid w:val="002867E0"/>
    <w:rsid w:val="00286B91"/>
    <w:rsid w:val="00287336"/>
    <w:rsid w:val="00287367"/>
    <w:rsid w:val="002874DB"/>
    <w:rsid w:val="0028764C"/>
    <w:rsid w:val="00287904"/>
    <w:rsid w:val="00287D0A"/>
    <w:rsid w:val="00287DD0"/>
    <w:rsid w:val="0029043F"/>
    <w:rsid w:val="00290490"/>
    <w:rsid w:val="00290BF6"/>
    <w:rsid w:val="00290FE3"/>
    <w:rsid w:val="00291428"/>
    <w:rsid w:val="002915FC"/>
    <w:rsid w:val="00291DEE"/>
    <w:rsid w:val="0029261A"/>
    <w:rsid w:val="00292DDA"/>
    <w:rsid w:val="00292E06"/>
    <w:rsid w:val="002931E7"/>
    <w:rsid w:val="00293703"/>
    <w:rsid w:val="00293913"/>
    <w:rsid w:val="002942E9"/>
    <w:rsid w:val="00294363"/>
    <w:rsid w:val="002948FD"/>
    <w:rsid w:val="00294CEB"/>
    <w:rsid w:val="00295060"/>
    <w:rsid w:val="00295076"/>
    <w:rsid w:val="00295103"/>
    <w:rsid w:val="00295A97"/>
    <w:rsid w:val="00295FBF"/>
    <w:rsid w:val="002960A1"/>
    <w:rsid w:val="00296DFA"/>
    <w:rsid w:val="00296EDD"/>
    <w:rsid w:val="00296FB5"/>
    <w:rsid w:val="0029709E"/>
    <w:rsid w:val="002970E4"/>
    <w:rsid w:val="00297276"/>
    <w:rsid w:val="00297805"/>
    <w:rsid w:val="00297A55"/>
    <w:rsid w:val="00297EF5"/>
    <w:rsid w:val="002A0233"/>
    <w:rsid w:val="002A07A9"/>
    <w:rsid w:val="002A265B"/>
    <w:rsid w:val="002A28AB"/>
    <w:rsid w:val="002A2F55"/>
    <w:rsid w:val="002A347A"/>
    <w:rsid w:val="002A3889"/>
    <w:rsid w:val="002A3BB0"/>
    <w:rsid w:val="002A4657"/>
    <w:rsid w:val="002A487C"/>
    <w:rsid w:val="002A4D28"/>
    <w:rsid w:val="002A519D"/>
    <w:rsid w:val="002A55EA"/>
    <w:rsid w:val="002A5732"/>
    <w:rsid w:val="002A57E3"/>
    <w:rsid w:val="002A5969"/>
    <w:rsid w:val="002A5B54"/>
    <w:rsid w:val="002A5BA7"/>
    <w:rsid w:val="002A6155"/>
    <w:rsid w:val="002A68CD"/>
    <w:rsid w:val="002A6A43"/>
    <w:rsid w:val="002A6A9D"/>
    <w:rsid w:val="002A7098"/>
    <w:rsid w:val="002A730A"/>
    <w:rsid w:val="002A771D"/>
    <w:rsid w:val="002A77AC"/>
    <w:rsid w:val="002A790C"/>
    <w:rsid w:val="002A7910"/>
    <w:rsid w:val="002A7B59"/>
    <w:rsid w:val="002B02C1"/>
    <w:rsid w:val="002B0FE6"/>
    <w:rsid w:val="002B1343"/>
    <w:rsid w:val="002B13FA"/>
    <w:rsid w:val="002B18E9"/>
    <w:rsid w:val="002B1AAC"/>
    <w:rsid w:val="002B1E70"/>
    <w:rsid w:val="002B2F2E"/>
    <w:rsid w:val="002B33CF"/>
    <w:rsid w:val="002B3426"/>
    <w:rsid w:val="002B370B"/>
    <w:rsid w:val="002B4078"/>
    <w:rsid w:val="002B457C"/>
    <w:rsid w:val="002B4A01"/>
    <w:rsid w:val="002B4CFE"/>
    <w:rsid w:val="002B4E0A"/>
    <w:rsid w:val="002B50E0"/>
    <w:rsid w:val="002B5487"/>
    <w:rsid w:val="002B5654"/>
    <w:rsid w:val="002B594E"/>
    <w:rsid w:val="002B59A7"/>
    <w:rsid w:val="002B62C1"/>
    <w:rsid w:val="002B6F3A"/>
    <w:rsid w:val="002B71CE"/>
    <w:rsid w:val="002B74D2"/>
    <w:rsid w:val="002B7765"/>
    <w:rsid w:val="002B7971"/>
    <w:rsid w:val="002B7F98"/>
    <w:rsid w:val="002C0356"/>
    <w:rsid w:val="002C08DC"/>
    <w:rsid w:val="002C0F58"/>
    <w:rsid w:val="002C1132"/>
    <w:rsid w:val="002C13D2"/>
    <w:rsid w:val="002C1425"/>
    <w:rsid w:val="002C1650"/>
    <w:rsid w:val="002C1A34"/>
    <w:rsid w:val="002C1A39"/>
    <w:rsid w:val="002C1BB3"/>
    <w:rsid w:val="002C1CFF"/>
    <w:rsid w:val="002C1F98"/>
    <w:rsid w:val="002C1FAE"/>
    <w:rsid w:val="002C21F3"/>
    <w:rsid w:val="002C2307"/>
    <w:rsid w:val="002C24B5"/>
    <w:rsid w:val="002C289E"/>
    <w:rsid w:val="002C3065"/>
    <w:rsid w:val="002C5494"/>
    <w:rsid w:val="002C5656"/>
    <w:rsid w:val="002C5DD2"/>
    <w:rsid w:val="002C61E6"/>
    <w:rsid w:val="002C6708"/>
    <w:rsid w:val="002C697E"/>
    <w:rsid w:val="002C69C4"/>
    <w:rsid w:val="002C6F93"/>
    <w:rsid w:val="002C738C"/>
    <w:rsid w:val="002C754F"/>
    <w:rsid w:val="002D06AE"/>
    <w:rsid w:val="002D06DC"/>
    <w:rsid w:val="002D08B1"/>
    <w:rsid w:val="002D0945"/>
    <w:rsid w:val="002D1471"/>
    <w:rsid w:val="002D14E9"/>
    <w:rsid w:val="002D2389"/>
    <w:rsid w:val="002D2688"/>
    <w:rsid w:val="002D2856"/>
    <w:rsid w:val="002D2DD4"/>
    <w:rsid w:val="002D2E7B"/>
    <w:rsid w:val="002D3200"/>
    <w:rsid w:val="002D32D7"/>
    <w:rsid w:val="002D391A"/>
    <w:rsid w:val="002D428F"/>
    <w:rsid w:val="002D4ACC"/>
    <w:rsid w:val="002D52F3"/>
    <w:rsid w:val="002D62C6"/>
    <w:rsid w:val="002D6594"/>
    <w:rsid w:val="002D6894"/>
    <w:rsid w:val="002D6BE6"/>
    <w:rsid w:val="002D70C3"/>
    <w:rsid w:val="002D7535"/>
    <w:rsid w:val="002D791A"/>
    <w:rsid w:val="002D7969"/>
    <w:rsid w:val="002E0079"/>
    <w:rsid w:val="002E076B"/>
    <w:rsid w:val="002E0FB5"/>
    <w:rsid w:val="002E1016"/>
    <w:rsid w:val="002E105D"/>
    <w:rsid w:val="002E13CF"/>
    <w:rsid w:val="002E16B9"/>
    <w:rsid w:val="002E17DD"/>
    <w:rsid w:val="002E18B7"/>
    <w:rsid w:val="002E1AD3"/>
    <w:rsid w:val="002E2166"/>
    <w:rsid w:val="002E22B9"/>
    <w:rsid w:val="002E25F4"/>
    <w:rsid w:val="002E2664"/>
    <w:rsid w:val="002E2D75"/>
    <w:rsid w:val="002E2ED0"/>
    <w:rsid w:val="002E32C6"/>
    <w:rsid w:val="002E33BE"/>
    <w:rsid w:val="002E3ACD"/>
    <w:rsid w:val="002E4060"/>
    <w:rsid w:val="002E40C7"/>
    <w:rsid w:val="002E43A6"/>
    <w:rsid w:val="002E4513"/>
    <w:rsid w:val="002E464E"/>
    <w:rsid w:val="002E4733"/>
    <w:rsid w:val="002E4805"/>
    <w:rsid w:val="002E4B04"/>
    <w:rsid w:val="002E50AD"/>
    <w:rsid w:val="002E51E4"/>
    <w:rsid w:val="002E53E6"/>
    <w:rsid w:val="002E5569"/>
    <w:rsid w:val="002E6031"/>
    <w:rsid w:val="002E6347"/>
    <w:rsid w:val="002E7277"/>
    <w:rsid w:val="002E7928"/>
    <w:rsid w:val="002E7B48"/>
    <w:rsid w:val="002F008F"/>
    <w:rsid w:val="002F1B73"/>
    <w:rsid w:val="002F28AB"/>
    <w:rsid w:val="002F2974"/>
    <w:rsid w:val="002F2B3C"/>
    <w:rsid w:val="002F383D"/>
    <w:rsid w:val="002F3C2E"/>
    <w:rsid w:val="002F428B"/>
    <w:rsid w:val="002F49E3"/>
    <w:rsid w:val="002F6629"/>
    <w:rsid w:val="002F68A8"/>
    <w:rsid w:val="002F68FD"/>
    <w:rsid w:val="002F6C11"/>
    <w:rsid w:val="002F6F82"/>
    <w:rsid w:val="002F6FAC"/>
    <w:rsid w:val="002F7238"/>
    <w:rsid w:val="002F7348"/>
    <w:rsid w:val="002F74F4"/>
    <w:rsid w:val="002F7C0E"/>
    <w:rsid w:val="002F7C10"/>
    <w:rsid w:val="002F7C1B"/>
    <w:rsid w:val="002F7FF0"/>
    <w:rsid w:val="00300B74"/>
    <w:rsid w:val="00300F40"/>
    <w:rsid w:val="00301AD0"/>
    <w:rsid w:val="00301F4C"/>
    <w:rsid w:val="0030218B"/>
    <w:rsid w:val="003022B5"/>
    <w:rsid w:val="003023C2"/>
    <w:rsid w:val="00302BB4"/>
    <w:rsid w:val="00302DEB"/>
    <w:rsid w:val="00303052"/>
    <w:rsid w:val="003034F9"/>
    <w:rsid w:val="00303527"/>
    <w:rsid w:val="0030361A"/>
    <w:rsid w:val="00303AEB"/>
    <w:rsid w:val="00303B61"/>
    <w:rsid w:val="00303F70"/>
    <w:rsid w:val="00304146"/>
    <w:rsid w:val="00304836"/>
    <w:rsid w:val="00304B91"/>
    <w:rsid w:val="0030536B"/>
    <w:rsid w:val="003054D2"/>
    <w:rsid w:val="0030550B"/>
    <w:rsid w:val="003066FF"/>
    <w:rsid w:val="003070BE"/>
    <w:rsid w:val="003071DA"/>
    <w:rsid w:val="0030722D"/>
    <w:rsid w:val="003079A1"/>
    <w:rsid w:val="00307CE5"/>
    <w:rsid w:val="003100FE"/>
    <w:rsid w:val="00310797"/>
    <w:rsid w:val="00311343"/>
    <w:rsid w:val="0031150B"/>
    <w:rsid w:val="00311761"/>
    <w:rsid w:val="003117F6"/>
    <w:rsid w:val="0031219B"/>
    <w:rsid w:val="003121EA"/>
    <w:rsid w:val="00312475"/>
    <w:rsid w:val="00312F8C"/>
    <w:rsid w:val="0031372E"/>
    <w:rsid w:val="0031416D"/>
    <w:rsid w:val="0031436B"/>
    <w:rsid w:val="00314573"/>
    <w:rsid w:val="0031522E"/>
    <w:rsid w:val="00315541"/>
    <w:rsid w:val="00315891"/>
    <w:rsid w:val="003163D2"/>
    <w:rsid w:val="00316420"/>
    <w:rsid w:val="00316B01"/>
    <w:rsid w:val="00316F43"/>
    <w:rsid w:val="003170EF"/>
    <w:rsid w:val="0031795F"/>
    <w:rsid w:val="00317A38"/>
    <w:rsid w:val="00317C82"/>
    <w:rsid w:val="00317E14"/>
    <w:rsid w:val="003203F6"/>
    <w:rsid w:val="00320729"/>
    <w:rsid w:val="00320B6F"/>
    <w:rsid w:val="00320E70"/>
    <w:rsid w:val="0032120F"/>
    <w:rsid w:val="003218A2"/>
    <w:rsid w:val="00321B99"/>
    <w:rsid w:val="00321F71"/>
    <w:rsid w:val="00322322"/>
    <w:rsid w:val="0032246D"/>
    <w:rsid w:val="003224C3"/>
    <w:rsid w:val="00322FFC"/>
    <w:rsid w:val="003231F9"/>
    <w:rsid w:val="00323554"/>
    <w:rsid w:val="00323ACA"/>
    <w:rsid w:val="00323C8B"/>
    <w:rsid w:val="0032459B"/>
    <w:rsid w:val="00324932"/>
    <w:rsid w:val="00324EA6"/>
    <w:rsid w:val="00325039"/>
    <w:rsid w:val="00325551"/>
    <w:rsid w:val="0032558D"/>
    <w:rsid w:val="003259B1"/>
    <w:rsid w:val="00325B42"/>
    <w:rsid w:val="00326062"/>
    <w:rsid w:val="00326FC6"/>
    <w:rsid w:val="003272FD"/>
    <w:rsid w:val="00327776"/>
    <w:rsid w:val="003278F1"/>
    <w:rsid w:val="00327C91"/>
    <w:rsid w:val="00330920"/>
    <w:rsid w:val="00330D5F"/>
    <w:rsid w:val="00330DA6"/>
    <w:rsid w:val="00330DB1"/>
    <w:rsid w:val="003319B9"/>
    <w:rsid w:val="00331FAA"/>
    <w:rsid w:val="0033242E"/>
    <w:rsid w:val="0033262C"/>
    <w:rsid w:val="00332749"/>
    <w:rsid w:val="00332C39"/>
    <w:rsid w:val="00332F62"/>
    <w:rsid w:val="003331C9"/>
    <w:rsid w:val="00333FA6"/>
    <w:rsid w:val="00334218"/>
    <w:rsid w:val="003342F8"/>
    <w:rsid w:val="0033443B"/>
    <w:rsid w:val="00334B9C"/>
    <w:rsid w:val="00334C08"/>
    <w:rsid w:val="003352B2"/>
    <w:rsid w:val="0033535A"/>
    <w:rsid w:val="003356E7"/>
    <w:rsid w:val="003357A5"/>
    <w:rsid w:val="00335CD3"/>
    <w:rsid w:val="00335E50"/>
    <w:rsid w:val="0033622E"/>
    <w:rsid w:val="0033669A"/>
    <w:rsid w:val="0033676E"/>
    <w:rsid w:val="0033681D"/>
    <w:rsid w:val="00336950"/>
    <w:rsid w:val="00336D29"/>
    <w:rsid w:val="0033705A"/>
    <w:rsid w:val="003371D5"/>
    <w:rsid w:val="003372BE"/>
    <w:rsid w:val="003375CA"/>
    <w:rsid w:val="00337781"/>
    <w:rsid w:val="00337949"/>
    <w:rsid w:val="00337B41"/>
    <w:rsid w:val="00337C93"/>
    <w:rsid w:val="0034019C"/>
    <w:rsid w:val="00340372"/>
    <w:rsid w:val="00340779"/>
    <w:rsid w:val="00340781"/>
    <w:rsid w:val="00340936"/>
    <w:rsid w:val="00340D5A"/>
    <w:rsid w:val="00340FC2"/>
    <w:rsid w:val="003411EE"/>
    <w:rsid w:val="00341368"/>
    <w:rsid w:val="00341B27"/>
    <w:rsid w:val="00342433"/>
    <w:rsid w:val="00342685"/>
    <w:rsid w:val="00343610"/>
    <w:rsid w:val="00343794"/>
    <w:rsid w:val="003439A2"/>
    <w:rsid w:val="003442BF"/>
    <w:rsid w:val="00344422"/>
    <w:rsid w:val="00344480"/>
    <w:rsid w:val="0034453C"/>
    <w:rsid w:val="00344E03"/>
    <w:rsid w:val="00345457"/>
    <w:rsid w:val="00345629"/>
    <w:rsid w:val="003458A6"/>
    <w:rsid w:val="00345AD7"/>
    <w:rsid w:val="00346199"/>
    <w:rsid w:val="0034642A"/>
    <w:rsid w:val="00347A6F"/>
    <w:rsid w:val="00347D18"/>
    <w:rsid w:val="00347DAD"/>
    <w:rsid w:val="0035018C"/>
    <w:rsid w:val="00350A6E"/>
    <w:rsid w:val="00351660"/>
    <w:rsid w:val="003517A9"/>
    <w:rsid w:val="00351D06"/>
    <w:rsid w:val="00351E4A"/>
    <w:rsid w:val="00352171"/>
    <w:rsid w:val="0035218B"/>
    <w:rsid w:val="00352418"/>
    <w:rsid w:val="003525B6"/>
    <w:rsid w:val="0035261C"/>
    <w:rsid w:val="00352E59"/>
    <w:rsid w:val="00353275"/>
    <w:rsid w:val="003538EA"/>
    <w:rsid w:val="00354626"/>
    <w:rsid w:val="00354685"/>
    <w:rsid w:val="003547A6"/>
    <w:rsid w:val="003547AB"/>
    <w:rsid w:val="00354B34"/>
    <w:rsid w:val="00355015"/>
    <w:rsid w:val="003553B2"/>
    <w:rsid w:val="0035548B"/>
    <w:rsid w:val="003555EA"/>
    <w:rsid w:val="0035684E"/>
    <w:rsid w:val="00356FE3"/>
    <w:rsid w:val="003572E8"/>
    <w:rsid w:val="00357303"/>
    <w:rsid w:val="00357B9A"/>
    <w:rsid w:val="00357BC0"/>
    <w:rsid w:val="00357BE6"/>
    <w:rsid w:val="003603D9"/>
    <w:rsid w:val="00361441"/>
    <w:rsid w:val="003618F7"/>
    <w:rsid w:val="00362095"/>
    <w:rsid w:val="003622BB"/>
    <w:rsid w:val="003622D0"/>
    <w:rsid w:val="003622DC"/>
    <w:rsid w:val="00362B28"/>
    <w:rsid w:val="00362B54"/>
    <w:rsid w:val="00362E96"/>
    <w:rsid w:val="00362FF6"/>
    <w:rsid w:val="00363BF5"/>
    <w:rsid w:val="00363C37"/>
    <w:rsid w:val="0036423A"/>
    <w:rsid w:val="003642BD"/>
    <w:rsid w:val="003642D9"/>
    <w:rsid w:val="0036434A"/>
    <w:rsid w:val="00364D25"/>
    <w:rsid w:val="003655F3"/>
    <w:rsid w:val="0036569C"/>
    <w:rsid w:val="00365848"/>
    <w:rsid w:val="003659FB"/>
    <w:rsid w:val="00365B43"/>
    <w:rsid w:val="00365D58"/>
    <w:rsid w:val="00365D6A"/>
    <w:rsid w:val="0036619B"/>
    <w:rsid w:val="00366A90"/>
    <w:rsid w:val="00366E3B"/>
    <w:rsid w:val="003671E5"/>
    <w:rsid w:val="00367526"/>
    <w:rsid w:val="00367569"/>
    <w:rsid w:val="003677E7"/>
    <w:rsid w:val="00367BC3"/>
    <w:rsid w:val="00367C75"/>
    <w:rsid w:val="0037069F"/>
    <w:rsid w:val="003708CD"/>
    <w:rsid w:val="003709E9"/>
    <w:rsid w:val="00370C61"/>
    <w:rsid w:val="0037162F"/>
    <w:rsid w:val="003716DF"/>
    <w:rsid w:val="00371726"/>
    <w:rsid w:val="0037197A"/>
    <w:rsid w:val="00371E29"/>
    <w:rsid w:val="00371F11"/>
    <w:rsid w:val="00372131"/>
    <w:rsid w:val="003723A0"/>
    <w:rsid w:val="003725CC"/>
    <w:rsid w:val="0037359B"/>
    <w:rsid w:val="00373635"/>
    <w:rsid w:val="003738A3"/>
    <w:rsid w:val="00373ECC"/>
    <w:rsid w:val="003744A3"/>
    <w:rsid w:val="00374B5C"/>
    <w:rsid w:val="00374BA0"/>
    <w:rsid w:val="00374BEF"/>
    <w:rsid w:val="00375DCA"/>
    <w:rsid w:val="00375F4E"/>
    <w:rsid w:val="003760B4"/>
    <w:rsid w:val="0037618B"/>
    <w:rsid w:val="00376442"/>
    <w:rsid w:val="0037678B"/>
    <w:rsid w:val="00376BB7"/>
    <w:rsid w:val="00376CDD"/>
    <w:rsid w:val="00376DBC"/>
    <w:rsid w:val="00377066"/>
    <w:rsid w:val="0037723B"/>
    <w:rsid w:val="00377632"/>
    <w:rsid w:val="00380AB7"/>
    <w:rsid w:val="00380AFE"/>
    <w:rsid w:val="00380EBC"/>
    <w:rsid w:val="00381048"/>
    <w:rsid w:val="003810DA"/>
    <w:rsid w:val="0038111F"/>
    <w:rsid w:val="0038158E"/>
    <w:rsid w:val="00381952"/>
    <w:rsid w:val="00381BFA"/>
    <w:rsid w:val="00381EE0"/>
    <w:rsid w:val="00382232"/>
    <w:rsid w:val="003822CF"/>
    <w:rsid w:val="0038241A"/>
    <w:rsid w:val="00382470"/>
    <w:rsid w:val="0038293D"/>
    <w:rsid w:val="003831D7"/>
    <w:rsid w:val="00383B88"/>
    <w:rsid w:val="0038457A"/>
    <w:rsid w:val="00385585"/>
    <w:rsid w:val="00385D1B"/>
    <w:rsid w:val="003860CA"/>
    <w:rsid w:val="003865B6"/>
    <w:rsid w:val="0038745C"/>
    <w:rsid w:val="00387563"/>
    <w:rsid w:val="0038775D"/>
    <w:rsid w:val="003910D9"/>
    <w:rsid w:val="0039128D"/>
    <w:rsid w:val="00391948"/>
    <w:rsid w:val="00391F88"/>
    <w:rsid w:val="00392271"/>
    <w:rsid w:val="003925A3"/>
    <w:rsid w:val="003929AE"/>
    <w:rsid w:val="003929DB"/>
    <w:rsid w:val="00392A52"/>
    <w:rsid w:val="00393146"/>
    <w:rsid w:val="0039321A"/>
    <w:rsid w:val="0039351C"/>
    <w:rsid w:val="003935A3"/>
    <w:rsid w:val="00393934"/>
    <w:rsid w:val="0039416D"/>
    <w:rsid w:val="00394835"/>
    <w:rsid w:val="00394B33"/>
    <w:rsid w:val="00394D81"/>
    <w:rsid w:val="003951D2"/>
    <w:rsid w:val="0039526F"/>
    <w:rsid w:val="00395490"/>
    <w:rsid w:val="00395B15"/>
    <w:rsid w:val="00395EE0"/>
    <w:rsid w:val="00395F36"/>
    <w:rsid w:val="003967E0"/>
    <w:rsid w:val="0039711C"/>
    <w:rsid w:val="0039718D"/>
    <w:rsid w:val="0039722A"/>
    <w:rsid w:val="00397E66"/>
    <w:rsid w:val="00397EE6"/>
    <w:rsid w:val="00397FAA"/>
    <w:rsid w:val="003A0017"/>
    <w:rsid w:val="003A07F7"/>
    <w:rsid w:val="003A0E36"/>
    <w:rsid w:val="003A18B4"/>
    <w:rsid w:val="003A1CB8"/>
    <w:rsid w:val="003A1D04"/>
    <w:rsid w:val="003A1E2A"/>
    <w:rsid w:val="003A2439"/>
    <w:rsid w:val="003A24BD"/>
    <w:rsid w:val="003A3266"/>
    <w:rsid w:val="003A43A9"/>
    <w:rsid w:val="003A4648"/>
    <w:rsid w:val="003A4764"/>
    <w:rsid w:val="003A48C0"/>
    <w:rsid w:val="003A49C4"/>
    <w:rsid w:val="003A5862"/>
    <w:rsid w:val="003A5927"/>
    <w:rsid w:val="003A59CF"/>
    <w:rsid w:val="003A5D71"/>
    <w:rsid w:val="003A638B"/>
    <w:rsid w:val="003A6AFC"/>
    <w:rsid w:val="003A6FED"/>
    <w:rsid w:val="003A723C"/>
    <w:rsid w:val="003A77DF"/>
    <w:rsid w:val="003A78EE"/>
    <w:rsid w:val="003A7D25"/>
    <w:rsid w:val="003B01FF"/>
    <w:rsid w:val="003B02B1"/>
    <w:rsid w:val="003B0589"/>
    <w:rsid w:val="003B0881"/>
    <w:rsid w:val="003B0AB6"/>
    <w:rsid w:val="003B0B48"/>
    <w:rsid w:val="003B1BD0"/>
    <w:rsid w:val="003B1CF6"/>
    <w:rsid w:val="003B1DCC"/>
    <w:rsid w:val="003B2304"/>
    <w:rsid w:val="003B2B46"/>
    <w:rsid w:val="003B3513"/>
    <w:rsid w:val="003B379F"/>
    <w:rsid w:val="003B383B"/>
    <w:rsid w:val="003B43B1"/>
    <w:rsid w:val="003B446C"/>
    <w:rsid w:val="003B45F4"/>
    <w:rsid w:val="003B4B07"/>
    <w:rsid w:val="003B568C"/>
    <w:rsid w:val="003B61E9"/>
    <w:rsid w:val="003B62C4"/>
    <w:rsid w:val="003B6A8A"/>
    <w:rsid w:val="003B6E4C"/>
    <w:rsid w:val="003B6E64"/>
    <w:rsid w:val="003B740E"/>
    <w:rsid w:val="003B7445"/>
    <w:rsid w:val="003B7C3F"/>
    <w:rsid w:val="003C004C"/>
    <w:rsid w:val="003C0B6E"/>
    <w:rsid w:val="003C0DB6"/>
    <w:rsid w:val="003C0F2A"/>
    <w:rsid w:val="003C13B7"/>
    <w:rsid w:val="003C1B1E"/>
    <w:rsid w:val="003C1E39"/>
    <w:rsid w:val="003C1F63"/>
    <w:rsid w:val="003C23AB"/>
    <w:rsid w:val="003C2B38"/>
    <w:rsid w:val="003C2D82"/>
    <w:rsid w:val="003C3055"/>
    <w:rsid w:val="003C3105"/>
    <w:rsid w:val="003C39DD"/>
    <w:rsid w:val="003C3FE6"/>
    <w:rsid w:val="003C410C"/>
    <w:rsid w:val="003C4616"/>
    <w:rsid w:val="003C486C"/>
    <w:rsid w:val="003C542E"/>
    <w:rsid w:val="003C5AB2"/>
    <w:rsid w:val="003C5BC5"/>
    <w:rsid w:val="003C5DB2"/>
    <w:rsid w:val="003C60FD"/>
    <w:rsid w:val="003C62E7"/>
    <w:rsid w:val="003C6790"/>
    <w:rsid w:val="003C6BCC"/>
    <w:rsid w:val="003C6BD4"/>
    <w:rsid w:val="003C6C41"/>
    <w:rsid w:val="003C6CEC"/>
    <w:rsid w:val="003C73C8"/>
    <w:rsid w:val="003C7797"/>
    <w:rsid w:val="003D0622"/>
    <w:rsid w:val="003D0AFF"/>
    <w:rsid w:val="003D0F3E"/>
    <w:rsid w:val="003D0F4C"/>
    <w:rsid w:val="003D121D"/>
    <w:rsid w:val="003D1A75"/>
    <w:rsid w:val="003D1B56"/>
    <w:rsid w:val="003D2CD9"/>
    <w:rsid w:val="003D3355"/>
    <w:rsid w:val="003D3801"/>
    <w:rsid w:val="003D390B"/>
    <w:rsid w:val="003D3E67"/>
    <w:rsid w:val="003D4170"/>
    <w:rsid w:val="003D428A"/>
    <w:rsid w:val="003D4498"/>
    <w:rsid w:val="003D4E0F"/>
    <w:rsid w:val="003D5004"/>
    <w:rsid w:val="003D51C2"/>
    <w:rsid w:val="003D53DD"/>
    <w:rsid w:val="003D581A"/>
    <w:rsid w:val="003D6371"/>
    <w:rsid w:val="003D64A0"/>
    <w:rsid w:val="003D6810"/>
    <w:rsid w:val="003D6BEE"/>
    <w:rsid w:val="003D70D8"/>
    <w:rsid w:val="003D779C"/>
    <w:rsid w:val="003D7F66"/>
    <w:rsid w:val="003E08F1"/>
    <w:rsid w:val="003E0C44"/>
    <w:rsid w:val="003E0C56"/>
    <w:rsid w:val="003E0FCD"/>
    <w:rsid w:val="003E1078"/>
    <w:rsid w:val="003E1334"/>
    <w:rsid w:val="003E16BB"/>
    <w:rsid w:val="003E1723"/>
    <w:rsid w:val="003E18F5"/>
    <w:rsid w:val="003E22A9"/>
    <w:rsid w:val="003E2305"/>
    <w:rsid w:val="003E2A40"/>
    <w:rsid w:val="003E3491"/>
    <w:rsid w:val="003E3882"/>
    <w:rsid w:val="003E3896"/>
    <w:rsid w:val="003E3B8D"/>
    <w:rsid w:val="003E4FA6"/>
    <w:rsid w:val="003E5038"/>
    <w:rsid w:val="003E522F"/>
    <w:rsid w:val="003E5551"/>
    <w:rsid w:val="003E56B0"/>
    <w:rsid w:val="003E5B83"/>
    <w:rsid w:val="003E5C05"/>
    <w:rsid w:val="003E5E7D"/>
    <w:rsid w:val="003E6032"/>
    <w:rsid w:val="003E60D0"/>
    <w:rsid w:val="003E6399"/>
    <w:rsid w:val="003E69D1"/>
    <w:rsid w:val="003E6AC7"/>
    <w:rsid w:val="003E6D24"/>
    <w:rsid w:val="003E731E"/>
    <w:rsid w:val="003E7590"/>
    <w:rsid w:val="003E7D0D"/>
    <w:rsid w:val="003E7DD3"/>
    <w:rsid w:val="003E7E19"/>
    <w:rsid w:val="003F03E8"/>
    <w:rsid w:val="003F0A0E"/>
    <w:rsid w:val="003F0A16"/>
    <w:rsid w:val="003F0AE6"/>
    <w:rsid w:val="003F11EF"/>
    <w:rsid w:val="003F168A"/>
    <w:rsid w:val="003F1C57"/>
    <w:rsid w:val="003F23F5"/>
    <w:rsid w:val="003F247E"/>
    <w:rsid w:val="003F2B12"/>
    <w:rsid w:val="003F2D68"/>
    <w:rsid w:val="003F2F81"/>
    <w:rsid w:val="003F3250"/>
    <w:rsid w:val="003F3B43"/>
    <w:rsid w:val="003F3BF0"/>
    <w:rsid w:val="003F45AF"/>
    <w:rsid w:val="003F4612"/>
    <w:rsid w:val="003F4B41"/>
    <w:rsid w:val="003F4D92"/>
    <w:rsid w:val="003F5168"/>
    <w:rsid w:val="003F5410"/>
    <w:rsid w:val="003F6368"/>
    <w:rsid w:val="003F6923"/>
    <w:rsid w:val="003F6BF6"/>
    <w:rsid w:val="003F7564"/>
    <w:rsid w:val="003F7DAD"/>
    <w:rsid w:val="003F7F5B"/>
    <w:rsid w:val="0040038A"/>
    <w:rsid w:val="00400CFF"/>
    <w:rsid w:val="00400F6E"/>
    <w:rsid w:val="0040150B"/>
    <w:rsid w:val="00401687"/>
    <w:rsid w:val="00401859"/>
    <w:rsid w:val="0040191C"/>
    <w:rsid w:val="00401C44"/>
    <w:rsid w:val="00401CB3"/>
    <w:rsid w:val="00402AEF"/>
    <w:rsid w:val="00402C67"/>
    <w:rsid w:val="00403672"/>
    <w:rsid w:val="004039FE"/>
    <w:rsid w:val="00403A5E"/>
    <w:rsid w:val="00403D77"/>
    <w:rsid w:val="0040437C"/>
    <w:rsid w:val="00404469"/>
    <w:rsid w:val="004046A2"/>
    <w:rsid w:val="00404C62"/>
    <w:rsid w:val="004059E2"/>
    <w:rsid w:val="00405B74"/>
    <w:rsid w:val="00405D08"/>
    <w:rsid w:val="004069BE"/>
    <w:rsid w:val="00407979"/>
    <w:rsid w:val="00407CC4"/>
    <w:rsid w:val="00407DF0"/>
    <w:rsid w:val="00407E14"/>
    <w:rsid w:val="0041043D"/>
    <w:rsid w:val="0041068B"/>
    <w:rsid w:val="00410AB5"/>
    <w:rsid w:val="00410DB9"/>
    <w:rsid w:val="00410E66"/>
    <w:rsid w:val="00410F9E"/>
    <w:rsid w:val="004119A7"/>
    <w:rsid w:val="00411F69"/>
    <w:rsid w:val="00411F98"/>
    <w:rsid w:val="004126A9"/>
    <w:rsid w:val="00412EE4"/>
    <w:rsid w:val="004137AD"/>
    <w:rsid w:val="00413A22"/>
    <w:rsid w:val="00413B55"/>
    <w:rsid w:val="00413D16"/>
    <w:rsid w:val="00414C83"/>
    <w:rsid w:val="00414CFA"/>
    <w:rsid w:val="00415586"/>
    <w:rsid w:val="004157A2"/>
    <w:rsid w:val="00416011"/>
    <w:rsid w:val="004166E5"/>
    <w:rsid w:val="00416ADC"/>
    <w:rsid w:val="004172FE"/>
    <w:rsid w:val="004173CF"/>
    <w:rsid w:val="00417954"/>
    <w:rsid w:val="00417CD6"/>
    <w:rsid w:val="00417E77"/>
    <w:rsid w:val="004200A6"/>
    <w:rsid w:val="00420342"/>
    <w:rsid w:val="004206BD"/>
    <w:rsid w:val="00420BFD"/>
    <w:rsid w:val="00420F11"/>
    <w:rsid w:val="00420FC8"/>
    <w:rsid w:val="0042109D"/>
    <w:rsid w:val="00421245"/>
    <w:rsid w:val="0042197D"/>
    <w:rsid w:val="00421E31"/>
    <w:rsid w:val="00422081"/>
    <w:rsid w:val="00422188"/>
    <w:rsid w:val="00422500"/>
    <w:rsid w:val="00423BF2"/>
    <w:rsid w:val="00424182"/>
    <w:rsid w:val="00424368"/>
    <w:rsid w:val="0042473B"/>
    <w:rsid w:val="00424AFE"/>
    <w:rsid w:val="00424CCA"/>
    <w:rsid w:val="00425241"/>
    <w:rsid w:val="00425F22"/>
    <w:rsid w:val="004264B8"/>
    <w:rsid w:val="004264FC"/>
    <w:rsid w:val="00426619"/>
    <w:rsid w:val="00426650"/>
    <w:rsid w:val="00427226"/>
    <w:rsid w:val="00427DD5"/>
    <w:rsid w:val="004305BE"/>
    <w:rsid w:val="0043080D"/>
    <w:rsid w:val="00430FCB"/>
    <w:rsid w:val="00431E04"/>
    <w:rsid w:val="004320FA"/>
    <w:rsid w:val="00432323"/>
    <w:rsid w:val="00432BE5"/>
    <w:rsid w:val="00433501"/>
    <w:rsid w:val="00433776"/>
    <w:rsid w:val="00433E1F"/>
    <w:rsid w:val="0043419B"/>
    <w:rsid w:val="004341B1"/>
    <w:rsid w:val="00434207"/>
    <w:rsid w:val="00434606"/>
    <w:rsid w:val="00434736"/>
    <w:rsid w:val="00434C36"/>
    <w:rsid w:val="00435005"/>
    <w:rsid w:val="004354C8"/>
    <w:rsid w:val="00435711"/>
    <w:rsid w:val="00435899"/>
    <w:rsid w:val="00435C4E"/>
    <w:rsid w:val="00435EDC"/>
    <w:rsid w:val="00435EEB"/>
    <w:rsid w:val="00436193"/>
    <w:rsid w:val="0043633B"/>
    <w:rsid w:val="00436F76"/>
    <w:rsid w:val="00437018"/>
    <w:rsid w:val="00437B41"/>
    <w:rsid w:val="00437C09"/>
    <w:rsid w:val="00437EDA"/>
    <w:rsid w:val="00440176"/>
    <w:rsid w:val="004404AE"/>
    <w:rsid w:val="00441B52"/>
    <w:rsid w:val="004424F7"/>
    <w:rsid w:val="00442760"/>
    <w:rsid w:val="00443663"/>
    <w:rsid w:val="00443AAF"/>
    <w:rsid w:val="00443EE8"/>
    <w:rsid w:val="0044407A"/>
    <w:rsid w:val="00444DA1"/>
    <w:rsid w:val="0044509D"/>
    <w:rsid w:val="004451D0"/>
    <w:rsid w:val="004459CC"/>
    <w:rsid w:val="0044646C"/>
    <w:rsid w:val="00446BC2"/>
    <w:rsid w:val="004473BF"/>
    <w:rsid w:val="004477C2"/>
    <w:rsid w:val="0044785C"/>
    <w:rsid w:val="004478DF"/>
    <w:rsid w:val="00447E88"/>
    <w:rsid w:val="0045008E"/>
    <w:rsid w:val="00450206"/>
    <w:rsid w:val="004506B5"/>
    <w:rsid w:val="00450841"/>
    <w:rsid w:val="00450941"/>
    <w:rsid w:val="00451BC8"/>
    <w:rsid w:val="00451C2B"/>
    <w:rsid w:val="00452122"/>
    <w:rsid w:val="0045244C"/>
    <w:rsid w:val="00453175"/>
    <w:rsid w:val="0045323E"/>
    <w:rsid w:val="0045329B"/>
    <w:rsid w:val="0045355F"/>
    <w:rsid w:val="00454653"/>
    <w:rsid w:val="00455052"/>
    <w:rsid w:val="00455924"/>
    <w:rsid w:val="004559D6"/>
    <w:rsid w:val="00455A62"/>
    <w:rsid w:val="00455E29"/>
    <w:rsid w:val="0045642E"/>
    <w:rsid w:val="0045644C"/>
    <w:rsid w:val="00456618"/>
    <w:rsid w:val="004566C5"/>
    <w:rsid w:val="0045673E"/>
    <w:rsid w:val="00456762"/>
    <w:rsid w:val="00456C23"/>
    <w:rsid w:val="00457392"/>
    <w:rsid w:val="0045757F"/>
    <w:rsid w:val="00457CDE"/>
    <w:rsid w:val="00457D3D"/>
    <w:rsid w:val="004600AB"/>
    <w:rsid w:val="0046010D"/>
    <w:rsid w:val="0046023D"/>
    <w:rsid w:val="00460343"/>
    <w:rsid w:val="004605D0"/>
    <w:rsid w:val="004610F0"/>
    <w:rsid w:val="004617B3"/>
    <w:rsid w:val="00461A78"/>
    <w:rsid w:val="00461F5D"/>
    <w:rsid w:val="00462357"/>
    <w:rsid w:val="00462CB8"/>
    <w:rsid w:val="0046359B"/>
    <w:rsid w:val="00463C25"/>
    <w:rsid w:val="00463D12"/>
    <w:rsid w:val="004642D2"/>
    <w:rsid w:val="00464A34"/>
    <w:rsid w:val="00464B63"/>
    <w:rsid w:val="00464CA8"/>
    <w:rsid w:val="00464E70"/>
    <w:rsid w:val="00465586"/>
    <w:rsid w:val="00465943"/>
    <w:rsid w:val="00465DBE"/>
    <w:rsid w:val="0046644D"/>
    <w:rsid w:val="004669DE"/>
    <w:rsid w:val="00466FB3"/>
    <w:rsid w:val="004672BB"/>
    <w:rsid w:val="00467388"/>
    <w:rsid w:val="00467620"/>
    <w:rsid w:val="00467C5F"/>
    <w:rsid w:val="00467CB2"/>
    <w:rsid w:val="00467F49"/>
    <w:rsid w:val="00470016"/>
    <w:rsid w:val="004706F6"/>
    <w:rsid w:val="004707A5"/>
    <w:rsid w:val="00470826"/>
    <w:rsid w:val="00470968"/>
    <w:rsid w:val="004709AB"/>
    <w:rsid w:val="00470D65"/>
    <w:rsid w:val="0047115F"/>
    <w:rsid w:val="004711F3"/>
    <w:rsid w:val="0047137F"/>
    <w:rsid w:val="0047164D"/>
    <w:rsid w:val="00471DC7"/>
    <w:rsid w:val="004721C3"/>
    <w:rsid w:val="00473053"/>
    <w:rsid w:val="0047306A"/>
    <w:rsid w:val="00473606"/>
    <w:rsid w:val="004739DF"/>
    <w:rsid w:val="00473D9F"/>
    <w:rsid w:val="00473E33"/>
    <w:rsid w:val="004741DE"/>
    <w:rsid w:val="00474232"/>
    <w:rsid w:val="00474246"/>
    <w:rsid w:val="004743D1"/>
    <w:rsid w:val="004744CE"/>
    <w:rsid w:val="00474863"/>
    <w:rsid w:val="0047491D"/>
    <w:rsid w:val="0047584E"/>
    <w:rsid w:val="0047627A"/>
    <w:rsid w:val="004765EE"/>
    <w:rsid w:val="00476789"/>
    <w:rsid w:val="00476981"/>
    <w:rsid w:val="00476AA3"/>
    <w:rsid w:val="004773C2"/>
    <w:rsid w:val="00477924"/>
    <w:rsid w:val="00477C18"/>
    <w:rsid w:val="00477D34"/>
    <w:rsid w:val="00477D62"/>
    <w:rsid w:val="00480510"/>
    <w:rsid w:val="004817C9"/>
    <w:rsid w:val="00481DC7"/>
    <w:rsid w:val="004829C0"/>
    <w:rsid w:val="00482A84"/>
    <w:rsid w:val="004832B6"/>
    <w:rsid w:val="00483438"/>
    <w:rsid w:val="00483543"/>
    <w:rsid w:val="00483546"/>
    <w:rsid w:val="00483983"/>
    <w:rsid w:val="00483D19"/>
    <w:rsid w:val="00483E10"/>
    <w:rsid w:val="00484296"/>
    <w:rsid w:val="0048463A"/>
    <w:rsid w:val="00484946"/>
    <w:rsid w:val="00484C7C"/>
    <w:rsid w:val="00485393"/>
    <w:rsid w:val="004854C8"/>
    <w:rsid w:val="00485736"/>
    <w:rsid w:val="0048662E"/>
    <w:rsid w:val="004866E9"/>
    <w:rsid w:val="004868C8"/>
    <w:rsid w:val="004872CB"/>
    <w:rsid w:val="004874CD"/>
    <w:rsid w:val="00487692"/>
    <w:rsid w:val="0048784F"/>
    <w:rsid w:val="004904F4"/>
    <w:rsid w:val="00490604"/>
    <w:rsid w:val="00490D41"/>
    <w:rsid w:val="00490E20"/>
    <w:rsid w:val="00491305"/>
    <w:rsid w:val="00491402"/>
    <w:rsid w:val="00492237"/>
    <w:rsid w:val="004924E0"/>
    <w:rsid w:val="00492643"/>
    <w:rsid w:val="00492B46"/>
    <w:rsid w:val="00492FF4"/>
    <w:rsid w:val="00493003"/>
    <w:rsid w:val="00493231"/>
    <w:rsid w:val="00493249"/>
    <w:rsid w:val="00493256"/>
    <w:rsid w:val="004938A3"/>
    <w:rsid w:val="004940A0"/>
    <w:rsid w:val="004940BA"/>
    <w:rsid w:val="004942F3"/>
    <w:rsid w:val="004948F0"/>
    <w:rsid w:val="004949F8"/>
    <w:rsid w:val="00494A4F"/>
    <w:rsid w:val="00494A7A"/>
    <w:rsid w:val="00494D9C"/>
    <w:rsid w:val="00494E6B"/>
    <w:rsid w:val="00494EBD"/>
    <w:rsid w:val="00494FE4"/>
    <w:rsid w:val="0049523B"/>
    <w:rsid w:val="00495252"/>
    <w:rsid w:val="00495457"/>
    <w:rsid w:val="004956BA"/>
    <w:rsid w:val="00496145"/>
    <w:rsid w:val="004961C4"/>
    <w:rsid w:val="00496240"/>
    <w:rsid w:val="0049656C"/>
    <w:rsid w:val="00496FAD"/>
    <w:rsid w:val="0049784D"/>
    <w:rsid w:val="00497BC3"/>
    <w:rsid w:val="00497C1C"/>
    <w:rsid w:val="00497E36"/>
    <w:rsid w:val="004A0581"/>
    <w:rsid w:val="004A0B3B"/>
    <w:rsid w:val="004A12F7"/>
    <w:rsid w:val="004A2603"/>
    <w:rsid w:val="004A2914"/>
    <w:rsid w:val="004A2976"/>
    <w:rsid w:val="004A32B1"/>
    <w:rsid w:val="004A3308"/>
    <w:rsid w:val="004A3473"/>
    <w:rsid w:val="004A3D17"/>
    <w:rsid w:val="004A3F3F"/>
    <w:rsid w:val="004A40DA"/>
    <w:rsid w:val="004A4661"/>
    <w:rsid w:val="004A473A"/>
    <w:rsid w:val="004A4A23"/>
    <w:rsid w:val="004A4BD2"/>
    <w:rsid w:val="004A5541"/>
    <w:rsid w:val="004A5BB5"/>
    <w:rsid w:val="004A5E45"/>
    <w:rsid w:val="004A68D5"/>
    <w:rsid w:val="004A6CA9"/>
    <w:rsid w:val="004A7389"/>
    <w:rsid w:val="004A73E7"/>
    <w:rsid w:val="004A7B37"/>
    <w:rsid w:val="004A7FD1"/>
    <w:rsid w:val="004B0308"/>
    <w:rsid w:val="004B0334"/>
    <w:rsid w:val="004B09E5"/>
    <w:rsid w:val="004B0E60"/>
    <w:rsid w:val="004B11C1"/>
    <w:rsid w:val="004B1ADE"/>
    <w:rsid w:val="004B20A5"/>
    <w:rsid w:val="004B22AB"/>
    <w:rsid w:val="004B2699"/>
    <w:rsid w:val="004B26E6"/>
    <w:rsid w:val="004B2FEA"/>
    <w:rsid w:val="004B3717"/>
    <w:rsid w:val="004B4314"/>
    <w:rsid w:val="004B4BCE"/>
    <w:rsid w:val="004B5047"/>
    <w:rsid w:val="004B521D"/>
    <w:rsid w:val="004B583C"/>
    <w:rsid w:val="004B5F4C"/>
    <w:rsid w:val="004B6420"/>
    <w:rsid w:val="004B65BF"/>
    <w:rsid w:val="004B6B4D"/>
    <w:rsid w:val="004B6C54"/>
    <w:rsid w:val="004B6C96"/>
    <w:rsid w:val="004B6E4A"/>
    <w:rsid w:val="004B7126"/>
    <w:rsid w:val="004B7273"/>
    <w:rsid w:val="004B7301"/>
    <w:rsid w:val="004B78B3"/>
    <w:rsid w:val="004C03D9"/>
    <w:rsid w:val="004C0AA2"/>
    <w:rsid w:val="004C0ECC"/>
    <w:rsid w:val="004C11B8"/>
    <w:rsid w:val="004C1731"/>
    <w:rsid w:val="004C1934"/>
    <w:rsid w:val="004C2681"/>
    <w:rsid w:val="004C310B"/>
    <w:rsid w:val="004C3779"/>
    <w:rsid w:val="004C3BD0"/>
    <w:rsid w:val="004C448C"/>
    <w:rsid w:val="004C44AC"/>
    <w:rsid w:val="004C4D23"/>
    <w:rsid w:val="004C4E16"/>
    <w:rsid w:val="004C4E8E"/>
    <w:rsid w:val="004C51B8"/>
    <w:rsid w:val="004C5535"/>
    <w:rsid w:val="004C5597"/>
    <w:rsid w:val="004C5B3F"/>
    <w:rsid w:val="004C5BF7"/>
    <w:rsid w:val="004C5D4C"/>
    <w:rsid w:val="004C64C9"/>
    <w:rsid w:val="004C65B1"/>
    <w:rsid w:val="004C6BFC"/>
    <w:rsid w:val="004C752E"/>
    <w:rsid w:val="004C7551"/>
    <w:rsid w:val="004C756B"/>
    <w:rsid w:val="004C75C4"/>
    <w:rsid w:val="004C760B"/>
    <w:rsid w:val="004C7863"/>
    <w:rsid w:val="004C798F"/>
    <w:rsid w:val="004C7F59"/>
    <w:rsid w:val="004D076D"/>
    <w:rsid w:val="004D0BE0"/>
    <w:rsid w:val="004D18A7"/>
    <w:rsid w:val="004D19A9"/>
    <w:rsid w:val="004D1C96"/>
    <w:rsid w:val="004D265F"/>
    <w:rsid w:val="004D2E88"/>
    <w:rsid w:val="004D2F83"/>
    <w:rsid w:val="004D315D"/>
    <w:rsid w:val="004D4192"/>
    <w:rsid w:val="004D440C"/>
    <w:rsid w:val="004D4A6C"/>
    <w:rsid w:val="004D54B0"/>
    <w:rsid w:val="004D5941"/>
    <w:rsid w:val="004D5DAE"/>
    <w:rsid w:val="004D5F31"/>
    <w:rsid w:val="004D6A90"/>
    <w:rsid w:val="004D716D"/>
    <w:rsid w:val="004D7433"/>
    <w:rsid w:val="004D7448"/>
    <w:rsid w:val="004D7B0F"/>
    <w:rsid w:val="004E0220"/>
    <w:rsid w:val="004E086F"/>
    <w:rsid w:val="004E0998"/>
    <w:rsid w:val="004E0C55"/>
    <w:rsid w:val="004E0EBA"/>
    <w:rsid w:val="004E109E"/>
    <w:rsid w:val="004E1ABD"/>
    <w:rsid w:val="004E1D21"/>
    <w:rsid w:val="004E1FF3"/>
    <w:rsid w:val="004E3048"/>
    <w:rsid w:val="004E382C"/>
    <w:rsid w:val="004E3D66"/>
    <w:rsid w:val="004E48A6"/>
    <w:rsid w:val="004E5212"/>
    <w:rsid w:val="004E53EF"/>
    <w:rsid w:val="004E5C3C"/>
    <w:rsid w:val="004E60AA"/>
    <w:rsid w:val="004E6456"/>
    <w:rsid w:val="004E6858"/>
    <w:rsid w:val="004E6887"/>
    <w:rsid w:val="004E6992"/>
    <w:rsid w:val="004E69DD"/>
    <w:rsid w:val="004E6FCC"/>
    <w:rsid w:val="004E79D9"/>
    <w:rsid w:val="004E7D9C"/>
    <w:rsid w:val="004F00F7"/>
    <w:rsid w:val="004F06FC"/>
    <w:rsid w:val="004F07D7"/>
    <w:rsid w:val="004F0CDF"/>
    <w:rsid w:val="004F0F80"/>
    <w:rsid w:val="004F1005"/>
    <w:rsid w:val="004F105A"/>
    <w:rsid w:val="004F13C0"/>
    <w:rsid w:val="004F1E02"/>
    <w:rsid w:val="004F3445"/>
    <w:rsid w:val="004F35CB"/>
    <w:rsid w:val="004F3B9C"/>
    <w:rsid w:val="004F4333"/>
    <w:rsid w:val="004F4339"/>
    <w:rsid w:val="004F471D"/>
    <w:rsid w:val="004F4BD8"/>
    <w:rsid w:val="004F51CA"/>
    <w:rsid w:val="004F539B"/>
    <w:rsid w:val="004F5473"/>
    <w:rsid w:val="004F54C5"/>
    <w:rsid w:val="004F5A6C"/>
    <w:rsid w:val="004F5BCB"/>
    <w:rsid w:val="004F6B8A"/>
    <w:rsid w:val="004F6DA3"/>
    <w:rsid w:val="004F7326"/>
    <w:rsid w:val="004F74F6"/>
    <w:rsid w:val="004F793D"/>
    <w:rsid w:val="004F7E46"/>
    <w:rsid w:val="004F7F1D"/>
    <w:rsid w:val="00500406"/>
    <w:rsid w:val="00500644"/>
    <w:rsid w:val="00500C42"/>
    <w:rsid w:val="00500DF2"/>
    <w:rsid w:val="00500F73"/>
    <w:rsid w:val="00501206"/>
    <w:rsid w:val="00501669"/>
    <w:rsid w:val="00501752"/>
    <w:rsid w:val="0050189C"/>
    <w:rsid w:val="00501D57"/>
    <w:rsid w:val="00501F81"/>
    <w:rsid w:val="005024AB"/>
    <w:rsid w:val="005026A5"/>
    <w:rsid w:val="0050279F"/>
    <w:rsid w:val="005035B2"/>
    <w:rsid w:val="00504167"/>
    <w:rsid w:val="0050427F"/>
    <w:rsid w:val="0050485D"/>
    <w:rsid w:val="00504F62"/>
    <w:rsid w:val="00505073"/>
    <w:rsid w:val="005051CC"/>
    <w:rsid w:val="0050603E"/>
    <w:rsid w:val="00506404"/>
    <w:rsid w:val="005064B7"/>
    <w:rsid w:val="0050658A"/>
    <w:rsid w:val="005066FA"/>
    <w:rsid w:val="00506890"/>
    <w:rsid w:val="00507A4C"/>
    <w:rsid w:val="00507AA9"/>
    <w:rsid w:val="0051056F"/>
    <w:rsid w:val="00510BA8"/>
    <w:rsid w:val="00510F70"/>
    <w:rsid w:val="00510FBA"/>
    <w:rsid w:val="005123D5"/>
    <w:rsid w:val="00513121"/>
    <w:rsid w:val="005136E0"/>
    <w:rsid w:val="005141E2"/>
    <w:rsid w:val="0051435A"/>
    <w:rsid w:val="005145F3"/>
    <w:rsid w:val="00514B12"/>
    <w:rsid w:val="00514E53"/>
    <w:rsid w:val="00514FFB"/>
    <w:rsid w:val="00515131"/>
    <w:rsid w:val="005151AF"/>
    <w:rsid w:val="005154EF"/>
    <w:rsid w:val="00515F6E"/>
    <w:rsid w:val="00516286"/>
    <w:rsid w:val="00516848"/>
    <w:rsid w:val="00517B08"/>
    <w:rsid w:val="00517C03"/>
    <w:rsid w:val="00517C8C"/>
    <w:rsid w:val="00517DD0"/>
    <w:rsid w:val="00517E04"/>
    <w:rsid w:val="0052076B"/>
    <w:rsid w:val="005209DD"/>
    <w:rsid w:val="00521012"/>
    <w:rsid w:val="0052177E"/>
    <w:rsid w:val="0052235B"/>
    <w:rsid w:val="00522509"/>
    <w:rsid w:val="00522D80"/>
    <w:rsid w:val="00524246"/>
    <w:rsid w:val="0052485E"/>
    <w:rsid w:val="00524AFF"/>
    <w:rsid w:val="0052509A"/>
    <w:rsid w:val="005258E0"/>
    <w:rsid w:val="00525A2D"/>
    <w:rsid w:val="00525AD1"/>
    <w:rsid w:val="00525DBA"/>
    <w:rsid w:val="00525DC6"/>
    <w:rsid w:val="00525F29"/>
    <w:rsid w:val="005261C7"/>
    <w:rsid w:val="00526218"/>
    <w:rsid w:val="00526B44"/>
    <w:rsid w:val="00526C86"/>
    <w:rsid w:val="00527DF0"/>
    <w:rsid w:val="00527FDE"/>
    <w:rsid w:val="0053113B"/>
    <w:rsid w:val="00531369"/>
    <w:rsid w:val="005314C5"/>
    <w:rsid w:val="00531817"/>
    <w:rsid w:val="00531888"/>
    <w:rsid w:val="00532202"/>
    <w:rsid w:val="005324E5"/>
    <w:rsid w:val="005325EB"/>
    <w:rsid w:val="00532945"/>
    <w:rsid w:val="005330D1"/>
    <w:rsid w:val="0053370C"/>
    <w:rsid w:val="005337FB"/>
    <w:rsid w:val="00533EAF"/>
    <w:rsid w:val="00534240"/>
    <w:rsid w:val="0053436F"/>
    <w:rsid w:val="00534640"/>
    <w:rsid w:val="00535445"/>
    <w:rsid w:val="005354AD"/>
    <w:rsid w:val="005356CB"/>
    <w:rsid w:val="00535A03"/>
    <w:rsid w:val="005361BC"/>
    <w:rsid w:val="00536457"/>
    <w:rsid w:val="00536708"/>
    <w:rsid w:val="00536E03"/>
    <w:rsid w:val="00536F83"/>
    <w:rsid w:val="005370A0"/>
    <w:rsid w:val="005373AE"/>
    <w:rsid w:val="0053748B"/>
    <w:rsid w:val="00537C05"/>
    <w:rsid w:val="00537CB6"/>
    <w:rsid w:val="00537FD3"/>
    <w:rsid w:val="005404BC"/>
    <w:rsid w:val="00540573"/>
    <w:rsid w:val="0054084B"/>
    <w:rsid w:val="0054098F"/>
    <w:rsid w:val="005409C8"/>
    <w:rsid w:val="00540A1E"/>
    <w:rsid w:val="00540E85"/>
    <w:rsid w:val="0054133D"/>
    <w:rsid w:val="00541709"/>
    <w:rsid w:val="00541950"/>
    <w:rsid w:val="00542130"/>
    <w:rsid w:val="005425ED"/>
    <w:rsid w:val="005428DE"/>
    <w:rsid w:val="00542984"/>
    <w:rsid w:val="00542AB0"/>
    <w:rsid w:val="005436B9"/>
    <w:rsid w:val="005439C4"/>
    <w:rsid w:val="00543D07"/>
    <w:rsid w:val="00543F8D"/>
    <w:rsid w:val="005440A0"/>
    <w:rsid w:val="005446E2"/>
    <w:rsid w:val="00544714"/>
    <w:rsid w:val="00544905"/>
    <w:rsid w:val="00544CB6"/>
    <w:rsid w:val="00544F63"/>
    <w:rsid w:val="00544FB5"/>
    <w:rsid w:val="00545743"/>
    <w:rsid w:val="00545AD8"/>
    <w:rsid w:val="00546297"/>
    <w:rsid w:val="005463B9"/>
    <w:rsid w:val="00546418"/>
    <w:rsid w:val="005468C2"/>
    <w:rsid w:val="00546BF3"/>
    <w:rsid w:val="00546D3F"/>
    <w:rsid w:val="00547102"/>
    <w:rsid w:val="0054721B"/>
    <w:rsid w:val="00547BE7"/>
    <w:rsid w:val="005504D5"/>
    <w:rsid w:val="00550615"/>
    <w:rsid w:val="00550913"/>
    <w:rsid w:val="00550B06"/>
    <w:rsid w:val="0055177B"/>
    <w:rsid w:val="00551B62"/>
    <w:rsid w:val="00551C81"/>
    <w:rsid w:val="00551DEC"/>
    <w:rsid w:val="00551E73"/>
    <w:rsid w:val="005520B9"/>
    <w:rsid w:val="005525F1"/>
    <w:rsid w:val="005527D8"/>
    <w:rsid w:val="00552E71"/>
    <w:rsid w:val="00552F89"/>
    <w:rsid w:val="005532C2"/>
    <w:rsid w:val="00553582"/>
    <w:rsid w:val="005535C3"/>
    <w:rsid w:val="00553DE0"/>
    <w:rsid w:val="005541BD"/>
    <w:rsid w:val="00554233"/>
    <w:rsid w:val="0055425A"/>
    <w:rsid w:val="005542C0"/>
    <w:rsid w:val="0055455B"/>
    <w:rsid w:val="005548C5"/>
    <w:rsid w:val="00554C1F"/>
    <w:rsid w:val="0055524E"/>
    <w:rsid w:val="0055539E"/>
    <w:rsid w:val="0055561E"/>
    <w:rsid w:val="00555635"/>
    <w:rsid w:val="00555D54"/>
    <w:rsid w:val="00555D6B"/>
    <w:rsid w:val="00556016"/>
    <w:rsid w:val="0055673D"/>
    <w:rsid w:val="005567BC"/>
    <w:rsid w:val="00556BFD"/>
    <w:rsid w:val="00556EF3"/>
    <w:rsid w:val="00557635"/>
    <w:rsid w:val="00557A2D"/>
    <w:rsid w:val="00560110"/>
    <w:rsid w:val="0056015E"/>
    <w:rsid w:val="0056038A"/>
    <w:rsid w:val="00560421"/>
    <w:rsid w:val="005605E5"/>
    <w:rsid w:val="00560751"/>
    <w:rsid w:val="00560E4A"/>
    <w:rsid w:val="005618D7"/>
    <w:rsid w:val="0056192C"/>
    <w:rsid w:val="00561A9B"/>
    <w:rsid w:val="005622B3"/>
    <w:rsid w:val="00562335"/>
    <w:rsid w:val="00562EBC"/>
    <w:rsid w:val="00562FAB"/>
    <w:rsid w:val="0056311F"/>
    <w:rsid w:val="005632B2"/>
    <w:rsid w:val="00564B6E"/>
    <w:rsid w:val="00564D3D"/>
    <w:rsid w:val="00565969"/>
    <w:rsid w:val="00565B4E"/>
    <w:rsid w:val="00566698"/>
    <w:rsid w:val="005669FC"/>
    <w:rsid w:val="00566C05"/>
    <w:rsid w:val="00566C8A"/>
    <w:rsid w:val="00566E01"/>
    <w:rsid w:val="00567053"/>
    <w:rsid w:val="005674AF"/>
    <w:rsid w:val="005677EC"/>
    <w:rsid w:val="0057051D"/>
    <w:rsid w:val="00570583"/>
    <w:rsid w:val="00570C14"/>
    <w:rsid w:val="00570DCD"/>
    <w:rsid w:val="00570ECF"/>
    <w:rsid w:val="00570EE0"/>
    <w:rsid w:val="005713D8"/>
    <w:rsid w:val="005714FA"/>
    <w:rsid w:val="00571752"/>
    <w:rsid w:val="00571B6D"/>
    <w:rsid w:val="0057261A"/>
    <w:rsid w:val="005736E9"/>
    <w:rsid w:val="005738FB"/>
    <w:rsid w:val="00573C8A"/>
    <w:rsid w:val="00573F0A"/>
    <w:rsid w:val="00574243"/>
    <w:rsid w:val="005744FC"/>
    <w:rsid w:val="005748AD"/>
    <w:rsid w:val="0057497F"/>
    <w:rsid w:val="00574A08"/>
    <w:rsid w:val="00574F4B"/>
    <w:rsid w:val="005751CC"/>
    <w:rsid w:val="00575663"/>
    <w:rsid w:val="00575CA9"/>
    <w:rsid w:val="00576021"/>
    <w:rsid w:val="00576137"/>
    <w:rsid w:val="00576A4F"/>
    <w:rsid w:val="00576C32"/>
    <w:rsid w:val="00577194"/>
    <w:rsid w:val="0057728B"/>
    <w:rsid w:val="00577DAD"/>
    <w:rsid w:val="0058030C"/>
    <w:rsid w:val="0058061B"/>
    <w:rsid w:val="00580CBB"/>
    <w:rsid w:val="00580CC4"/>
    <w:rsid w:val="00580D62"/>
    <w:rsid w:val="005816F7"/>
    <w:rsid w:val="00581DD9"/>
    <w:rsid w:val="00582044"/>
    <w:rsid w:val="00582049"/>
    <w:rsid w:val="0058240C"/>
    <w:rsid w:val="00582BD4"/>
    <w:rsid w:val="00582DB7"/>
    <w:rsid w:val="00582E59"/>
    <w:rsid w:val="005835B1"/>
    <w:rsid w:val="00583675"/>
    <w:rsid w:val="0058388A"/>
    <w:rsid w:val="005839AB"/>
    <w:rsid w:val="00583B18"/>
    <w:rsid w:val="00583D9F"/>
    <w:rsid w:val="00584538"/>
    <w:rsid w:val="00584DFA"/>
    <w:rsid w:val="00585659"/>
    <w:rsid w:val="00585736"/>
    <w:rsid w:val="00585AAA"/>
    <w:rsid w:val="00585BC7"/>
    <w:rsid w:val="00585DA3"/>
    <w:rsid w:val="00585DC5"/>
    <w:rsid w:val="005863EF"/>
    <w:rsid w:val="00586601"/>
    <w:rsid w:val="005866DB"/>
    <w:rsid w:val="00586C25"/>
    <w:rsid w:val="0058744B"/>
    <w:rsid w:val="00587899"/>
    <w:rsid w:val="00587E89"/>
    <w:rsid w:val="00590C51"/>
    <w:rsid w:val="00590F15"/>
    <w:rsid w:val="0059112A"/>
    <w:rsid w:val="00591164"/>
    <w:rsid w:val="0059123A"/>
    <w:rsid w:val="0059149E"/>
    <w:rsid w:val="00591750"/>
    <w:rsid w:val="00591A08"/>
    <w:rsid w:val="00592539"/>
    <w:rsid w:val="0059345B"/>
    <w:rsid w:val="0059376E"/>
    <w:rsid w:val="0059377D"/>
    <w:rsid w:val="00593C1B"/>
    <w:rsid w:val="00593EAE"/>
    <w:rsid w:val="0059462F"/>
    <w:rsid w:val="00594EEA"/>
    <w:rsid w:val="005951A0"/>
    <w:rsid w:val="005957E2"/>
    <w:rsid w:val="005959C1"/>
    <w:rsid w:val="00595B0A"/>
    <w:rsid w:val="00595E19"/>
    <w:rsid w:val="00595E22"/>
    <w:rsid w:val="005963A6"/>
    <w:rsid w:val="00596865"/>
    <w:rsid w:val="00596929"/>
    <w:rsid w:val="00596C5D"/>
    <w:rsid w:val="00596D39"/>
    <w:rsid w:val="005970FB"/>
    <w:rsid w:val="005975C1"/>
    <w:rsid w:val="0059775B"/>
    <w:rsid w:val="005979B7"/>
    <w:rsid w:val="00597B33"/>
    <w:rsid w:val="005A0889"/>
    <w:rsid w:val="005A0EAA"/>
    <w:rsid w:val="005A0ECE"/>
    <w:rsid w:val="005A1485"/>
    <w:rsid w:val="005A1668"/>
    <w:rsid w:val="005A16A3"/>
    <w:rsid w:val="005A183D"/>
    <w:rsid w:val="005A1E82"/>
    <w:rsid w:val="005A207D"/>
    <w:rsid w:val="005A2913"/>
    <w:rsid w:val="005A3083"/>
    <w:rsid w:val="005A3385"/>
    <w:rsid w:val="005A3C17"/>
    <w:rsid w:val="005A405D"/>
    <w:rsid w:val="005A4545"/>
    <w:rsid w:val="005A4B78"/>
    <w:rsid w:val="005A51DE"/>
    <w:rsid w:val="005A55D5"/>
    <w:rsid w:val="005A5A4F"/>
    <w:rsid w:val="005A6AE2"/>
    <w:rsid w:val="005A6BBB"/>
    <w:rsid w:val="005A6EA1"/>
    <w:rsid w:val="005A7517"/>
    <w:rsid w:val="005A7643"/>
    <w:rsid w:val="005A77A8"/>
    <w:rsid w:val="005A7AF0"/>
    <w:rsid w:val="005A7F70"/>
    <w:rsid w:val="005B0098"/>
    <w:rsid w:val="005B069A"/>
    <w:rsid w:val="005B06FB"/>
    <w:rsid w:val="005B07D6"/>
    <w:rsid w:val="005B0D2B"/>
    <w:rsid w:val="005B11E1"/>
    <w:rsid w:val="005B122F"/>
    <w:rsid w:val="005B1905"/>
    <w:rsid w:val="005B1AED"/>
    <w:rsid w:val="005B1EBE"/>
    <w:rsid w:val="005B213F"/>
    <w:rsid w:val="005B2A44"/>
    <w:rsid w:val="005B2B97"/>
    <w:rsid w:val="005B2EE4"/>
    <w:rsid w:val="005B31FF"/>
    <w:rsid w:val="005B3628"/>
    <w:rsid w:val="005B3AEF"/>
    <w:rsid w:val="005B3B6F"/>
    <w:rsid w:val="005B3D45"/>
    <w:rsid w:val="005B3D82"/>
    <w:rsid w:val="005B43CC"/>
    <w:rsid w:val="005B45DC"/>
    <w:rsid w:val="005B46CE"/>
    <w:rsid w:val="005B4AB8"/>
    <w:rsid w:val="005B4C99"/>
    <w:rsid w:val="005B5274"/>
    <w:rsid w:val="005B53C7"/>
    <w:rsid w:val="005B5418"/>
    <w:rsid w:val="005B57ED"/>
    <w:rsid w:val="005B5B2E"/>
    <w:rsid w:val="005B5B4F"/>
    <w:rsid w:val="005B5D3F"/>
    <w:rsid w:val="005B7530"/>
    <w:rsid w:val="005B78C5"/>
    <w:rsid w:val="005B79F4"/>
    <w:rsid w:val="005B7C7F"/>
    <w:rsid w:val="005C0B9E"/>
    <w:rsid w:val="005C0C87"/>
    <w:rsid w:val="005C1271"/>
    <w:rsid w:val="005C187C"/>
    <w:rsid w:val="005C21CF"/>
    <w:rsid w:val="005C2722"/>
    <w:rsid w:val="005C304D"/>
    <w:rsid w:val="005C37CD"/>
    <w:rsid w:val="005C3ABE"/>
    <w:rsid w:val="005C4264"/>
    <w:rsid w:val="005C42F4"/>
    <w:rsid w:val="005C44B9"/>
    <w:rsid w:val="005C49A2"/>
    <w:rsid w:val="005C4E14"/>
    <w:rsid w:val="005C53E4"/>
    <w:rsid w:val="005C540E"/>
    <w:rsid w:val="005C56D4"/>
    <w:rsid w:val="005C577A"/>
    <w:rsid w:val="005C5977"/>
    <w:rsid w:val="005C61FF"/>
    <w:rsid w:val="005C65FF"/>
    <w:rsid w:val="005C7498"/>
    <w:rsid w:val="005C79F0"/>
    <w:rsid w:val="005D0376"/>
    <w:rsid w:val="005D0596"/>
    <w:rsid w:val="005D0CE6"/>
    <w:rsid w:val="005D0E90"/>
    <w:rsid w:val="005D1D7C"/>
    <w:rsid w:val="005D23B0"/>
    <w:rsid w:val="005D24EB"/>
    <w:rsid w:val="005D2A08"/>
    <w:rsid w:val="005D2FC5"/>
    <w:rsid w:val="005D375E"/>
    <w:rsid w:val="005D3ACF"/>
    <w:rsid w:val="005D3D7F"/>
    <w:rsid w:val="005D3DCA"/>
    <w:rsid w:val="005D4F32"/>
    <w:rsid w:val="005D5032"/>
    <w:rsid w:val="005D5379"/>
    <w:rsid w:val="005D5387"/>
    <w:rsid w:val="005D5553"/>
    <w:rsid w:val="005D5580"/>
    <w:rsid w:val="005D5D27"/>
    <w:rsid w:val="005D60B7"/>
    <w:rsid w:val="005D6258"/>
    <w:rsid w:val="005D6311"/>
    <w:rsid w:val="005D64FA"/>
    <w:rsid w:val="005D6678"/>
    <w:rsid w:val="005D6F90"/>
    <w:rsid w:val="005D7540"/>
    <w:rsid w:val="005D796C"/>
    <w:rsid w:val="005D79C3"/>
    <w:rsid w:val="005D7DAC"/>
    <w:rsid w:val="005D7DEC"/>
    <w:rsid w:val="005E0240"/>
    <w:rsid w:val="005E0253"/>
    <w:rsid w:val="005E0822"/>
    <w:rsid w:val="005E08A5"/>
    <w:rsid w:val="005E08AD"/>
    <w:rsid w:val="005E0D49"/>
    <w:rsid w:val="005E17EF"/>
    <w:rsid w:val="005E1840"/>
    <w:rsid w:val="005E193C"/>
    <w:rsid w:val="005E1A1B"/>
    <w:rsid w:val="005E1DC9"/>
    <w:rsid w:val="005E1DF3"/>
    <w:rsid w:val="005E1E15"/>
    <w:rsid w:val="005E1F93"/>
    <w:rsid w:val="005E2294"/>
    <w:rsid w:val="005E22DE"/>
    <w:rsid w:val="005E236B"/>
    <w:rsid w:val="005E24E5"/>
    <w:rsid w:val="005E295F"/>
    <w:rsid w:val="005E2DA1"/>
    <w:rsid w:val="005E2DED"/>
    <w:rsid w:val="005E30FF"/>
    <w:rsid w:val="005E334A"/>
    <w:rsid w:val="005E37CA"/>
    <w:rsid w:val="005E3CCF"/>
    <w:rsid w:val="005E435C"/>
    <w:rsid w:val="005E4479"/>
    <w:rsid w:val="005E4CAD"/>
    <w:rsid w:val="005E4FBC"/>
    <w:rsid w:val="005E560C"/>
    <w:rsid w:val="005E56AD"/>
    <w:rsid w:val="005E5834"/>
    <w:rsid w:val="005E5868"/>
    <w:rsid w:val="005E5C0F"/>
    <w:rsid w:val="005E5E93"/>
    <w:rsid w:val="005E605C"/>
    <w:rsid w:val="005E631B"/>
    <w:rsid w:val="005E66FF"/>
    <w:rsid w:val="005E6705"/>
    <w:rsid w:val="005E6BDD"/>
    <w:rsid w:val="005E6D03"/>
    <w:rsid w:val="005E6E44"/>
    <w:rsid w:val="005E7330"/>
    <w:rsid w:val="005F0342"/>
    <w:rsid w:val="005F059F"/>
    <w:rsid w:val="005F081D"/>
    <w:rsid w:val="005F093B"/>
    <w:rsid w:val="005F0BB2"/>
    <w:rsid w:val="005F0FB9"/>
    <w:rsid w:val="005F18B9"/>
    <w:rsid w:val="005F2286"/>
    <w:rsid w:val="005F22D2"/>
    <w:rsid w:val="005F2321"/>
    <w:rsid w:val="005F26B0"/>
    <w:rsid w:val="005F329D"/>
    <w:rsid w:val="005F34CC"/>
    <w:rsid w:val="005F3850"/>
    <w:rsid w:val="005F3CC0"/>
    <w:rsid w:val="005F3E23"/>
    <w:rsid w:val="005F3FDB"/>
    <w:rsid w:val="005F4684"/>
    <w:rsid w:val="005F47F5"/>
    <w:rsid w:val="005F4822"/>
    <w:rsid w:val="005F4D38"/>
    <w:rsid w:val="005F5238"/>
    <w:rsid w:val="005F60CE"/>
    <w:rsid w:val="005F653A"/>
    <w:rsid w:val="005F69CD"/>
    <w:rsid w:val="005F6EE4"/>
    <w:rsid w:val="005F75BD"/>
    <w:rsid w:val="005F7B03"/>
    <w:rsid w:val="006007B9"/>
    <w:rsid w:val="006009D4"/>
    <w:rsid w:val="00600E59"/>
    <w:rsid w:val="00601484"/>
    <w:rsid w:val="006014A6"/>
    <w:rsid w:val="00601AEA"/>
    <w:rsid w:val="006028AD"/>
    <w:rsid w:val="00602D39"/>
    <w:rsid w:val="006031D0"/>
    <w:rsid w:val="00604B7E"/>
    <w:rsid w:val="00605418"/>
    <w:rsid w:val="0060604C"/>
    <w:rsid w:val="006066C2"/>
    <w:rsid w:val="00606B33"/>
    <w:rsid w:val="00606C2D"/>
    <w:rsid w:val="00606CBE"/>
    <w:rsid w:val="00606DBC"/>
    <w:rsid w:val="006074FC"/>
    <w:rsid w:val="00607CDC"/>
    <w:rsid w:val="00607DC4"/>
    <w:rsid w:val="00610498"/>
    <w:rsid w:val="00610614"/>
    <w:rsid w:val="00610679"/>
    <w:rsid w:val="006106C1"/>
    <w:rsid w:val="006107D5"/>
    <w:rsid w:val="006108EC"/>
    <w:rsid w:val="0061098C"/>
    <w:rsid w:val="00610B24"/>
    <w:rsid w:val="0061279F"/>
    <w:rsid w:val="006127DF"/>
    <w:rsid w:val="0061284B"/>
    <w:rsid w:val="00612AAD"/>
    <w:rsid w:val="00612E17"/>
    <w:rsid w:val="00614FEA"/>
    <w:rsid w:val="00615019"/>
    <w:rsid w:val="006153B1"/>
    <w:rsid w:val="00615842"/>
    <w:rsid w:val="006158E2"/>
    <w:rsid w:val="00615B48"/>
    <w:rsid w:val="00615D26"/>
    <w:rsid w:val="00615DBE"/>
    <w:rsid w:val="006163D1"/>
    <w:rsid w:val="006163FF"/>
    <w:rsid w:val="00616700"/>
    <w:rsid w:val="006172C8"/>
    <w:rsid w:val="00617DA0"/>
    <w:rsid w:val="006206C4"/>
    <w:rsid w:val="00620910"/>
    <w:rsid w:val="00620C4A"/>
    <w:rsid w:val="00620E78"/>
    <w:rsid w:val="00621074"/>
    <w:rsid w:val="00621C52"/>
    <w:rsid w:val="00621E47"/>
    <w:rsid w:val="00622443"/>
    <w:rsid w:val="00622B35"/>
    <w:rsid w:val="00622C31"/>
    <w:rsid w:val="006239C3"/>
    <w:rsid w:val="00623AF0"/>
    <w:rsid w:val="00623B38"/>
    <w:rsid w:val="00623E1E"/>
    <w:rsid w:val="006244A6"/>
    <w:rsid w:val="006248BF"/>
    <w:rsid w:val="0062494D"/>
    <w:rsid w:val="00625145"/>
    <w:rsid w:val="0062588F"/>
    <w:rsid w:val="00625A02"/>
    <w:rsid w:val="00626687"/>
    <w:rsid w:val="00626833"/>
    <w:rsid w:val="00626AD3"/>
    <w:rsid w:val="006270BF"/>
    <w:rsid w:val="006275DE"/>
    <w:rsid w:val="00627822"/>
    <w:rsid w:val="0063099B"/>
    <w:rsid w:val="00630EFD"/>
    <w:rsid w:val="00631E10"/>
    <w:rsid w:val="00631FB1"/>
    <w:rsid w:val="006320B4"/>
    <w:rsid w:val="00632461"/>
    <w:rsid w:val="00632972"/>
    <w:rsid w:val="00632A7C"/>
    <w:rsid w:val="00632D3A"/>
    <w:rsid w:val="00632E3F"/>
    <w:rsid w:val="00633134"/>
    <w:rsid w:val="00633D0F"/>
    <w:rsid w:val="006346B9"/>
    <w:rsid w:val="00634D45"/>
    <w:rsid w:val="00634F67"/>
    <w:rsid w:val="0063516B"/>
    <w:rsid w:val="00635525"/>
    <w:rsid w:val="00635604"/>
    <w:rsid w:val="00635C3B"/>
    <w:rsid w:val="00636486"/>
    <w:rsid w:val="006369B4"/>
    <w:rsid w:val="00637517"/>
    <w:rsid w:val="006375A3"/>
    <w:rsid w:val="00637ABE"/>
    <w:rsid w:val="00637E29"/>
    <w:rsid w:val="00640229"/>
    <w:rsid w:val="00640425"/>
    <w:rsid w:val="006404FB"/>
    <w:rsid w:val="00640DA1"/>
    <w:rsid w:val="00640E4C"/>
    <w:rsid w:val="00641026"/>
    <w:rsid w:val="00641412"/>
    <w:rsid w:val="00641610"/>
    <w:rsid w:val="00641A0F"/>
    <w:rsid w:val="00642097"/>
    <w:rsid w:val="006422AA"/>
    <w:rsid w:val="00642354"/>
    <w:rsid w:val="006425E0"/>
    <w:rsid w:val="0064268E"/>
    <w:rsid w:val="006431E8"/>
    <w:rsid w:val="00643269"/>
    <w:rsid w:val="00643402"/>
    <w:rsid w:val="00643AEA"/>
    <w:rsid w:val="006446C4"/>
    <w:rsid w:val="0064501F"/>
    <w:rsid w:val="00645386"/>
    <w:rsid w:val="00645CC7"/>
    <w:rsid w:val="006464DB"/>
    <w:rsid w:val="00646551"/>
    <w:rsid w:val="00646916"/>
    <w:rsid w:val="00646F89"/>
    <w:rsid w:val="00647854"/>
    <w:rsid w:val="00647C68"/>
    <w:rsid w:val="00650041"/>
    <w:rsid w:val="006504B9"/>
    <w:rsid w:val="00650558"/>
    <w:rsid w:val="006507FD"/>
    <w:rsid w:val="00650C22"/>
    <w:rsid w:val="006510FE"/>
    <w:rsid w:val="00651698"/>
    <w:rsid w:val="006517C9"/>
    <w:rsid w:val="00651A04"/>
    <w:rsid w:val="00651A31"/>
    <w:rsid w:val="00651C32"/>
    <w:rsid w:val="0065208F"/>
    <w:rsid w:val="0065247A"/>
    <w:rsid w:val="0065288A"/>
    <w:rsid w:val="00653696"/>
    <w:rsid w:val="00654509"/>
    <w:rsid w:val="0065464B"/>
    <w:rsid w:val="006555CE"/>
    <w:rsid w:val="006556B0"/>
    <w:rsid w:val="006556C3"/>
    <w:rsid w:val="00655F41"/>
    <w:rsid w:val="006560BD"/>
    <w:rsid w:val="006569CC"/>
    <w:rsid w:val="00657769"/>
    <w:rsid w:val="00657957"/>
    <w:rsid w:val="00660340"/>
    <w:rsid w:val="006609B2"/>
    <w:rsid w:val="00660F51"/>
    <w:rsid w:val="006614D8"/>
    <w:rsid w:val="0066157C"/>
    <w:rsid w:val="00661986"/>
    <w:rsid w:val="00661CEE"/>
    <w:rsid w:val="00661FA3"/>
    <w:rsid w:val="006636A9"/>
    <w:rsid w:val="00663B0C"/>
    <w:rsid w:val="00663ECD"/>
    <w:rsid w:val="006641FF"/>
    <w:rsid w:val="00665F39"/>
    <w:rsid w:val="006666FC"/>
    <w:rsid w:val="00666D24"/>
    <w:rsid w:val="00666E6D"/>
    <w:rsid w:val="006674F4"/>
    <w:rsid w:val="0066786D"/>
    <w:rsid w:val="006679FF"/>
    <w:rsid w:val="00667E63"/>
    <w:rsid w:val="00667FC1"/>
    <w:rsid w:val="0067045D"/>
    <w:rsid w:val="006704B5"/>
    <w:rsid w:val="00670BEA"/>
    <w:rsid w:val="00670D15"/>
    <w:rsid w:val="00670FA1"/>
    <w:rsid w:val="0067150B"/>
    <w:rsid w:val="00671758"/>
    <w:rsid w:val="0067205F"/>
    <w:rsid w:val="00672F24"/>
    <w:rsid w:val="00673414"/>
    <w:rsid w:val="00673906"/>
    <w:rsid w:val="00673C96"/>
    <w:rsid w:val="00674191"/>
    <w:rsid w:val="00674437"/>
    <w:rsid w:val="00674784"/>
    <w:rsid w:val="00675450"/>
    <w:rsid w:val="006755C7"/>
    <w:rsid w:val="00675C88"/>
    <w:rsid w:val="00675EA9"/>
    <w:rsid w:val="0067630C"/>
    <w:rsid w:val="006763AD"/>
    <w:rsid w:val="006765D4"/>
    <w:rsid w:val="0067693B"/>
    <w:rsid w:val="006769CA"/>
    <w:rsid w:val="00676F2B"/>
    <w:rsid w:val="0067702D"/>
    <w:rsid w:val="00677E02"/>
    <w:rsid w:val="0068094D"/>
    <w:rsid w:val="0068095A"/>
    <w:rsid w:val="006810D0"/>
    <w:rsid w:val="00681295"/>
    <w:rsid w:val="006813B8"/>
    <w:rsid w:val="0068178A"/>
    <w:rsid w:val="00681B07"/>
    <w:rsid w:val="006825FE"/>
    <w:rsid w:val="006832E1"/>
    <w:rsid w:val="006839C1"/>
    <w:rsid w:val="00684452"/>
    <w:rsid w:val="00684C0B"/>
    <w:rsid w:val="00685647"/>
    <w:rsid w:val="00686493"/>
    <w:rsid w:val="00686D36"/>
    <w:rsid w:val="00686D3A"/>
    <w:rsid w:val="00686E24"/>
    <w:rsid w:val="00687117"/>
    <w:rsid w:val="00687BA3"/>
    <w:rsid w:val="00687C1C"/>
    <w:rsid w:val="00687CCD"/>
    <w:rsid w:val="00687EBE"/>
    <w:rsid w:val="00690F34"/>
    <w:rsid w:val="00691EF5"/>
    <w:rsid w:val="006927F4"/>
    <w:rsid w:val="00693206"/>
    <w:rsid w:val="0069325B"/>
    <w:rsid w:val="0069328E"/>
    <w:rsid w:val="00693324"/>
    <w:rsid w:val="00693DB4"/>
    <w:rsid w:val="006948A6"/>
    <w:rsid w:val="00694A98"/>
    <w:rsid w:val="00694F8F"/>
    <w:rsid w:val="00695208"/>
    <w:rsid w:val="00696076"/>
    <w:rsid w:val="00696575"/>
    <w:rsid w:val="006965DA"/>
    <w:rsid w:val="006966DA"/>
    <w:rsid w:val="00696A50"/>
    <w:rsid w:val="00696C24"/>
    <w:rsid w:val="006971C6"/>
    <w:rsid w:val="006974C7"/>
    <w:rsid w:val="0069767B"/>
    <w:rsid w:val="00697720"/>
    <w:rsid w:val="006A01B7"/>
    <w:rsid w:val="006A03A3"/>
    <w:rsid w:val="006A04D7"/>
    <w:rsid w:val="006A0597"/>
    <w:rsid w:val="006A129A"/>
    <w:rsid w:val="006A1906"/>
    <w:rsid w:val="006A21B2"/>
    <w:rsid w:val="006A2676"/>
    <w:rsid w:val="006A3034"/>
    <w:rsid w:val="006A31DD"/>
    <w:rsid w:val="006A3600"/>
    <w:rsid w:val="006A3658"/>
    <w:rsid w:val="006A3CEA"/>
    <w:rsid w:val="006A3D4D"/>
    <w:rsid w:val="006A462C"/>
    <w:rsid w:val="006A4716"/>
    <w:rsid w:val="006A4E81"/>
    <w:rsid w:val="006A53AB"/>
    <w:rsid w:val="006A5CE9"/>
    <w:rsid w:val="006A60DB"/>
    <w:rsid w:val="006A60DE"/>
    <w:rsid w:val="006A6576"/>
    <w:rsid w:val="006A683A"/>
    <w:rsid w:val="006A6D26"/>
    <w:rsid w:val="006A7016"/>
    <w:rsid w:val="006A70E5"/>
    <w:rsid w:val="006A7987"/>
    <w:rsid w:val="006A7EDB"/>
    <w:rsid w:val="006B064A"/>
    <w:rsid w:val="006B085A"/>
    <w:rsid w:val="006B0D80"/>
    <w:rsid w:val="006B1640"/>
    <w:rsid w:val="006B1ADD"/>
    <w:rsid w:val="006B1CCD"/>
    <w:rsid w:val="006B2618"/>
    <w:rsid w:val="006B2883"/>
    <w:rsid w:val="006B2A8C"/>
    <w:rsid w:val="006B2B22"/>
    <w:rsid w:val="006B2B9C"/>
    <w:rsid w:val="006B2D81"/>
    <w:rsid w:val="006B3801"/>
    <w:rsid w:val="006B3FBD"/>
    <w:rsid w:val="006B435A"/>
    <w:rsid w:val="006B4B96"/>
    <w:rsid w:val="006B4E1A"/>
    <w:rsid w:val="006B5020"/>
    <w:rsid w:val="006B511F"/>
    <w:rsid w:val="006B52DF"/>
    <w:rsid w:val="006B590F"/>
    <w:rsid w:val="006B591F"/>
    <w:rsid w:val="006B5CB3"/>
    <w:rsid w:val="006B62C4"/>
    <w:rsid w:val="006B65E8"/>
    <w:rsid w:val="006B6B5E"/>
    <w:rsid w:val="006B6FD4"/>
    <w:rsid w:val="006B7339"/>
    <w:rsid w:val="006B734E"/>
    <w:rsid w:val="006B7358"/>
    <w:rsid w:val="006B7A9E"/>
    <w:rsid w:val="006B7B41"/>
    <w:rsid w:val="006B7D76"/>
    <w:rsid w:val="006C0857"/>
    <w:rsid w:val="006C0CFD"/>
    <w:rsid w:val="006C0E58"/>
    <w:rsid w:val="006C0F45"/>
    <w:rsid w:val="006C1238"/>
    <w:rsid w:val="006C1953"/>
    <w:rsid w:val="006C1BF6"/>
    <w:rsid w:val="006C2180"/>
    <w:rsid w:val="006C22C2"/>
    <w:rsid w:val="006C2496"/>
    <w:rsid w:val="006C2D0B"/>
    <w:rsid w:val="006C367D"/>
    <w:rsid w:val="006C3A16"/>
    <w:rsid w:val="006C44E7"/>
    <w:rsid w:val="006C4815"/>
    <w:rsid w:val="006C4880"/>
    <w:rsid w:val="006C4AB3"/>
    <w:rsid w:val="006C5478"/>
    <w:rsid w:val="006C63C6"/>
    <w:rsid w:val="006C659C"/>
    <w:rsid w:val="006C6C7E"/>
    <w:rsid w:val="006C6CBE"/>
    <w:rsid w:val="006C6D8F"/>
    <w:rsid w:val="006C6E46"/>
    <w:rsid w:val="006C6EBE"/>
    <w:rsid w:val="006C7188"/>
    <w:rsid w:val="006C7199"/>
    <w:rsid w:val="006C7399"/>
    <w:rsid w:val="006C7C16"/>
    <w:rsid w:val="006C7C32"/>
    <w:rsid w:val="006C7CA1"/>
    <w:rsid w:val="006C7F99"/>
    <w:rsid w:val="006C7FA5"/>
    <w:rsid w:val="006D0670"/>
    <w:rsid w:val="006D1321"/>
    <w:rsid w:val="006D1ABD"/>
    <w:rsid w:val="006D28A9"/>
    <w:rsid w:val="006D28F0"/>
    <w:rsid w:val="006D2E08"/>
    <w:rsid w:val="006D4575"/>
    <w:rsid w:val="006D4DD6"/>
    <w:rsid w:val="006D4FB0"/>
    <w:rsid w:val="006D5211"/>
    <w:rsid w:val="006D5444"/>
    <w:rsid w:val="006D5E76"/>
    <w:rsid w:val="006D62C8"/>
    <w:rsid w:val="006D6415"/>
    <w:rsid w:val="006D6CF5"/>
    <w:rsid w:val="006D7186"/>
    <w:rsid w:val="006D760D"/>
    <w:rsid w:val="006D76A1"/>
    <w:rsid w:val="006D7E0A"/>
    <w:rsid w:val="006E0356"/>
    <w:rsid w:val="006E0ED3"/>
    <w:rsid w:val="006E0ED5"/>
    <w:rsid w:val="006E0FA4"/>
    <w:rsid w:val="006E1D33"/>
    <w:rsid w:val="006E261A"/>
    <w:rsid w:val="006E28C4"/>
    <w:rsid w:val="006E2F4F"/>
    <w:rsid w:val="006E3203"/>
    <w:rsid w:val="006E3569"/>
    <w:rsid w:val="006E35E5"/>
    <w:rsid w:val="006E396F"/>
    <w:rsid w:val="006E3E60"/>
    <w:rsid w:val="006E40A8"/>
    <w:rsid w:val="006E41BC"/>
    <w:rsid w:val="006E4586"/>
    <w:rsid w:val="006E5C5C"/>
    <w:rsid w:val="006E5D1E"/>
    <w:rsid w:val="006E6334"/>
    <w:rsid w:val="006E65C6"/>
    <w:rsid w:val="006E667B"/>
    <w:rsid w:val="006E711C"/>
    <w:rsid w:val="006E744E"/>
    <w:rsid w:val="006E7768"/>
    <w:rsid w:val="006E7AF3"/>
    <w:rsid w:val="006F001E"/>
    <w:rsid w:val="006F0B39"/>
    <w:rsid w:val="006F0C8D"/>
    <w:rsid w:val="006F0CB3"/>
    <w:rsid w:val="006F10D8"/>
    <w:rsid w:val="006F120D"/>
    <w:rsid w:val="006F137E"/>
    <w:rsid w:val="006F145D"/>
    <w:rsid w:val="006F1AB2"/>
    <w:rsid w:val="006F1B7E"/>
    <w:rsid w:val="006F1CC1"/>
    <w:rsid w:val="006F21D3"/>
    <w:rsid w:val="006F2A19"/>
    <w:rsid w:val="006F2ED5"/>
    <w:rsid w:val="006F327D"/>
    <w:rsid w:val="006F3759"/>
    <w:rsid w:val="006F37E0"/>
    <w:rsid w:val="006F3B9C"/>
    <w:rsid w:val="006F3E0A"/>
    <w:rsid w:val="006F40F3"/>
    <w:rsid w:val="006F543C"/>
    <w:rsid w:val="006F5AAD"/>
    <w:rsid w:val="006F5B8D"/>
    <w:rsid w:val="006F67D0"/>
    <w:rsid w:val="006F6D5C"/>
    <w:rsid w:val="006F6EC9"/>
    <w:rsid w:val="006F7109"/>
    <w:rsid w:val="006F720E"/>
    <w:rsid w:val="006F7877"/>
    <w:rsid w:val="006F7B48"/>
    <w:rsid w:val="007002EC"/>
    <w:rsid w:val="0070037B"/>
    <w:rsid w:val="007004B4"/>
    <w:rsid w:val="007008A9"/>
    <w:rsid w:val="00701643"/>
    <w:rsid w:val="0070172C"/>
    <w:rsid w:val="00701A5B"/>
    <w:rsid w:val="00701B04"/>
    <w:rsid w:val="00701EA4"/>
    <w:rsid w:val="00702121"/>
    <w:rsid w:val="0070253C"/>
    <w:rsid w:val="0070287D"/>
    <w:rsid w:val="00702BC9"/>
    <w:rsid w:val="007036FF"/>
    <w:rsid w:val="00703A58"/>
    <w:rsid w:val="00703C56"/>
    <w:rsid w:val="00704982"/>
    <w:rsid w:val="00705215"/>
    <w:rsid w:val="00705298"/>
    <w:rsid w:val="007056B2"/>
    <w:rsid w:val="00705B20"/>
    <w:rsid w:val="00705D4C"/>
    <w:rsid w:val="007064D2"/>
    <w:rsid w:val="007066A8"/>
    <w:rsid w:val="007067CB"/>
    <w:rsid w:val="00706BD2"/>
    <w:rsid w:val="00706C8E"/>
    <w:rsid w:val="00706D23"/>
    <w:rsid w:val="0070735B"/>
    <w:rsid w:val="007075E1"/>
    <w:rsid w:val="00707758"/>
    <w:rsid w:val="00707CEA"/>
    <w:rsid w:val="007101B9"/>
    <w:rsid w:val="007105C6"/>
    <w:rsid w:val="00710A8E"/>
    <w:rsid w:val="00710EDB"/>
    <w:rsid w:val="007113DA"/>
    <w:rsid w:val="0071176E"/>
    <w:rsid w:val="00711B86"/>
    <w:rsid w:val="00711F9C"/>
    <w:rsid w:val="007125DE"/>
    <w:rsid w:val="00712623"/>
    <w:rsid w:val="007126D8"/>
    <w:rsid w:val="00712824"/>
    <w:rsid w:val="00712A30"/>
    <w:rsid w:val="00712FCE"/>
    <w:rsid w:val="00713BCB"/>
    <w:rsid w:val="00713CA3"/>
    <w:rsid w:val="00714255"/>
    <w:rsid w:val="00714316"/>
    <w:rsid w:val="0071432A"/>
    <w:rsid w:val="007146AC"/>
    <w:rsid w:val="00714BB0"/>
    <w:rsid w:val="00714D2A"/>
    <w:rsid w:val="00715EEC"/>
    <w:rsid w:val="0071619D"/>
    <w:rsid w:val="007164D2"/>
    <w:rsid w:val="00717774"/>
    <w:rsid w:val="0071793C"/>
    <w:rsid w:val="00717947"/>
    <w:rsid w:val="00717DA9"/>
    <w:rsid w:val="00717EDF"/>
    <w:rsid w:val="0072043E"/>
    <w:rsid w:val="007206D8"/>
    <w:rsid w:val="00720C45"/>
    <w:rsid w:val="00721452"/>
    <w:rsid w:val="00721459"/>
    <w:rsid w:val="007215F0"/>
    <w:rsid w:val="00721CC8"/>
    <w:rsid w:val="00721D07"/>
    <w:rsid w:val="00721E08"/>
    <w:rsid w:val="00721F04"/>
    <w:rsid w:val="00722053"/>
    <w:rsid w:val="007228E6"/>
    <w:rsid w:val="007229A8"/>
    <w:rsid w:val="00722A56"/>
    <w:rsid w:val="00722BD8"/>
    <w:rsid w:val="00723110"/>
    <w:rsid w:val="007234D7"/>
    <w:rsid w:val="0072381D"/>
    <w:rsid w:val="00723D10"/>
    <w:rsid w:val="007240B8"/>
    <w:rsid w:val="0072419F"/>
    <w:rsid w:val="007243F0"/>
    <w:rsid w:val="00724B7A"/>
    <w:rsid w:val="00724BD6"/>
    <w:rsid w:val="00724EB6"/>
    <w:rsid w:val="00725D95"/>
    <w:rsid w:val="00725E82"/>
    <w:rsid w:val="00726A36"/>
    <w:rsid w:val="00726BDE"/>
    <w:rsid w:val="00726F47"/>
    <w:rsid w:val="007277E7"/>
    <w:rsid w:val="00730CB1"/>
    <w:rsid w:val="00730D69"/>
    <w:rsid w:val="00730D82"/>
    <w:rsid w:val="00730D89"/>
    <w:rsid w:val="00730DBC"/>
    <w:rsid w:val="007313DD"/>
    <w:rsid w:val="007314ED"/>
    <w:rsid w:val="007315D9"/>
    <w:rsid w:val="0073160F"/>
    <w:rsid w:val="0073180F"/>
    <w:rsid w:val="00731ABF"/>
    <w:rsid w:val="0073297A"/>
    <w:rsid w:val="00733145"/>
    <w:rsid w:val="007331FF"/>
    <w:rsid w:val="00733C2A"/>
    <w:rsid w:val="007342CD"/>
    <w:rsid w:val="007348F5"/>
    <w:rsid w:val="00734A66"/>
    <w:rsid w:val="00734B66"/>
    <w:rsid w:val="00734E51"/>
    <w:rsid w:val="00734E85"/>
    <w:rsid w:val="0073562D"/>
    <w:rsid w:val="00735754"/>
    <w:rsid w:val="00735814"/>
    <w:rsid w:val="00735A44"/>
    <w:rsid w:val="00735F53"/>
    <w:rsid w:val="00735FD8"/>
    <w:rsid w:val="00736192"/>
    <w:rsid w:val="00736431"/>
    <w:rsid w:val="007366D1"/>
    <w:rsid w:val="00736A36"/>
    <w:rsid w:val="0073706B"/>
    <w:rsid w:val="007371A9"/>
    <w:rsid w:val="00737906"/>
    <w:rsid w:val="007400F3"/>
    <w:rsid w:val="0074028E"/>
    <w:rsid w:val="00741150"/>
    <w:rsid w:val="00741A8A"/>
    <w:rsid w:val="00741CD9"/>
    <w:rsid w:val="00741F97"/>
    <w:rsid w:val="00742518"/>
    <w:rsid w:val="00742B8F"/>
    <w:rsid w:val="00742C3D"/>
    <w:rsid w:val="00742DF9"/>
    <w:rsid w:val="00742F9A"/>
    <w:rsid w:val="00743514"/>
    <w:rsid w:val="0074371D"/>
    <w:rsid w:val="00743CFB"/>
    <w:rsid w:val="00744642"/>
    <w:rsid w:val="00744923"/>
    <w:rsid w:val="00744B13"/>
    <w:rsid w:val="00744D26"/>
    <w:rsid w:val="00744DBD"/>
    <w:rsid w:val="00745014"/>
    <w:rsid w:val="00745338"/>
    <w:rsid w:val="0074578D"/>
    <w:rsid w:val="007457D1"/>
    <w:rsid w:val="00745996"/>
    <w:rsid w:val="00745DD3"/>
    <w:rsid w:val="007466FF"/>
    <w:rsid w:val="0074776C"/>
    <w:rsid w:val="007506F4"/>
    <w:rsid w:val="00750931"/>
    <w:rsid w:val="00750B7F"/>
    <w:rsid w:val="0075162C"/>
    <w:rsid w:val="00751729"/>
    <w:rsid w:val="00751745"/>
    <w:rsid w:val="00751AC7"/>
    <w:rsid w:val="00752396"/>
    <w:rsid w:val="007526B1"/>
    <w:rsid w:val="00752AB0"/>
    <w:rsid w:val="00752BD8"/>
    <w:rsid w:val="007532F2"/>
    <w:rsid w:val="007537EC"/>
    <w:rsid w:val="00753874"/>
    <w:rsid w:val="007538D1"/>
    <w:rsid w:val="007542A1"/>
    <w:rsid w:val="00754419"/>
    <w:rsid w:val="007550BD"/>
    <w:rsid w:val="0075534E"/>
    <w:rsid w:val="00755DAB"/>
    <w:rsid w:val="0075603E"/>
    <w:rsid w:val="007562B3"/>
    <w:rsid w:val="007566C9"/>
    <w:rsid w:val="007566E8"/>
    <w:rsid w:val="0075673D"/>
    <w:rsid w:val="00756A51"/>
    <w:rsid w:val="00756AD4"/>
    <w:rsid w:val="007576B7"/>
    <w:rsid w:val="007576F6"/>
    <w:rsid w:val="007578C9"/>
    <w:rsid w:val="0075793C"/>
    <w:rsid w:val="00757ADA"/>
    <w:rsid w:val="00757F6F"/>
    <w:rsid w:val="00760155"/>
    <w:rsid w:val="00760240"/>
    <w:rsid w:val="007604FF"/>
    <w:rsid w:val="007605D2"/>
    <w:rsid w:val="00760797"/>
    <w:rsid w:val="007608CC"/>
    <w:rsid w:val="00760A93"/>
    <w:rsid w:val="00760B4B"/>
    <w:rsid w:val="00760F54"/>
    <w:rsid w:val="007615A5"/>
    <w:rsid w:val="00761E28"/>
    <w:rsid w:val="00761FFD"/>
    <w:rsid w:val="0076229B"/>
    <w:rsid w:val="0076351C"/>
    <w:rsid w:val="00763843"/>
    <w:rsid w:val="00763A8D"/>
    <w:rsid w:val="007640A9"/>
    <w:rsid w:val="007640CC"/>
    <w:rsid w:val="0076445F"/>
    <w:rsid w:val="00764493"/>
    <w:rsid w:val="00764972"/>
    <w:rsid w:val="00766261"/>
    <w:rsid w:val="0076635F"/>
    <w:rsid w:val="00766504"/>
    <w:rsid w:val="007665E1"/>
    <w:rsid w:val="00766705"/>
    <w:rsid w:val="0076725A"/>
    <w:rsid w:val="0076741A"/>
    <w:rsid w:val="00767A8F"/>
    <w:rsid w:val="00767D4D"/>
    <w:rsid w:val="007701EC"/>
    <w:rsid w:val="007705D4"/>
    <w:rsid w:val="007717B9"/>
    <w:rsid w:val="00771F3B"/>
    <w:rsid w:val="00771F78"/>
    <w:rsid w:val="00772550"/>
    <w:rsid w:val="00772D13"/>
    <w:rsid w:val="00772E67"/>
    <w:rsid w:val="00773879"/>
    <w:rsid w:val="00773B51"/>
    <w:rsid w:val="00773CED"/>
    <w:rsid w:val="00773E64"/>
    <w:rsid w:val="0077414E"/>
    <w:rsid w:val="0077460D"/>
    <w:rsid w:val="0077478E"/>
    <w:rsid w:val="00774C06"/>
    <w:rsid w:val="00774D18"/>
    <w:rsid w:val="007753C9"/>
    <w:rsid w:val="007755F4"/>
    <w:rsid w:val="00776106"/>
    <w:rsid w:val="0077684E"/>
    <w:rsid w:val="00776F6A"/>
    <w:rsid w:val="00777235"/>
    <w:rsid w:val="00777303"/>
    <w:rsid w:val="007773BD"/>
    <w:rsid w:val="007775D3"/>
    <w:rsid w:val="00777DC1"/>
    <w:rsid w:val="00777F04"/>
    <w:rsid w:val="00780406"/>
    <w:rsid w:val="0078089D"/>
    <w:rsid w:val="00780C4A"/>
    <w:rsid w:val="00780F5C"/>
    <w:rsid w:val="007810FA"/>
    <w:rsid w:val="00782420"/>
    <w:rsid w:val="00782954"/>
    <w:rsid w:val="007830AD"/>
    <w:rsid w:val="00783106"/>
    <w:rsid w:val="007832FC"/>
    <w:rsid w:val="007840DE"/>
    <w:rsid w:val="0078414B"/>
    <w:rsid w:val="00784822"/>
    <w:rsid w:val="0078484E"/>
    <w:rsid w:val="00784CF9"/>
    <w:rsid w:val="007859DA"/>
    <w:rsid w:val="00785CE7"/>
    <w:rsid w:val="00785E5F"/>
    <w:rsid w:val="00786220"/>
    <w:rsid w:val="00786A4F"/>
    <w:rsid w:val="007872DA"/>
    <w:rsid w:val="00787731"/>
    <w:rsid w:val="007877C3"/>
    <w:rsid w:val="00787D9B"/>
    <w:rsid w:val="00790357"/>
    <w:rsid w:val="007904FB"/>
    <w:rsid w:val="00790514"/>
    <w:rsid w:val="00790A19"/>
    <w:rsid w:val="00790BF9"/>
    <w:rsid w:val="00790D42"/>
    <w:rsid w:val="0079104C"/>
    <w:rsid w:val="00791CC2"/>
    <w:rsid w:val="00791E1B"/>
    <w:rsid w:val="00792043"/>
    <w:rsid w:val="00792633"/>
    <w:rsid w:val="00792653"/>
    <w:rsid w:val="007926A6"/>
    <w:rsid w:val="007928DE"/>
    <w:rsid w:val="007929F3"/>
    <w:rsid w:val="007930E9"/>
    <w:rsid w:val="00793342"/>
    <w:rsid w:val="0079338B"/>
    <w:rsid w:val="00793850"/>
    <w:rsid w:val="00793A31"/>
    <w:rsid w:val="0079439D"/>
    <w:rsid w:val="00794C17"/>
    <w:rsid w:val="00794EE5"/>
    <w:rsid w:val="00795462"/>
    <w:rsid w:val="007954E2"/>
    <w:rsid w:val="00795BB8"/>
    <w:rsid w:val="00795D18"/>
    <w:rsid w:val="0079657D"/>
    <w:rsid w:val="007969DE"/>
    <w:rsid w:val="007969F9"/>
    <w:rsid w:val="00796D6F"/>
    <w:rsid w:val="00796E7B"/>
    <w:rsid w:val="00796F38"/>
    <w:rsid w:val="0079710A"/>
    <w:rsid w:val="00797AEF"/>
    <w:rsid w:val="00797BC9"/>
    <w:rsid w:val="00797D5E"/>
    <w:rsid w:val="007A02E1"/>
    <w:rsid w:val="007A07A8"/>
    <w:rsid w:val="007A0BEE"/>
    <w:rsid w:val="007A0C6E"/>
    <w:rsid w:val="007A0E59"/>
    <w:rsid w:val="007A1190"/>
    <w:rsid w:val="007A1AAB"/>
    <w:rsid w:val="007A1AF2"/>
    <w:rsid w:val="007A1B05"/>
    <w:rsid w:val="007A21FF"/>
    <w:rsid w:val="007A25C0"/>
    <w:rsid w:val="007A29AE"/>
    <w:rsid w:val="007A2AD8"/>
    <w:rsid w:val="007A2E64"/>
    <w:rsid w:val="007A36BA"/>
    <w:rsid w:val="007A494B"/>
    <w:rsid w:val="007A4D1C"/>
    <w:rsid w:val="007A561E"/>
    <w:rsid w:val="007A5D51"/>
    <w:rsid w:val="007A5EB0"/>
    <w:rsid w:val="007A60B9"/>
    <w:rsid w:val="007A61CC"/>
    <w:rsid w:val="007A62AA"/>
    <w:rsid w:val="007A64F5"/>
    <w:rsid w:val="007A6E42"/>
    <w:rsid w:val="007A7543"/>
    <w:rsid w:val="007A7A92"/>
    <w:rsid w:val="007A7DE7"/>
    <w:rsid w:val="007B10BD"/>
    <w:rsid w:val="007B17E5"/>
    <w:rsid w:val="007B29F4"/>
    <w:rsid w:val="007B2C44"/>
    <w:rsid w:val="007B2D01"/>
    <w:rsid w:val="007B32DA"/>
    <w:rsid w:val="007B354A"/>
    <w:rsid w:val="007B3CA9"/>
    <w:rsid w:val="007B3CE7"/>
    <w:rsid w:val="007B3EFA"/>
    <w:rsid w:val="007B4685"/>
    <w:rsid w:val="007B52C7"/>
    <w:rsid w:val="007B5344"/>
    <w:rsid w:val="007B5405"/>
    <w:rsid w:val="007B5CE9"/>
    <w:rsid w:val="007B60B5"/>
    <w:rsid w:val="007B61F7"/>
    <w:rsid w:val="007B6397"/>
    <w:rsid w:val="007B677C"/>
    <w:rsid w:val="007B6A67"/>
    <w:rsid w:val="007B6D06"/>
    <w:rsid w:val="007B705E"/>
    <w:rsid w:val="007B73EA"/>
    <w:rsid w:val="007B798B"/>
    <w:rsid w:val="007C0A86"/>
    <w:rsid w:val="007C0C44"/>
    <w:rsid w:val="007C131B"/>
    <w:rsid w:val="007C13FD"/>
    <w:rsid w:val="007C166F"/>
    <w:rsid w:val="007C16EE"/>
    <w:rsid w:val="007C1A83"/>
    <w:rsid w:val="007C1AD1"/>
    <w:rsid w:val="007C1C5D"/>
    <w:rsid w:val="007C2081"/>
    <w:rsid w:val="007C23E6"/>
    <w:rsid w:val="007C27C4"/>
    <w:rsid w:val="007C2926"/>
    <w:rsid w:val="007C293E"/>
    <w:rsid w:val="007C317D"/>
    <w:rsid w:val="007C3584"/>
    <w:rsid w:val="007C3E57"/>
    <w:rsid w:val="007C42EC"/>
    <w:rsid w:val="007C455E"/>
    <w:rsid w:val="007C47C3"/>
    <w:rsid w:val="007C48C3"/>
    <w:rsid w:val="007C4D92"/>
    <w:rsid w:val="007C50A5"/>
    <w:rsid w:val="007C512C"/>
    <w:rsid w:val="007C51A5"/>
    <w:rsid w:val="007C6194"/>
    <w:rsid w:val="007C6683"/>
    <w:rsid w:val="007C698A"/>
    <w:rsid w:val="007C6ADA"/>
    <w:rsid w:val="007C6D29"/>
    <w:rsid w:val="007C7489"/>
    <w:rsid w:val="007C781D"/>
    <w:rsid w:val="007C78A3"/>
    <w:rsid w:val="007C7CE1"/>
    <w:rsid w:val="007D016F"/>
    <w:rsid w:val="007D02DD"/>
    <w:rsid w:val="007D0354"/>
    <w:rsid w:val="007D0A25"/>
    <w:rsid w:val="007D0F5A"/>
    <w:rsid w:val="007D1023"/>
    <w:rsid w:val="007D129B"/>
    <w:rsid w:val="007D14A0"/>
    <w:rsid w:val="007D1516"/>
    <w:rsid w:val="007D1565"/>
    <w:rsid w:val="007D15FD"/>
    <w:rsid w:val="007D1A4A"/>
    <w:rsid w:val="007D2022"/>
    <w:rsid w:val="007D2190"/>
    <w:rsid w:val="007D2354"/>
    <w:rsid w:val="007D255A"/>
    <w:rsid w:val="007D36AC"/>
    <w:rsid w:val="007D40B1"/>
    <w:rsid w:val="007D4305"/>
    <w:rsid w:val="007D441B"/>
    <w:rsid w:val="007D4445"/>
    <w:rsid w:val="007D4579"/>
    <w:rsid w:val="007D47FB"/>
    <w:rsid w:val="007D4F37"/>
    <w:rsid w:val="007D52DE"/>
    <w:rsid w:val="007D57FF"/>
    <w:rsid w:val="007D5A92"/>
    <w:rsid w:val="007D5E04"/>
    <w:rsid w:val="007D5FE7"/>
    <w:rsid w:val="007D60AC"/>
    <w:rsid w:val="007D685E"/>
    <w:rsid w:val="007D6EE1"/>
    <w:rsid w:val="007D7D9D"/>
    <w:rsid w:val="007D7E1C"/>
    <w:rsid w:val="007E06B7"/>
    <w:rsid w:val="007E08CF"/>
    <w:rsid w:val="007E0D4F"/>
    <w:rsid w:val="007E12EC"/>
    <w:rsid w:val="007E1321"/>
    <w:rsid w:val="007E1422"/>
    <w:rsid w:val="007E15BD"/>
    <w:rsid w:val="007E163D"/>
    <w:rsid w:val="007E18C2"/>
    <w:rsid w:val="007E1953"/>
    <w:rsid w:val="007E197F"/>
    <w:rsid w:val="007E1CE5"/>
    <w:rsid w:val="007E1D48"/>
    <w:rsid w:val="007E1FB8"/>
    <w:rsid w:val="007E2077"/>
    <w:rsid w:val="007E2206"/>
    <w:rsid w:val="007E2419"/>
    <w:rsid w:val="007E2720"/>
    <w:rsid w:val="007E2800"/>
    <w:rsid w:val="007E2D78"/>
    <w:rsid w:val="007E2DFD"/>
    <w:rsid w:val="007E34AE"/>
    <w:rsid w:val="007E3944"/>
    <w:rsid w:val="007E3A0A"/>
    <w:rsid w:val="007E3EE5"/>
    <w:rsid w:val="007E3F69"/>
    <w:rsid w:val="007E41B3"/>
    <w:rsid w:val="007E43E2"/>
    <w:rsid w:val="007E45E8"/>
    <w:rsid w:val="007E483B"/>
    <w:rsid w:val="007E497B"/>
    <w:rsid w:val="007E4A2C"/>
    <w:rsid w:val="007E4CF7"/>
    <w:rsid w:val="007E4DEF"/>
    <w:rsid w:val="007E4E5B"/>
    <w:rsid w:val="007E51E6"/>
    <w:rsid w:val="007E54ED"/>
    <w:rsid w:val="007E562B"/>
    <w:rsid w:val="007E5D30"/>
    <w:rsid w:val="007E5E55"/>
    <w:rsid w:val="007E5F7C"/>
    <w:rsid w:val="007E68E2"/>
    <w:rsid w:val="007E6B50"/>
    <w:rsid w:val="007E797C"/>
    <w:rsid w:val="007E7A91"/>
    <w:rsid w:val="007E7AAA"/>
    <w:rsid w:val="007E7DAA"/>
    <w:rsid w:val="007F07B0"/>
    <w:rsid w:val="007F0AC7"/>
    <w:rsid w:val="007F1292"/>
    <w:rsid w:val="007F1592"/>
    <w:rsid w:val="007F15C6"/>
    <w:rsid w:val="007F1643"/>
    <w:rsid w:val="007F1BEF"/>
    <w:rsid w:val="007F1CAC"/>
    <w:rsid w:val="007F1E8D"/>
    <w:rsid w:val="007F2402"/>
    <w:rsid w:val="007F2570"/>
    <w:rsid w:val="007F313E"/>
    <w:rsid w:val="007F3465"/>
    <w:rsid w:val="007F4445"/>
    <w:rsid w:val="007F454D"/>
    <w:rsid w:val="007F4937"/>
    <w:rsid w:val="007F4949"/>
    <w:rsid w:val="007F5668"/>
    <w:rsid w:val="007F58FF"/>
    <w:rsid w:val="007F5D03"/>
    <w:rsid w:val="007F6286"/>
    <w:rsid w:val="007F6DAD"/>
    <w:rsid w:val="007F7763"/>
    <w:rsid w:val="007F77FC"/>
    <w:rsid w:val="007F7840"/>
    <w:rsid w:val="007F7F50"/>
    <w:rsid w:val="008003AD"/>
    <w:rsid w:val="00801523"/>
    <w:rsid w:val="008017C8"/>
    <w:rsid w:val="00801B83"/>
    <w:rsid w:val="00801CE0"/>
    <w:rsid w:val="00801DC1"/>
    <w:rsid w:val="00801E2E"/>
    <w:rsid w:val="008024F8"/>
    <w:rsid w:val="0080256D"/>
    <w:rsid w:val="00802C3B"/>
    <w:rsid w:val="00803880"/>
    <w:rsid w:val="008039EC"/>
    <w:rsid w:val="008048FC"/>
    <w:rsid w:val="00804ABC"/>
    <w:rsid w:val="00804B7F"/>
    <w:rsid w:val="00804DD3"/>
    <w:rsid w:val="0080531A"/>
    <w:rsid w:val="00805721"/>
    <w:rsid w:val="008058BB"/>
    <w:rsid w:val="00805992"/>
    <w:rsid w:val="0080642F"/>
    <w:rsid w:val="008068E7"/>
    <w:rsid w:val="00807013"/>
    <w:rsid w:val="008075DD"/>
    <w:rsid w:val="00807763"/>
    <w:rsid w:val="008077AD"/>
    <w:rsid w:val="00807A3B"/>
    <w:rsid w:val="008101F7"/>
    <w:rsid w:val="00810A77"/>
    <w:rsid w:val="00810C46"/>
    <w:rsid w:val="00811019"/>
    <w:rsid w:val="008111FC"/>
    <w:rsid w:val="0081121A"/>
    <w:rsid w:val="00811528"/>
    <w:rsid w:val="008123F6"/>
    <w:rsid w:val="00812417"/>
    <w:rsid w:val="00812609"/>
    <w:rsid w:val="008126B5"/>
    <w:rsid w:val="008127F1"/>
    <w:rsid w:val="00812806"/>
    <w:rsid w:val="008128CE"/>
    <w:rsid w:val="00812A03"/>
    <w:rsid w:val="00812D56"/>
    <w:rsid w:val="00813073"/>
    <w:rsid w:val="00813131"/>
    <w:rsid w:val="00813632"/>
    <w:rsid w:val="00813741"/>
    <w:rsid w:val="00813930"/>
    <w:rsid w:val="0081394F"/>
    <w:rsid w:val="00814859"/>
    <w:rsid w:val="00814C92"/>
    <w:rsid w:val="008150A1"/>
    <w:rsid w:val="008152C6"/>
    <w:rsid w:val="008153E6"/>
    <w:rsid w:val="00816357"/>
    <w:rsid w:val="008165B1"/>
    <w:rsid w:val="00816800"/>
    <w:rsid w:val="00816959"/>
    <w:rsid w:val="00816C1C"/>
    <w:rsid w:val="00816E03"/>
    <w:rsid w:val="00817203"/>
    <w:rsid w:val="0081726A"/>
    <w:rsid w:val="00817668"/>
    <w:rsid w:val="0081779A"/>
    <w:rsid w:val="008203E6"/>
    <w:rsid w:val="008203F6"/>
    <w:rsid w:val="00820447"/>
    <w:rsid w:val="00820918"/>
    <w:rsid w:val="00820E28"/>
    <w:rsid w:val="00821F89"/>
    <w:rsid w:val="0082241E"/>
    <w:rsid w:val="00822861"/>
    <w:rsid w:val="00822AC7"/>
    <w:rsid w:val="00822CBF"/>
    <w:rsid w:val="00823311"/>
    <w:rsid w:val="0082360A"/>
    <w:rsid w:val="008254B4"/>
    <w:rsid w:val="00825817"/>
    <w:rsid w:val="00825B09"/>
    <w:rsid w:val="00825C76"/>
    <w:rsid w:val="00825D87"/>
    <w:rsid w:val="008266A3"/>
    <w:rsid w:val="00826FBA"/>
    <w:rsid w:val="00827195"/>
    <w:rsid w:val="00827531"/>
    <w:rsid w:val="00827C73"/>
    <w:rsid w:val="00827E01"/>
    <w:rsid w:val="0083040C"/>
    <w:rsid w:val="008304ED"/>
    <w:rsid w:val="008306E7"/>
    <w:rsid w:val="008306F0"/>
    <w:rsid w:val="008308E1"/>
    <w:rsid w:val="00830B5F"/>
    <w:rsid w:val="0083130F"/>
    <w:rsid w:val="008317C4"/>
    <w:rsid w:val="00831F34"/>
    <w:rsid w:val="00831FD8"/>
    <w:rsid w:val="008322DC"/>
    <w:rsid w:val="00832A8A"/>
    <w:rsid w:val="00832B68"/>
    <w:rsid w:val="0083359A"/>
    <w:rsid w:val="008337F3"/>
    <w:rsid w:val="00833815"/>
    <w:rsid w:val="008338E2"/>
    <w:rsid w:val="00833A5B"/>
    <w:rsid w:val="00833ECB"/>
    <w:rsid w:val="008340D7"/>
    <w:rsid w:val="00834217"/>
    <w:rsid w:val="008346B2"/>
    <w:rsid w:val="00834783"/>
    <w:rsid w:val="008347D7"/>
    <w:rsid w:val="00834E34"/>
    <w:rsid w:val="00834E59"/>
    <w:rsid w:val="008351DC"/>
    <w:rsid w:val="008353A3"/>
    <w:rsid w:val="00835413"/>
    <w:rsid w:val="008357A2"/>
    <w:rsid w:val="00835CA0"/>
    <w:rsid w:val="00835DB0"/>
    <w:rsid w:val="00835EF6"/>
    <w:rsid w:val="0083601A"/>
    <w:rsid w:val="008360DA"/>
    <w:rsid w:val="00836334"/>
    <w:rsid w:val="0083645F"/>
    <w:rsid w:val="00836653"/>
    <w:rsid w:val="00836B3F"/>
    <w:rsid w:val="00836BB0"/>
    <w:rsid w:val="00837158"/>
    <w:rsid w:val="0083735F"/>
    <w:rsid w:val="0083749B"/>
    <w:rsid w:val="00837889"/>
    <w:rsid w:val="008406E6"/>
    <w:rsid w:val="00840A5C"/>
    <w:rsid w:val="0084127C"/>
    <w:rsid w:val="008417A8"/>
    <w:rsid w:val="0084195D"/>
    <w:rsid w:val="00841CAE"/>
    <w:rsid w:val="00841DA7"/>
    <w:rsid w:val="00841F59"/>
    <w:rsid w:val="00843368"/>
    <w:rsid w:val="008439DE"/>
    <w:rsid w:val="00844190"/>
    <w:rsid w:val="008441B5"/>
    <w:rsid w:val="00846035"/>
    <w:rsid w:val="00846268"/>
    <w:rsid w:val="0084630F"/>
    <w:rsid w:val="00846DF8"/>
    <w:rsid w:val="00846F62"/>
    <w:rsid w:val="0084711B"/>
    <w:rsid w:val="00847496"/>
    <w:rsid w:val="0084760F"/>
    <w:rsid w:val="00847AB7"/>
    <w:rsid w:val="00847D6A"/>
    <w:rsid w:val="0085039F"/>
    <w:rsid w:val="00850CB7"/>
    <w:rsid w:val="00850D46"/>
    <w:rsid w:val="00850ED2"/>
    <w:rsid w:val="00850F27"/>
    <w:rsid w:val="00851389"/>
    <w:rsid w:val="0085155F"/>
    <w:rsid w:val="0085172A"/>
    <w:rsid w:val="00851E58"/>
    <w:rsid w:val="008527AE"/>
    <w:rsid w:val="008538E9"/>
    <w:rsid w:val="008539B9"/>
    <w:rsid w:val="00853A6A"/>
    <w:rsid w:val="0085474A"/>
    <w:rsid w:val="00854A01"/>
    <w:rsid w:val="00855378"/>
    <w:rsid w:val="00855915"/>
    <w:rsid w:val="00855C0B"/>
    <w:rsid w:val="008561DC"/>
    <w:rsid w:val="008564AD"/>
    <w:rsid w:val="00857183"/>
    <w:rsid w:val="00857190"/>
    <w:rsid w:val="008576FA"/>
    <w:rsid w:val="00860303"/>
    <w:rsid w:val="0086095D"/>
    <w:rsid w:val="00860A88"/>
    <w:rsid w:val="00861606"/>
    <w:rsid w:val="00861821"/>
    <w:rsid w:val="00861F7A"/>
    <w:rsid w:val="008624A3"/>
    <w:rsid w:val="008624C2"/>
    <w:rsid w:val="00862AAE"/>
    <w:rsid w:val="0086324E"/>
    <w:rsid w:val="00863467"/>
    <w:rsid w:val="00863A5E"/>
    <w:rsid w:val="00863E1B"/>
    <w:rsid w:val="0086479B"/>
    <w:rsid w:val="008647F6"/>
    <w:rsid w:val="00864ED2"/>
    <w:rsid w:val="00864FF2"/>
    <w:rsid w:val="0086542A"/>
    <w:rsid w:val="00865DE9"/>
    <w:rsid w:val="00865EF9"/>
    <w:rsid w:val="008660EC"/>
    <w:rsid w:val="00866173"/>
    <w:rsid w:val="00866204"/>
    <w:rsid w:val="0086641B"/>
    <w:rsid w:val="0086680A"/>
    <w:rsid w:val="00866947"/>
    <w:rsid w:val="00866CA5"/>
    <w:rsid w:val="008676D9"/>
    <w:rsid w:val="008677B2"/>
    <w:rsid w:val="00867E0C"/>
    <w:rsid w:val="0087047C"/>
    <w:rsid w:val="00870A49"/>
    <w:rsid w:val="00870BCE"/>
    <w:rsid w:val="00870DEC"/>
    <w:rsid w:val="00871394"/>
    <w:rsid w:val="008715EC"/>
    <w:rsid w:val="00871A5C"/>
    <w:rsid w:val="00871ACA"/>
    <w:rsid w:val="00871DC5"/>
    <w:rsid w:val="00871E02"/>
    <w:rsid w:val="00871EF9"/>
    <w:rsid w:val="00872A72"/>
    <w:rsid w:val="00873A77"/>
    <w:rsid w:val="00873AC6"/>
    <w:rsid w:val="00874013"/>
    <w:rsid w:val="00874847"/>
    <w:rsid w:val="00874A18"/>
    <w:rsid w:val="00874F78"/>
    <w:rsid w:val="008750D7"/>
    <w:rsid w:val="008750F3"/>
    <w:rsid w:val="00875369"/>
    <w:rsid w:val="008755A4"/>
    <w:rsid w:val="008758F4"/>
    <w:rsid w:val="00876016"/>
    <w:rsid w:val="00877A31"/>
    <w:rsid w:val="00877E4B"/>
    <w:rsid w:val="00877F13"/>
    <w:rsid w:val="00880275"/>
    <w:rsid w:val="00880994"/>
    <w:rsid w:val="00880B7D"/>
    <w:rsid w:val="00880DFC"/>
    <w:rsid w:val="00880FB1"/>
    <w:rsid w:val="0088108D"/>
    <w:rsid w:val="0088114C"/>
    <w:rsid w:val="0088129D"/>
    <w:rsid w:val="0088182C"/>
    <w:rsid w:val="00881C77"/>
    <w:rsid w:val="00881D14"/>
    <w:rsid w:val="008824DD"/>
    <w:rsid w:val="008827D0"/>
    <w:rsid w:val="00882CF2"/>
    <w:rsid w:val="00883686"/>
    <w:rsid w:val="00883729"/>
    <w:rsid w:val="008845C8"/>
    <w:rsid w:val="008847B7"/>
    <w:rsid w:val="008848DA"/>
    <w:rsid w:val="00884ACC"/>
    <w:rsid w:val="00884DB6"/>
    <w:rsid w:val="00884E2F"/>
    <w:rsid w:val="0088501A"/>
    <w:rsid w:val="00885BCA"/>
    <w:rsid w:val="00885F14"/>
    <w:rsid w:val="0088655A"/>
    <w:rsid w:val="00886663"/>
    <w:rsid w:val="0088698C"/>
    <w:rsid w:val="00886B92"/>
    <w:rsid w:val="00886BCF"/>
    <w:rsid w:val="00886CE9"/>
    <w:rsid w:val="00886EE1"/>
    <w:rsid w:val="008871C4"/>
    <w:rsid w:val="008874FD"/>
    <w:rsid w:val="00890264"/>
    <w:rsid w:val="00890359"/>
    <w:rsid w:val="00890501"/>
    <w:rsid w:val="008909BA"/>
    <w:rsid w:val="00891104"/>
    <w:rsid w:val="0089189B"/>
    <w:rsid w:val="008918CA"/>
    <w:rsid w:val="00891DC9"/>
    <w:rsid w:val="008923D9"/>
    <w:rsid w:val="00892425"/>
    <w:rsid w:val="0089259C"/>
    <w:rsid w:val="00892BEB"/>
    <w:rsid w:val="008932C6"/>
    <w:rsid w:val="00893A27"/>
    <w:rsid w:val="00893C12"/>
    <w:rsid w:val="00893F6B"/>
    <w:rsid w:val="00893FFB"/>
    <w:rsid w:val="0089400B"/>
    <w:rsid w:val="00894B9B"/>
    <w:rsid w:val="00894E4D"/>
    <w:rsid w:val="00894E63"/>
    <w:rsid w:val="00896846"/>
    <w:rsid w:val="00896DE4"/>
    <w:rsid w:val="0089758E"/>
    <w:rsid w:val="008A04D9"/>
    <w:rsid w:val="008A05F4"/>
    <w:rsid w:val="008A0DFD"/>
    <w:rsid w:val="008A1497"/>
    <w:rsid w:val="008A2A88"/>
    <w:rsid w:val="008A2A8C"/>
    <w:rsid w:val="008A2EF3"/>
    <w:rsid w:val="008A31DD"/>
    <w:rsid w:val="008A354F"/>
    <w:rsid w:val="008A3A0B"/>
    <w:rsid w:val="008A3E0E"/>
    <w:rsid w:val="008A3EEA"/>
    <w:rsid w:val="008A4307"/>
    <w:rsid w:val="008A435E"/>
    <w:rsid w:val="008A4787"/>
    <w:rsid w:val="008A47A4"/>
    <w:rsid w:val="008A4882"/>
    <w:rsid w:val="008A4918"/>
    <w:rsid w:val="008A4A5B"/>
    <w:rsid w:val="008A4D6E"/>
    <w:rsid w:val="008A5884"/>
    <w:rsid w:val="008A5FC3"/>
    <w:rsid w:val="008A6375"/>
    <w:rsid w:val="008A6DCD"/>
    <w:rsid w:val="008A7B9A"/>
    <w:rsid w:val="008B04E6"/>
    <w:rsid w:val="008B05DB"/>
    <w:rsid w:val="008B1C39"/>
    <w:rsid w:val="008B2178"/>
    <w:rsid w:val="008B26C3"/>
    <w:rsid w:val="008B2713"/>
    <w:rsid w:val="008B2E83"/>
    <w:rsid w:val="008B3268"/>
    <w:rsid w:val="008B3A57"/>
    <w:rsid w:val="008B45A0"/>
    <w:rsid w:val="008B471B"/>
    <w:rsid w:val="008B4CBC"/>
    <w:rsid w:val="008B4D4B"/>
    <w:rsid w:val="008B4DE9"/>
    <w:rsid w:val="008B5049"/>
    <w:rsid w:val="008B5758"/>
    <w:rsid w:val="008B61D4"/>
    <w:rsid w:val="008B65EB"/>
    <w:rsid w:val="008B6B1E"/>
    <w:rsid w:val="008B7050"/>
    <w:rsid w:val="008B7195"/>
    <w:rsid w:val="008B71C0"/>
    <w:rsid w:val="008B741A"/>
    <w:rsid w:val="008B7427"/>
    <w:rsid w:val="008C035E"/>
    <w:rsid w:val="008C0573"/>
    <w:rsid w:val="008C07B2"/>
    <w:rsid w:val="008C086C"/>
    <w:rsid w:val="008C185D"/>
    <w:rsid w:val="008C1913"/>
    <w:rsid w:val="008C1A50"/>
    <w:rsid w:val="008C2156"/>
    <w:rsid w:val="008C21DC"/>
    <w:rsid w:val="008C243F"/>
    <w:rsid w:val="008C2463"/>
    <w:rsid w:val="008C2914"/>
    <w:rsid w:val="008C2CB1"/>
    <w:rsid w:val="008C2E6E"/>
    <w:rsid w:val="008C313D"/>
    <w:rsid w:val="008C33FB"/>
    <w:rsid w:val="008C3447"/>
    <w:rsid w:val="008C3539"/>
    <w:rsid w:val="008C3F49"/>
    <w:rsid w:val="008C4474"/>
    <w:rsid w:val="008C4A24"/>
    <w:rsid w:val="008C4A6E"/>
    <w:rsid w:val="008C4AFF"/>
    <w:rsid w:val="008C578E"/>
    <w:rsid w:val="008C5CCE"/>
    <w:rsid w:val="008C5DC8"/>
    <w:rsid w:val="008C6159"/>
    <w:rsid w:val="008C65D4"/>
    <w:rsid w:val="008C6744"/>
    <w:rsid w:val="008C6C25"/>
    <w:rsid w:val="008C6D75"/>
    <w:rsid w:val="008C6E8D"/>
    <w:rsid w:val="008C6EEF"/>
    <w:rsid w:val="008C6F1E"/>
    <w:rsid w:val="008C6F28"/>
    <w:rsid w:val="008C701A"/>
    <w:rsid w:val="008C7462"/>
    <w:rsid w:val="008D037F"/>
    <w:rsid w:val="008D04D7"/>
    <w:rsid w:val="008D07F5"/>
    <w:rsid w:val="008D0954"/>
    <w:rsid w:val="008D0E07"/>
    <w:rsid w:val="008D0E0B"/>
    <w:rsid w:val="008D0E86"/>
    <w:rsid w:val="008D0F00"/>
    <w:rsid w:val="008D0FBC"/>
    <w:rsid w:val="008D177A"/>
    <w:rsid w:val="008D1E2E"/>
    <w:rsid w:val="008D1EFF"/>
    <w:rsid w:val="008D23F4"/>
    <w:rsid w:val="008D27E1"/>
    <w:rsid w:val="008D2808"/>
    <w:rsid w:val="008D39EE"/>
    <w:rsid w:val="008D3BB6"/>
    <w:rsid w:val="008D3BC6"/>
    <w:rsid w:val="008D418B"/>
    <w:rsid w:val="008D4388"/>
    <w:rsid w:val="008D4BCC"/>
    <w:rsid w:val="008D4C19"/>
    <w:rsid w:val="008D5040"/>
    <w:rsid w:val="008D528A"/>
    <w:rsid w:val="008D528B"/>
    <w:rsid w:val="008D5884"/>
    <w:rsid w:val="008D5A08"/>
    <w:rsid w:val="008D5CCC"/>
    <w:rsid w:val="008D5CDE"/>
    <w:rsid w:val="008D6120"/>
    <w:rsid w:val="008D614A"/>
    <w:rsid w:val="008D66FA"/>
    <w:rsid w:val="008D67FC"/>
    <w:rsid w:val="008D75EC"/>
    <w:rsid w:val="008D7BBE"/>
    <w:rsid w:val="008D7C8B"/>
    <w:rsid w:val="008E0116"/>
    <w:rsid w:val="008E0CAD"/>
    <w:rsid w:val="008E0E93"/>
    <w:rsid w:val="008E13B1"/>
    <w:rsid w:val="008E13DE"/>
    <w:rsid w:val="008E1420"/>
    <w:rsid w:val="008E14ED"/>
    <w:rsid w:val="008E198E"/>
    <w:rsid w:val="008E19BD"/>
    <w:rsid w:val="008E257D"/>
    <w:rsid w:val="008E261A"/>
    <w:rsid w:val="008E2700"/>
    <w:rsid w:val="008E2A32"/>
    <w:rsid w:val="008E2CBF"/>
    <w:rsid w:val="008E3AA5"/>
    <w:rsid w:val="008E3BF8"/>
    <w:rsid w:val="008E4109"/>
    <w:rsid w:val="008E4847"/>
    <w:rsid w:val="008E4E89"/>
    <w:rsid w:val="008E50CA"/>
    <w:rsid w:val="008E5891"/>
    <w:rsid w:val="008E5C3A"/>
    <w:rsid w:val="008E5F9F"/>
    <w:rsid w:val="008E6093"/>
    <w:rsid w:val="008E65CE"/>
    <w:rsid w:val="008E69A9"/>
    <w:rsid w:val="008E6B06"/>
    <w:rsid w:val="008E6B41"/>
    <w:rsid w:val="008E6F84"/>
    <w:rsid w:val="008E6FE1"/>
    <w:rsid w:val="008E7527"/>
    <w:rsid w:val="008E758F"/>
    <w:rsid w:val="008E75CA"/>
    <w:rsid w:val="008F03EC"/>
    <w:rsid w:val="008F03FE"/>
    <w:rsid w:val="008F094E"/>
    <w:rsid w:val="008F0E53"/>
    <w:rsid w:val="008F121D"/>
    <w:rsid w:val="008F14AC"/>
    <w:rsid w:val="008F1BA3"/>
    <w:rsid w:val="008F2C73"/>
    <w:rsid w:val="008F3069"/>
    <w:rsid w:val="008F352D"/>
    <w:rsid w:val="008F36C6"/>
    <w:rsid w:val="008F3A0B"/>
    <w:rsid w:val="008F3B09"/>
    <w:rsid w:val="008F3C1C"/>
    <w:rsid w:val="008F3CB1"/>
    <w:rsid w:val="008F3D26"/>
    <w:rsid w:val="008F4143"/>
    <w:rsid w:val="008F424E"/>
    <w:rsid w:val="008F490C"/>
    <w:rsid w:val="008F4F70"/>
    <w:rsid w:val="008F57EE"/>
    <w:rsid w:val="008F5873"/>
    <w:rsid w:val="008F597E"/>
    <w:rsid w:val="008F62FD"/>
    <w:rsid w:val="008F6F82"/>
    <w:rsid w:val="008F756E"/>
    <w:rsid w:val="008F788B"/>
    <w:rsid w:val="008F7DBC"/>
    <w:rsid w:val="00900132"/>
    <w:rsid w:val="00900419"/>
    <w:rsid w:val="00901170"/>
    <w:rsid w:val="0090118C"/>
    <w:rsid w:val="0090133E"/>
    <w:rsid w:val="00901549"/>
    <w:rsid w:val="00901BC7"/>
    <w:rsid w:val="00901CED"/>
    <w:rsid w:val="00901D54"/>
    <w:rsid w:val="009022A5"/>
    <w:rsid w:val="00902D1B"/>
    <w:rsid w:val="00902D5B"/>
    <w:rsid w:val="00902DCA"/>
    <w:rsid w:val="009037D2"/>
    <w:rsid w:val="00903838"/>
    <w:rsid w:val="00904B59"/>
    <w:rsid w:val="00904C08"/>
    <w:rsid w:val="00904E58"/>
    <w:rsid w:val="00905A28"/>
    <w:rsid w:val="00905CF4"/>
    <w:rsid w:val="00905E75"/>
    <w:rsid w:val="00906145"/>
    <w:rsid w:val="0090615C"/>
    <w:rsid w:val="009062E6"/>
    <w:rsid w:val="009067D2"/>
    <w:rsid w:val="009073CA"/>
    <w:rsid w:val="00910219"/>
    <w:rsid w:val="009107AB"/>
    <w:rsid w:val="0091111F"/>
    <w:rsid w:val="009114DE"/>
    <w:rsid w:val="009118E5"/>
    <w:rsid w:val="00911A2E"/>
    <w:rsid w:val="00911A68"/>
    <w:rsid w:val="00911B9A"/>
    <w:rsid w:val="00911D78"/>
    <w:rsid w:val="0091213C"/>
    <w:rsid w:val="0091269F"/>
    <w:rsid w:val="0091281D"/>
    <w:rsid w:val="009130FD"/>
    <w:rsid w:val="0091324C"/>
    <w:rsid w:val="0091335C"/>
    <w:rsid w:val="00913B4E"/>
    <w:rsid w:val="00913DE6"/>
    <w:rsid w:val="009143E2"/>
    <w:rsid w:val="009145B9"/>
    <w:rsid w:val="0091464D"/>
    <w:rsid w:val="0091468F"/>
    <w:rsid w:val="00914918"/>
    <w:rsid w:val="00914D91"/>
    <w:rsid w:val="0091517B"/>
    <w:rsid w:val="0091578C"/>
    <w:rsid w:val="00915938"/>
    <w:rsid w:val="00915A85"/>
    <w:rsid w:val="00915B27"/>
    <w:rsid w:val="00915D38"/>
    <w:rsid w:val="00915F06"/>
    <w:rsid w:val="009160E6"/>
    <w:rsid w:val="00916469"/>
    <w:rsid w:val="0091661D"/>
    <w:rsid w:val="0091674B"/>
    <w:rsid w:val="00916830"/>
    <w:rsid w:val="00916E4B"/>
    <w:rsid w:val="0091734B"/>
    <w:rsid w:val="0091738E"/>
    <w:rsid w:val="009176F7"/>
    <w:rsid w:val="00917756"/>
    <w:rsid w:val="009177A9"/>
    <w:rsid w:val="00917ACE"/>
    <w:rsid w:val="00917E40"/>
    <w:rsid w:val="00920610"/>
    <w:rsid w:val="00920683"/>
    <w:rsid w:val="00921431"/>
    <w:rsid w:val="00921C02"/>
    <w:rsid w:val="0092204E"/>
    <w:rsid w:val="0092282D"/>
    <w:rsid w:val="009231D6"/>
    <w:rsid w:val="00923AD3"/>
    <w:rsid w:val="00923D3A"/>
    <w:rsid w:val="00923F1F"/>
    <w:rsid w:val="00923F4A"/>
    <w:rsid w:val="009241DF"/>
    <w:rsid w:val="00924872"/>
    <w:rsid w:val="009248E0"/>
    <w:rsid w:val="00924C4A"/>
    <w:rsid w:val="00924C89"/>
    <w:rsid w:val="0092533B"/>
    <w:rsid w:val="009260BE"/>
    <w:rsid w:val="009260F8"/>
    <w:rsid w:val="00926189"/>
    <w:rsid w:val="00926491"/>
    <w:rsid w:val="0092661A"/>
    <w:rsid w:val="00926E0E"/>
    <w:rsid w:val="00926F66"/>
    <w:rsid w:val="009270F5"/>
    <w:rsid w:val="009301C4"/>
    <w:rsid w:val="00930696"/>
    <w:rsid w:val="009306E4"/>
    <w:rsid w:val="009307B7"/>
    <w:rsid w:val="0093085D"/>
    <w:rsid w:val="00930B9E"/>
    <w:rsid w:val="00930D25"/>
    <w:rsid w:val="0093107F"/>
    <w:rsid w:val="00931190"/>
    <w:rsid w:val="00931772"/>
    <w:rsid w:val="009319E4"/>
    <w:rsid w:val="00931C03"/>
    <w:rsid w:val="00931E51"/>
    <w:rsid w:val="009329EF"/>
    <w:rsid w:val="00932E60"/>
    <w:rsid w:val="00932F0F"/>
    <w:rsid w:val="00933938"/>
    <w:rsid w:val="0093403D"/>
    <w:rsid w:val="0093446C"/>
    <w:rsid w:val="00934625"/>
    <w:rsid w:val="00935832"/>
    <w:rsid w:val="00935FBF"/>
    <w:rsid w:val="0093617F"/>
    <w:rsid w:val="0093683B"/>
    <w:rsid w:val="00936DE6"/>
    <w:rsid w:val="009378FE"/>
    <w:rsid w:val="00937B53"/>
    <w:rsid w:val="00937BB2"/>
    <w:rsid w:val="00940481"/>
    <w:rsid w:val="00940609"/>
    <w:rsid w:val="0094188B"/>
    <w:rsid w:val="00941A56"/>
    <w:rsid w:val="009420AA"/>
    <w:rsid w:val="009430E0"/>
    <w:rsid w:val="00943182"/>
    <w:rsid w:val="0094377D"/>
    <w:rsid w:val="00943C9B"/>
    <w:rsid w:val="0094458E"/>
    <w:rsid w:val="00944E4F"/>
    <w:rsid w:val="009452C9"/>
    <w:rsid w:val="009452F8"/>
    <w:rsid w:val="0094530B"/>
    <w:rsid w:val="00946195"/>
    <w:rsid w:val="00946618"/>
    <w:rsid w:val="00947293"/>
    <w:rsid w:val="00947864"/>
    <w:rsid w:val="009478C6"/>
    <w:rsid w:val="00947CFC"/>
    <w:rsid w:val="00947DF2"/>
    <w:rsid w:val="00947E49"/>
    <w:rsid w:val="00947ED2"/>
    <w:rsid w:val="0095019D"/>
    <w:rsid w:val="009504DD"/>
    <w:rsid w:val="00950524"/>
    <w:rsid w:val="0095056F"/>
    <w:rsid w:val="00950E76"/>
    <w:rsid w:val="0095116D"/>
    <w:rsid w:val="0095150F"/>
    <w:rsid w:val="00951BBC"/>
    <w:rsid w:val="009522BB"/>
    <w:rsid w:val="0095249D"/>
    <w:rsid w:val="00952F5D"/>
    <w:rsid w:val="00953976"/>
    <w:rsid w:val="00953AD6"/>
    <w:rsid w:val="00953C3E"/>
    <w:rsid w:val="00953F95"/>
    <w:rsid w:val="00954214"/>
    <w:rsid w:val="0095443B"/>
    <w:rsid w:val="00954C20"/>
    <w:rsid w:val="00954CBA"/>
    <w:rsid w:val="009554AA"/>
    <w:rsid w:val="00955546"/>
    <w:rsid w:val="00955658"/>
    <w:rsid w:val="00955C9E"/>
    <w:rsid w:val="00955D95"/>
    <w:rsid w:val="00956384"/>
    <w:rsid w:val="00956C92"/>
    <w:rsid w:val="00956EF2"/>
    <w:rsid w:val="0095726F"/>
    <w:rsid w:val="00957AEA"/>
    <w:rsid w:val="00957B1D"/>
    <w:rsid w:val="00957F8B"/>
    <w:rsid w:val="009602AB"/>
    <w:rsid w:val="00960457"/>
    <w:rsid w:val="00960777"/>
    <w:rsid w:val="009609DC"/>
    <w:rsid w:val="00961704"/>
    <w:rsid w:val="00961CCA"/>
    <w:rsid w:val="00961D30"/>
    <w:rsid w:val="009621AE"/>
    <w:rsid w:val="00962434"/>
    <w:rsid w:val="00962798"/>
    <w:rsid w:val="00962950"/>
    <w:rsid w:val="00962C76"/>
    <w:rsid w:val="00962CD1"/>
    <w:rsid w:val="00962E67"/>
    <w:rsid w:val="0096330F"/>
    <w:rsid w:val="00963D79"/>
    <w:rsid w:val="009643A1"/>
    <w:rsid w:val="00964BAA"/>
    <w:rsid w:val="00964DB2"/>
    <w:rsid w:val="00964DE3"/>
    <w:rsid w:val="009654F9"/>
    <w:rsid w:val="009656F7"/>
    <w:rsid w:val="009659F7"/>
    <w:rsid w:val="00965A18"/>
    <w:rsid w:val="009661D0"/>
    <w:rsid w:val="00966231"/>
    <w:rsid w:val="009662F1"/>
    <w:rsid w:val="00967010"/>
    <w:rsid w:val="009703FB"/>
    <w:rsid w:val="00970DF6"/>
    <w:rsid w:val="009714CA"/>
    <w:rsid w:val="00971F16"/>
    <w:rsid w:val="009722F1"/>
    <w:rsid w:val="00972F1C"/>
    <w:rsid w:val="0097368E"/>
    <w:rsid w:val="009736B8"/>
    <w:rsid w:val="00973A8D"/>
    <w:rsid w:val="00975436"/>
    <w:rsid w:val="00975488"/>
    <w:rsid w:val="00975704"/>
    <w:rsid w:val="0097650A"/>
    <w:rsid w:val="009765B6"/>
    <w:rsid w:val="00976BC5"/>
    <w:rsid w:val="009775D1"/>
    <w:rsid w:val="00977781"/>
    <w:rsid w:val="00977947"/>
    <w:rsid w:val="00977AF2"/>
    <w:rsid w:val="00977B89"/>
    <w:rsid w:val="00977D90"/>
    <w:rsid w:val="00977E6C"/>
    <w:rsid w:val="0098026F"/>
    <w:rsid w:val="00980A39"/>
    <w:rsid w:val="00980B7B"/>
    <w:rsid w:val="00980EEE"/>
    <w:rsid w:val="00981130"/>
    <w:rsid w:val="009817B2"/>
    <w:rsid w:val="00981DDC"/>
    <w:rsid w:val="00981ECE"/>
    <w:rsid w:val="00981EDB"/>
    <w:rsid w:val="0098217D"/>
    <w:rsid w:val="00982444"/>
    <w:rsid w:val="00982720"/>
    <w:rsid w:val="00982765"/>
    <w:rsid w:val="00982DD5"/>
    <w:rsid w:val="0098347E"/>
    <w:rsid w:val="00983560"/>
    <w:rsid w:val="009838BF"/>
    <w:rsid w:val="00983BFA"/>
    <w:rsid w:val="00983C98"/>
    <w:rsid w:val="00983EC3"/>
    <w:rsid w:val="00984151"/>
    <w:rsid w:val="00984623"/>
    <w:rsid w:val="0098476C"/>
    <w:rsid w:val="00984D97"/>
    <w:rsid w:val="00985332"/>
    <w:rsid w:val="00985945"/>
    <w:rsid w:val="00985FA8"/>
    <w:rsid w:val="0098600B"/>
    <w:rsid w:val="00986470"/>
    <w:rsid w:val="00986714"/>
    <w:rsid w:val="0098704B"/>
    <w:rsid w:val="0098733A"/>
    <w:rsid w:val="00990519"/>
    <w:rsid w:val="009909CD"/>
    <w:rsid w:val="00990B5E"/>
    <w:rsid w:val="009915C3"/>
    <w:rsid w:val="00991C1A"/>
    <w:rsid w:val="00991D0C"/>
    <w:rsid w:val="00991FAD"/>
    <w:rsid w:val="00992114"/>
    <w:rsid w:val="00992764"/>
    <w:rsid w:val="00992C19"/>
    <w:rsid w:val="00993452"/>
    <w:rsid w:val="00993B91"/>
    <w:rsid w:val="00993C11"/>
    <w:rsid w:val="00993C53"/>
    <w:rsid w:val="00993E0F"/>
    <w:rsid w:val="00993EDC"/>
    <w:rsid w:val="00993F1B"/>
    <w:rsid w:val="00994170"/>
    <w:rsid w:val="009941BE"/>
    <w:rsid w:val="00994343"/>
    <w:rsid w:val="009943FA"/>
    <w:rsid w:val="0099465D"/>
    <w:rsid w:val="0099490B"/>
    <w:rsid w:val="00994CD4"/>
    <w:rsid w:val="00994D38"/>
    <w:rsid w:val="00995073"/>
    <w:rsid w:val="009952FE"/>
    <w:rsid w:val="00995566"/>
    <w:rsid w:val="00996102"/>
    <w:rsid w:val="009963A6"/>
    <w:rsid w:val="00996CB4"/>
    <w:rsid w:val="00996E12"/>
    <w:rsid w:val="009A0226"/>
    <w:rsid w:val="009A045C"/>
    <w:rsid w:val="009A0779"/>
    <w:rsid w:val="009A0DE5"/>
    <w:rsid w:val="009A146E"/>
    <w:rsid w:val="009A14D0"/>
    <w:rsid w:val="009A1D15"/>
    <w:rsid w:val="009A2661"/>
    <w:rsid w:val="009A2A64"/>
    <w:rsid w:val="009A2B41"/>
    <w:rsid w:val="009A2C2D"/>
    <w:rsid w:val="009A3F7D"/>
    <w:rsid w:val="009A436A"/>
    <w:rsid w:val="009A493D"/>
    <w:rsid w:val="009A4D72"/>
    <w:rsid w:val="009A5127"/>
    <w:rsid w:val="009A5384"/>
    <w:rsid w:val="009A5702"/>
    <w:rsid w:val="009A5D27"/>
    <w:rsid w:val="009A6CDB"/>
    <w:rsid w:val="009A6D60"/>
    <w:rsid w:val="009A6EE3"/>
    <w:rsid w:val="009A7267"/>
    <w:rsid w:val="009A77CB"/>
    <w:rsid w:val="009A7C50"/>
    <w:rsid w:val="009A7DD1"/>
    <w:rsid w:val="009B029E"/>
    <w:rsid w:val="009B0B28"/>
    <w:rsid w:val="009B1080"/>
    <w:rsid w:val="009B134C"/>
    <w:rsid w:val="009B1662"/>
    <w:rsid w:val="009B1AD4"/>
    <w:rsid w:val="009B1E77"/>
    <w:rsid w:val="009B23BB"/>
    <w:rsid w:val="009B2CEC"/>
    <w:rsid w:val="009B2FD1"/>
    <w:rsid w:val="009B3485"/>
    <w:rsid w:val="009B3BA4"/>
    <w:rsid w:val="009B3CAE"/>
    <w:rsid w:val="009B3D27"/>
    <w:rsid w:val="009B45D4"/>
    <w:rsid w:val="009B48C2"/>
    <w:rsid w:val="009B4994"/>
    <w:rsid w:val="009B4CCB"/>
    <w:rsid w:val="009B50D4"/>
    <w:rsid w:val="009B567E"/>
    <w:rsid w:val="009B57AB"/>
    <w:rsid w:val="009B5E4F"/>
    <w:rsid w:val="009B6367"/>
    <w:rsid w:val="009B6870"/>
    <w:rsid w:val="009B6BDC"/>
    <w:rsid w:val="009B6C97"/>
    <w:rsid w:val="009B6FBD"/>
    <w:rsid w:val="009B7602"/>
    <w:rsid w:val="009B7704"/>
    <w:rsid w:val="009B794E"/>
    <w:rsid w:val="009B7D92"/>
    <w:rsid w:val="009B7F05"/>
    <w:rsid w:val="009C00EC"/>
    <w:rsid w:val="009C0689"/>
    <w:rsid w:val="009C14D2"/>
    <w:rsid w:val="009C189F"/>
    <w:rsid w:val="009C19C5"/>
    <w:rsid w:val="009C1B4F"/>
    <w:rsid w:val="009C1CC4"/>
    <w:rsid w:val="009C1D03"/>
    <w:rsid w:val="009C2430"/>
    <w:rsid w:val="009C2A5D"/>
    <w:rsid w:val="009C2B08"/>
    <w:rsid w:val="009C2D80"/>
    <w:rsid w:val="009C2F20"/>
    <w:rsid w:val="009C3063"/>
    <w:rsid w:val="009C3753"/>
    <w:rsid w:val="009C381F"/>
    <w:rsid w:val="009C3A34"/>
    <w:rsid w:val="009C3AA8"/>
    <w:rsid w:val="009C3B83"/>
    <w:rsid w:val="009C4284"/>
    <w:rsid w:val="009C4615"/>
    <w:rsid w:val="009C4BB9"/>
    <w:rsid w:val="009C4C7F"/>
    <w:rsid w:val="009C4CDD"/>
    <w:rsid w:val="009C511A"/>
    <w:rsid w:val="009C54C6"/>
    <w:rsid w:val="009C54CD"/>
    <w:rsid w:val="009C5725"/>
    <w:rsid w:val="009C594A"/>
    <w:rsid w:val="009C5FB2"/>
    <w:rsid w:val="009C61A4"/>
    <w:rsid w:val="009C6671"/>
    <w:rsid w:val="009C67B4"/>
    <w:rsid w:val="009C6B51"/>
    <w:rsid w:val="009C6BCF"/>
    <w:rsid w:val="009C6CBF"/>
    <w:rsid w:val="009C732B"/>
    <w:rsid w:val="009C76F3"/>
    <w:rsid w:val="009D011E"/>
    <w:rsid w:val="009D04F3"/>
    <w:rsid w:val="009D0D00"/>
    <w:rsid w:val="009D1C8A"/>
    <w:rsid w:val="009D1DBB"/>
    <w:rsid w:val="009D2A39"/>
    <w:rsid w:val="009D2B45"/>
    <w:rsid w:val="009D2CE3"/>
    <w:rsid w:val="009D2EAC"/>
    <w:rsid w:val="009D3660"/>
    <w:rsid w:val="009D38F9"/>
    <w:rsid w:val="009D3987"/>
    <w:rsid w:val="009D3C31"/>
    <w:rsid w:val="009D3C93"/>
    <w:rsid w:val="009D3CB2"/>
    <w:rsid w:val="009D4D23"/>
    <w:rsid w:val="009D4E41"/>
    <w:rsid w:val="009D54EE"/>
    <w:rsid w:val="009D5778"/>
    <w:rsid w:val="009D57C7"/>
    <w:rsid w:val="009D5C80"/>
    <w:rsid w:val="009D5D2F"/>
    <w:rsid w:val="009D5E9C"/>
    <w:rsid w:val="009D614F"/>
    <w:rsid w:val="009D62C0"/>
    <w:rsid w:val="009D68C9"/>
    <w:rsid w:val="009D79C9"/>
    <w:rsid w:val="009D7FD7"/>
    <w:rsid w:val="009E0E66"/>
    <w:rsid w:val="009E122E"/>
    <w:rsid w:val="009E1532"/>
    <w:rsid w:val="009E18EC"/>
    <w:rsid w:val="009E1F29"/>
    <w:rsid w:val="009E231A"/>
    <w:rsid w:val="009E25E4"/>
    <w:rsid w:val="009E28C1"/>
    <w:rsid w:val="009E2F73"/>
    <w:rsid w:val="009E349B"/>
    <w:rsid w:val="009E3C26"/>
    <w:rsid w:val="009E401C"/>
    <w:rsid w:val="009E43E7"/>
    <w:rsid w:val="009E4583"/>
    <w:rsid w:val="009E4824"/>
    <w:rsid w:val="009E4CFD"/>
    <w:rsid w:val="009E502C"/>
    <w:rsid w:val="009E51A4"/>
    <w:rsid w:val="009E5BDB"/>
    <w:rsid w:val="009E6391"/>
    <w:rsid w:val="009E641F"/>
    <w:rsid w:val="009E69DD"/>
    <w:rsid w:val="009E7051"/>
    <w:rsid w:val="009E72A8"/>
    <w:rsid w:val="009E77FE"/>
    <w:rsid w:val="009E7BA6"/>
    <w:rsid w:val="009E7BE0"/>
    <w:rsid w:val="009E7D99"/>
    <w:rsid w:val="009F019A"/>
    <w:rsid w:val="009F0205"/>
    <w:rsid w:val="009F022C"/>
    <w:rsid w:val="009F066D"/>
    <w:rsid w:val="009F0A09"/>
    <w:rsid w:val="009F0E17"/>
    <w:rsid w:val="009F0E32"/>
    <w:rsid w:val="009F102A"/>
    <w:rsid w:val="009F113B"/>
    <w:rsid w:val="009F159E"/>
    <w:rsid w:val="009F184A"/>
    <w:rsid w:val="009F1A05"/>
    <w:rsid w:val="009F1D9C"/>
    <w:rsid w:val="009F1FFC"/>
    <w:rsid w:val="009F2059"/>
    <w:rsid w:val="009F25FF"/>
    <w:rsid w:val="009F3048"/>
    <w:rsid w:val="009F3093"/>
    <w:rsid w:val="009F3219"/>
    <w:rsid w:val="009F32FE"/>
    <w:rsid w:val="009F34C8"/>
    <w:rsid w:val="009F37B8"/>
    <w:rsid w:val="009F3AC9"/>
    <w:rsid w:val="009F3C3A"/>
    <w:rsid w:val="009F3EC0"/>
    <w:rsid w:val="009F3F8C"/>
    <w:rsid w:val="009F4593"/>
    <w:rsid w:val="009F4848"/>
    <w:rsid w:val="009F4D41"/>
    <w:rsid w:val="009F4D74"/>
    <w:rsid w:val="009F58C6"/>
    <w:rsid w:val="009F5979"/>
    <w:rsid w:val="009F63D6"/>
    <w:rsid w:val="009F6624"/>
    <w:rsid w:val="009F69E4"/>
    <w:rsid w:val="009F6B5B"/>
    <w:rsid w:val="009F6CE7"/>
    <w:rsid w:val="009F730E"/>
    <w:rsid w:val="009F78DA"/>
    <w:rsid w:val="009F7F12"/>
    <w:rsid w:val="00A00474"/>
    <w:rsid w:val="00A00B7E"/>
    <w:rsid w:val="00A010CF"/>
    <w:rsid w:val="00A01237"/>
    <w:rsid w:val="00A0140F"/>
    <w:rsid w:val="00A01A87"/>
    <w:rsid w:val="00A02102"/>
    <w:rsid w:val="00A027B5"/>
    <w:rsid w:val="00A027DB"/>
    <w:rsid w:val="00A02870"/>
    <w:rsid w:val="00A029D2"/>
    <w:rsid w:val="00A0324B"/>
    <w:rsid w:val="00A032A6"/>
    <w:rsid w:val="00A0333B"/>
    <w:rsid w:val="00A034A2"/>
    <w:rsid w:val="00A03517"/>
    <w:rsid w:val="00A03982"/>
    <w:rsid w:val="00A03A42"/>
    <w:rsid w:val="00A03DBA"/>
    <w:rsid w:val="00A046B8"/>
    <w:rsid w:val="00A065B9"/>
    <w:rsid w:val="00A0697E"/>
    <w:rsid w:val="00A06EC9"/>
    <w:rsid w:val="00A07090"/>
    <w:rsid w:val="00A0753A"/>
    <w:rsid w:val="00A0776A"/>
    <w:rsid w:val="00A07825"/>
    <w:rsid w:val="00A07BA1"/>
    <w:rsid w:val="00A07DEA"/>
    <w:rsid w:val="00A07FE6"/>
    <w:rsid w:val="00A106AD"/>
    <w:rsid w:val="00A1076C"/>
    <w:rsid w:val="00A10B71"/>
    <w:rsid w:val="00A116A3"/>
    <w:rsid w:val="00A11CDB"/>
    <w:rsid w:val="00A1205D"/>
    <w:rsid w:val="00A122F7"/>
    <w:rsid w:val="00A1343B"/>
    <w:rsid w:val="00A13499"/>
    <w:rsid w:val="00A14612"/>
    <w:rsid w:val="00A14724"/>
    <w:rsid w:val="00A147F9"/>
    <w:rsid w:val="00A149D6"/>
    <w:rsid w:val="00A15838"/>
    <w:rsid w:val="00A16124"/>
    <w:rsid w:val="00A1645A"/>
    <w:rsid w:val="00A16817"/>
    <w:rsid w:val="00A205D0"/>
    <w:rsid w:val="00A2068D"/>
    <w:rsid w:val="00A216C5"/>
    <w:rsid w:val="00A216EC"/>
    <w:rsid w:val="00A221F0"/>
    <w:rsid w:val="00A22782"/>
    <w:rsid w:val="00A22F46"/>
    <w:rsid w:val="00A22F47"/>
    <w:rsid w:val="00A230E7"/>
    <w:rsid w:val="00A23233"/>
    <w:rsid w:val="00A23B04"/>
    <w:rsid w:val="00A23F67"/>
    <w:rsid w:val="00A24A31"/>
    <w:rsid w:val="00A251D7"/>
    <w:rsid w:val="00A25440"/>
    <w:rsid w:val="00A2552E"/>
    <w:rsid w:val="00A256E7"/>
    <w:rsid w:val="00A259A9"/>
    <w:rsid w:val="00A25F82"/>
    <w:rsid w:val="00A264EE"/>
    <w:rsid w:val="00A2666D"/>
    <w:rsid w:val="00A26877"/>
    <w:rsid w:val="00A278F0"/>
    <w:rsid w:val="00A27940"/>
    <w:rsid w:val="00A27AAB"/>
    <w:rsid w:val="00A3044D"/>
    <w:rsid w:val="00A3074F"/>
    <w:rsid w:val="00A30889"/>
    <w:rsid w:val="00A309DB"/>
    <w:rsid w:val="00A30AA5"/>
    <w:rsid w:val="00A30BF0"/>
    <w:rsid w:val="00A31D2C"/>
    <w:rsid w:val="00A320D6"/>
    <w:rsid w:val="00A32115"/>
    <w:rsid w:val="00A3220A"/>
    <w:rsid w:val="00A32F56"/>
    <w:rsid w:val="00A33045"/>
    <w:rsid w:val="00A334D5"/>
    <w:rsid w:val="00A334F0"/>
    <w:rsid w:val="00A33929"/>
    <w:rsid w:val="00A33CE3"/>
    <w:rsid w:val="00A344D3"/>
    <w:rsid w:val="00A34662"/>
    <w:rsid w:val="00A34F17"/>
    <w:rsid w:val="00A3532C"/>
    <w:rsid w:val="00A355AD"/>
    <w:rsid w:val="00A35730"/>
    <w:rsid w:val="00A35B88"/>
    <w:rsid w:val="00A3623D"/>
    <w:rsid w:val="00A36518"/>
    <w:rsid w:val="00A3673F"/>
    <w:rsid w:val="00A36A29"/>
    <w:rsid w:val="00A3728B"/>
    <w:rsid w:val="00A372AC"/>
    <w:rsid w:val="00A37542"/>
    <w:rsid w:val="00A3775D"/>
    <w:rsid w:val="00A403D4"/>
    <w:rsid w:val="00A407A6"/>
    <w:rsid w:val="00A4099C"/>
    <w:rsid w:val="00A413FE"/>
    <w:rsid w:val="00A42710"/>
    <w:rsid w:val="00A428C9"/>
    <w:rsid w:val="00A42B69"/>
    <w:rsid w:val="00A42D9D"/>
    <w:rsid w:val="00A42DD2"/>
    <w:rsid w:val="00A43118"/>
    <w:rsid w:val="00A4364B"/>
    <w:rsid w:val="00A43DF0"/>
    <w:rsid w:val="00A43F3E"/>
    <w:rsid w:val="00A4421D"/>
    <w:rsid w:val="00A445D8"/>
    <w:rsid w:val="00A44CA2"/>
    <w:rsid w:val="00A45501"/>
    <w:rsid w:val="00A45C2B"/>
    <w:rsid w:val="00A45FC1"/>
    <w:rsid w:val="00A461BA"/>
    <w:rsid w:val="00A4689B"/>
    <w:rsid w:val="00A46DDE"/>
    <w:rsid w:val="00A46F88"/>
    <w:rsid w:val="00A474DD"/>
    <w:rsid w:val="00A47B2D"/>
    <w:rsid w:val="00A47B50"/>
    <w:rsid w:val="00A47B91"/>
    <w:rsid w:val="00A47BF0"/>
    <w:rsid w:val="00A47C78"/>
    <w:rsid w:val="00A5000C"/>
    <w:rsid w:val="00A503BB"/>
    <w:rsid w:val="00A50611"/>
    <w:rsid w:val="00A50D2D"/>
    <w:rsid w:val="00A51399"/>
    <w:rsid w:val="00A514FA"/>
    <w:rsid w:val="00A51696"/>
    <w:rsid w:val="00A51B51"/>
    <w:rsid w:val="00A51FC9"/>
    <w:rsid w:val="00A523DC"/>
    <w:rsid w:val="00A52884"/>
    <w:rsid w:val="00A52A51"/>
    <w:rsid w:val="00A52EC6"/>
    <w:rsid w:val="00A532A2"/>
    <w:rsid w:val="00A5360D"/>
    <w:rsid w:val="00A542D8"/>
    <w:rsid w:val="00A549F8"/>
    <w:rsid w:val="00A54EE1"/>
    <w:rsid w:val="00A55533"/>
    <w:rsid w:val="00A55601"/>
    <w:rsid w:val="00A563B9"/>
    <w:rsid w:val="00A563DF"/>
    <w:rsid w:val="00A564DD"/>
    <w:rsid w:val="00A56608"/>
    <w:rsid w:val="00A56FE5"/>
    <w:rsid w:val="00A572E4"/>
    <w:rsid w:val="00A574FF"/>
    <w:rsid w:val="00A57D0B"/>
    <w:rsid w:val="00A57E25"/>
    <w:rsid w:val="00A6032C"/>
    <w:rsid w:val="00A60553"/>
    <w:rsid w:val="00A60B83"/>
    <w:rsid w:val="00A6124A"/>
    <w:rsid w:val="00A61ACB"/>
    <w:rsid w:val="00A61C74"/>
    <w:rsid w:val="00A61C7B"/>
    <w:rsid w:val="00A62210"/>
    <w:rsid w:val="00A62720"/>
    <w:rsid w:val="00A6273F"/>
    <w:rsid w:val="00A629E5"/>
    <w:rsid w:val="00A62BF6"/>
    <w:rsid w:val="00A63413"/>
    <w:rsid w:val="00A634F7"/>
    <w:rsid w:val="00A63586"/>
    <w:rsid w:val="00A6379A"/>
    <w:rsid w:val="00A645E2"/>
    <w:rsid w:val="00A64B45"/>
    <w:rsid w:val="00A65098"/>
    <w:rsid w:val="00A65167"/>
    <w:rsid w:val="00A66338"/>
    <w:rsid w:val="00A665BD"/>
    <w:rsid w:val="00A668AD"/>
    <w:rsid w:val="00A66C25"/>
    <w:rsid w:val="00A66C93"/>
    <w:rsid w:val="00A678D3"/>
    <w:rsid w:val="00A67D75"/>
    <w:rsid w:val="00A7004D"/>
    <w:rsid w:val="00A701BC"/>
    <w:rsid w:val="00A70853"/>
    <w:rsid w:val="00A70E82"/>
    <w:rsid w:val="00A71663"/>
    <w:rsid w:val="00A716AE"/>
    <w:rsid w:val="00A72264"/>
    <w:rsid w:val="00A72294"/>
    <w:rsid w:val="00A727D0"/>
    <w:rsid w:val="00A72F30"/>
    <w:rsid w:val="00A72F8C"/>
    <w:rsid w:val="00A73DB1"/>
    <w:rsid w:val="00A73FB5"/>
    <w:rsid w:val="00A746C3"/>
    <w:rsid w:val="00A74DA0"/>
    <w:rsid w:val="00A74F95"/>
    <w:rsid w:val="00A752F6"/>
    <w:rsid w:val="00A7548C"/>
    <w:rsid w:val="00A75619"/>
    <w:rsid w:val="00A76152"/>
    <w:rsid w:val="00A76202"/>
    <w:rsid w:val="00A765C4"/>
    <w:rsid w:val="00A765EC"/>
    <w:rsid w:val="00A76A94"/>
    <w:rsid w:val="00A77496"/>
    <w:rsid w:val="00A77C60"/>
    <w:rsid w:val="00A77CA9"/>
    <w:rsid w:val="00A77E85"/>
    <w:rsid w:val="00A8048B"/>
    <w:rsid w:val="00A80AA6"/>
    <w:rsid w:val="00A80BA1"/>
    <w:rsid w:val="00A80DBC"/>
    <w:rsid w:val="00A80DFB"/>
    <w:rsid w:val="00A80F5A"/>
    <w:rsid w:val="00A81230"/>
    <w:rsid w:val="00A818D9"/>
    <w:rsid w:val="00A81CB2"/>
    <w:rsid w:val="00A81F57"/>
    <w:rsid w:val="00A81FFB"/>
    <w:rsid w:val="00A8218F"/>
    <w:rsid w:val="00A822A1"/>
    <w:rsid w:val="00A823A6"/>
    <w:rsid w:val="00A82428"/>
    <w:rsid w:val="00A827BE"/>
    <w:rsid w:val="00A82DF3"/>
    <w:rsid w:val="00A831F7"/>
    <w:rsid w:val="00A83957"/>
    <w:rsid w:val="00A83BA4"/>
    <w:rsid w:val="00A84E9C"/>
    <w:rsid w:val="00A84EE1"/>
    <w:rsid w:val="00A8550A"/>
    <w:rsid w:val="00A855DE"/>
    <w:rsid w:val="00A857FA"/>
    <w:rsid w:val="00A8581F"/>
    <w:rsid w:val="00A8588D"/>
    <w:rsid w:val="00A85C5B"/>
    <w:rsid w:val="00A85F7E"/>
    <w:rsid w:val="00A862C2"/>
    <w:rsid w:val="00A86AB9"/>
    <w:rsid w:val="00A86E51"/>
    <w:rsid w:val="00A86F81"/>
    <w:rsid w:val="00A87307"/>
    <w:rsid w:val="00A87662"/>
    <w:rsid w:val="00A90023"/>
    <w:rsid w:val="00A9054E"/>
    <w:rsid w:val="00A90977"/>
    <w:rsid w:val="00A91896"/>
    <w:rsid w:val="00A91C3D"/>
    <w:rsid w:val="00A9216C"/>
    <w:rsid w:val="00A923EF"/>
    <w:rsid w:val="00A93010"/>
    <w:rsid w:val="00A93358"/>
    <w:rsid w:val="00A935B1"/>
    <w:rsid w:val="00A93766"/>
    <w:rsid w:val="00A937A5"/>
    <w:rsid w:val="00A93A52"/>
    <w:rsid w:val="00A93E67"/>
    <w:rsid w:val="00A94167"/>
    <w:rsid w:val="00A947D0"/>
    <w:rsid w:val="00A94CBC"/>
    <w:rsid w:val="00A95100"/>
    <w:rsid w:val="00A95166"/>
    <w:rsid w:val="00A95172"/>
    <w:rsid w:val="00A95174"/>
    <w:rsid w:val="00A951DF"/>
    <w:rsid w:val="00A9560F"/>
    <w:rsid w:val="00A95917"/>
    <w:rsid w:val="00A95C05"/>
    <w:rsid w:val="00A95C35"/>
    <w:rsid w:val="00A961C3"/>
    <w:rsid w:val="00A96D5A"/>
    <w:rsid w:val="00A96F7B"/>
    <w:rsid w:val="00A96FC8"/>
    <w:rsid w:val="00A97C32"/>
    <w:rsid w:val="00AA01A4"/>
    <w:rsid w:val="00AA0330"/>
    <w:rsid w:val="00AA034E"/>
    <w:rsid w:val="00AA04D3"/>
    <w:rsid w:val="00AA1073"/>
    <w:rsid w:val="00AA13EF"/>
    <w:rsid w:val="00AA165F"/>
    <w:rsid w:val="00AA1735"/>
    <w:rsid w:val="00AA1BD4"/>
    <w:rsid w:val="00AA1EA9"/>
    <w:rsid w:val="00AA24CB"/>
    <w:rsid w:val="00AA24E6"/>
    <w:rsid w:val="00AA2AE8"/>
    <w:rsid w:val="00AA2CA0"/>
    <w:rsid w:val="00AA30F9"/>
    <w:rsid w:val="00AA365A"/>
    <w:rsid w:val="00AA3AAE"/>
    <w:rsid w:val="00AA3B15"/>
    <w:rsid w:val="00AA3BFD"/>
    <w:rsid w:val="00AA3C67"/>
    <w:rsid w:val="00AA3CAD"/>
    <w:rsid w:val="00AA3CE1"/>
    <w:rsid w:val="00AA3F05"/>
    <w:rsid w:val="00AA4309"/>
    <w:rsid w:val="00AA4536"/>
    <w:rsid w:val="00AA4991"/>
    <w:rsid w:val="00AA4B29"/>
    <w:rsid w:val="00AA514B"/>
    <w:rsid w:val="00AA525C"/>
    <w:rsid w:val="00AA5C33"/>
    <w:rsid w:val="00AA5ED4"/>
    <w:rsid w:val="00AA71F1"/>
    <w:rsid w:val="00AA7C56"/>
    <w:rsid w:val="00AB0028"/>
    <w:rsid w:val="00AB03ED"/>
    <w:rsid w:val="00AB0E5D"/>
    <w:rsid w:val="00AB0FA3"/>
    <w:rsid w:val="00AB0FD3"/>
    <w:rsid w:val="00AB11BB"/>
    <w:rsid w:val="00AB17BE"/>
    <w:rsid w:val="00AB1949"/>
    <w:rsid w:val="00AB1C0F"/>
    <w:rsid w:val="00AB21F3"/>
    <w:rsid w:val="00AB29B6"/>
    <w:rsid w:val="00AB2A02"/>
    <w:rsid w:val="00AB31C7"/>
    <w:rsid w:val="00AB34CC"/>
    <w:rsid w:val="00AB357F"/>
    <w:rsid w:val="00AB37A9"/>
    <w:rsid w:val="00AB3C54"/>
    <w:rsid w:val="00AB3E90"/>
    <w:rsid w:val="00AB3FC6"/>
    <w:rsid w:val="00AB5101"/>
    <w:rsid w:val="00AB5435"/>
    <w:rsid w:val="00AB5639"/>
    <w:rsid w:val="00AB565B"/>
    <w:rsid w:val="00AB651D"/>
    <w:rsid w:val="00AB71EE"/>
    <w:rsid w:val="00AB7695"/>
    <w:rsid w:val="00AB7CD8"/>
    <w:rsid w:val="00AC00AF"/>
    <w:rsid w:val="00AC03B9"/>
    <w:rsid w:val="00AC1089"/>
    <w:rsid w:val="00AC1494"/>
    <w:rsid w:val="00AC1C99"/>
    <w:rsid w:val="00AC1EA0"/>
    <w:rsid w:val="00AC1F06"/>
    <w:rsid w:val="00AC21A4"/>
    <w:rsid w:val="00AC27B8"/>
    <w:rsid w:val="00AC29E9"/>
    <w:rsid w:val="00AC2C66"/>
    <w:rsid w:val="00AC3A40"/>
    <w:rsid w:val="00AC3AF2"/>
    <w:rsid w:val="00AC406D"/>
    <w:rsid w:val="00AC43A0"/>
    <w:rsid w:val="00AC4619"/>
    <w:rsid w:val="00AC48BA"/>
    <w:rsid w:val="00AC5237"/>
    <w:rsid w:val="00AC5576"/>
    <w:rsid w:val="00AC57B8"/>
    <w:rsid w:val="00AC59DD"/>
    <w:rsid w:val="00AC5C09"/>
    <w:rsid w:val="00AC5C9D"/>
    <w:rsid w:val="00AC5F37"/>
    <w:rsid w:val="00AC6CF5"/>
    <w:rsid w:val="00AC6E88"/>
    <w:rsid w:val="00AC731B"/>
    <w:rsid w:val="00AC74BB"/>
    <w:rsid w:val="00AC7934"/>
    <w:rsid w:val="00AC7D39"/>
    <w:rsid w:val="00AD00E8"/>
    <w:rsid w:val="00AD0357"/>
    <w:rsid w:val="00AD0507"/>
    <w:rsid w:val="00AD0587"/>
    <w:rsid w:val="00AD0607"/>
    <w:rsid w:val="00AD07D9"/>
    <w:rsid w:val="00AD0CAB"/>
    <w:rsid w:val="00AD1121"/>
    <w:rsid w:val="00AD2222"/>
    <w:rsid w:val="00AD267D"/>
    <w:rsid w:val="00AD271A"/>
    <w:rsid w:val="00AD2D12"/>
    <w:rsid w:val="00AD306C"/>
    <w:rsid w:val="00AD33F3"/>
    <w:rsid w:val="00AD366E"/>
    <w:rsid w:val="00AD3761"/>
    <w:rsid w:val="00AD3C59"/>
    <w:rsid w:val="00AD412B"/>
    <w:rsid w:val="00AD437E"/>
    <w:rsid w:val="00AD4698"/>
    <w:rsid w:val="00AD48BB"/>
    <w:rsid w:val="00AD549C"/>
    <w:rsid w:val="00AD5BC6"/>
    <w:rsid w:val="00AD6308"/>
    <w:rsid w:val="00AD6379"/>
    <w:rsid w:val="00AD6B16"/>
    <w:rsid w:val="00AD76DE"/>
    <w:rsid w:val="00AD7E27"/>
    <w:rsid w:val="00AE0290"/>
    <w:rsid w:val="00AE0821"/>
    <w:rsid w:val="00AE0A72"/>
    <w:rsid w:val="00AE14BC"/>
    <w:rsid w:val="00AE1838"/>
    <w:rsid w:val="00AE1C80"/>
    <w:rsid w:val="00AE1D78"/>
    <w:rsid w:val="00AE257B"/>
    <w:rsid w:val="00AE2594"/>
    <w:rsid w:val="00AE29B0"/>
    <w:rsid w:val="00AE2A1C"/>
    <w:rsid w:val="00AE2C59"/>
    <w:rsid w:val="00AE2CC5"/>
    <w:rsid w:val="00AE2FC7"/>
    <w:rsid w:val="00AE2FCE"/>
    <w:rsid w:val="00AE305D"/>
    <w:rsid w:val="00AE30BF"/>
    <w:rsid w:val="00AE331A"/>
    <w:rsid w:val="00AE33EA"/>
    <w:rsid w:val="00AE3741"/>
    <w:rsid w:val="00AE3A50"/>
    <w:rsid w:val="00AE3C97"/>
    <w:rsid w:val="00AE3DD1"/>
    <w:rsid w:val="00AE4003"/>
    <w:rsid w:val="00AE430E"/>
    <w:rsid w:val="00AE43AD"/>
    <w:rsid w:val="00AE4CFA"/>
    <w:rsid w:val="00AE5DA9"/>
    <w:rsid w:val="00AE6095"/>
    <w:rsid w:val="00AE6134"/>
    <w:rsid w:val="00AE6210"/>
    <w:rsid w:val="00AE6A8F"/>
    <w:rsid w:val="00AE6BDF"/>
    <w:rsid w:val="00AE6E39"/>
    <w:rsid w:val="00AE73BF"/>
    <w:rsid w:val="00AE7625"/>
    <w:rsid w:val="00AE7AF2"/>
    <w:rsid w:val="00AF0386"/>
    <w:rsid w:val="00AF08A3"/>
    <w:rsid w:val="00AF0A0D"/>
    <w:rsid w:val="00AF0B9B"/>
    <w:rsid w:val="00AF0BC2"/>
    <w:rsid w:val="00AF16BF"/>
    <w:rsid w:val="00AF1A28"/>
    <w:rsid w:val="00AF1ED3"/>
    <w:rsid w:val="00AF2131"/>
    <w:rsid w:val="00AF28A8"/>
    <w:rsid w:val="00AF291E"/>
    <w:rsid w:val="00AF34DF"/>
    <w:rsid w:val="00AF357D"/>
    <w:rsid w:val="00AF3996"/>
    <w:rsid w:val="00AF4AF5"/>
    <w:rsid w:val="00AF4C75"/>
    <w:rsid w:val="00AF5017"/>
    <w:rsid w:val="00AF5054"/>
    <w:rsid w:val="00AF57E6"/>
    <w:rsid w:val="00AF5AD4"/>
    <w:rsid w:val="00AF5BC6"/>
    <w:rsid w:val="00AF6B57"/>
    <w:rsid w:val="00AF6DD6"/>
    <w:rsid w:val="00AF7732"/>
    <w:rsid w:val="00AF7843"/>
    <w:rsid w:val="00B001DF"/>
    <w:rsid w:val="00B00573"/>
    <w:rsid w:val="00B0097E"/>
    <w:rsid w:val="00B00F4D"/>
    <w:rsid w:val="00B01BE9"/>
    <w:rsid w:val="00B01DF6"/>
    <w:rsid w:val="00B01EE7"/>
    <w:rsid w:val="00B0285C"/>
    <w:rsid w:val="00B02ACA"/>
    <w:rsid w:val="00B03006"/>
    <w:rsid w:val="00B03188"/>
    <w:rsid w:val="00B03490"/>
    <w:rsid w:val="00B03805"/>
    <w:rsid w:val="00B03CFB"/>
    <w:rsid w:val="00B0404B"/>
    <w:rsid w:val="00B04061"/>
    <w:rsid w:val="00B04236"/>
    <w:rsid w:val="00B04255"/>
    <w:rsid w:val="00B0434F"/>
    <w:rsid w:val="00B043F3"/>
    <w:rsid w:val="00B04B39"/>
    <w:rsid w:val="00B04BE7"/>
    <w:rsid w:val="00B054B0"/>
    <w:rsid w:val="00B05B8F"/>
    <w:rsid w:val="00B05CDA"/>
    <w:rsid w:val="00B05E07"/>
    <w:rsid w:val="00B064A4"/>
    <w:rsid w:val="00B06541"/>
    <w:rsid w:val="00B06759"/>
    <w:rsid w:val="00B06C22"/>
    <w:rsid w:val="00B06D92"/>
    <w:rsid w:val="00B06E0F"/>
    <w:rsid w:val="00B0739B"/>
    <w:rsid w:val="00B073DD"/>
    <w:rsid w:val="00B077AB"/>
    <w:rsid w:val="00B10083"/>
    <w:rsid w:val="00B107C9"/>
    <w:rsid w:val="00B109D0"/>
    <w:rsid w:val="00B10D04"/>
    <w:rsid w:val="00B10EE8"/>
    <w:rsid w:val="00B119B5"/>
    <w:rsid w:val="00B11F03"/>
    <w:rsid w:val="00B12355"/>
    <w:rsid w:val="00B12846"/>
    <w:rsid w:val="00B12E54"/>
    <w:rsid w:val="00B136F2"/>
    <w:rsid w:val="00B14BE6"/>
    <w:rsid w:val="00B14CFB"/>
    <w:rsid w:val="00B15105"/>
    <w:rsid w:val="00B1566B"/>
    <w:rsid w:val="00B1570E"/>
    <w:rsid w:val="00B158F7"/>
    <w:rsid w:val="00B15D7C"/>
    <w:rsid w:val="00B163DD"/>
    <w:rsid w:val="00B164B9"/>
    <w:rsid w:val="00B169FA"/>
    <w:rsid w:val="00B16E40"/>
    <w:rsid w:val="00B16FE1"/>
    <w:rsid w:val="00B1713D"/>
    <w:rsid w:val="00B17F4C"/>
    <w:rsid w:val="00B20082"/>
    <w:rsid w:val="00B2045A"/>
    <w:rsid w:val="00B205EE"/>
    <w:rsid w:val="00B20924"/>
    <w:rsid w:val="00B20940"/>
    <w:rsid w:val="00B20CC1"/>
    <w:rsid w:val="00B212BB"/>
    <w:rsid w:val="00B21D1B"/>
    <w:rsid w:val="00B22082"/>
    <w:rsid w:val="00B220A5"/>
    <w:rsid w:val="00B224AA"/>
    <w:rsid w:val="00B22634"/>
    <w:rsid w:val="00B22926"/>
    <w:rsid w:val="00B22C90"/>
    <w:rsid w:val="00B2325A"/>
    <w:rsid w:val="00B238A7"/>
    <w:rsid w:val="00B23CE8"/>
    <w:rsid w:val="00B24757"/>
    <w:rsid w:val="00B24EBD"/>
    <w:rsid w:val="00B2504C"/>
    <w:rsid w:val="00B25AB4"/>
    <w:rsid w:val="00B260FC"/>
    <w:rsid w:val="00B263D6"/>
    <w:rsid w:val="00B263EC"/>
    <w:rsid w:val="00B266FE"/>
    <w:rsid w:val="00B2684E"/>
    <w:rsid w:val="00B2729A"/>
    <w:rsid w:val="00B2745F"/>
    <w:rsid w:val="00B279A4"/>
    <w:rsid w:val="00B3050F"/>
    <w:rsid w:val="00B3060D"/>
    <w:rsid w:val="00B306C2"/>
    <w:rsid w:val="00B3085B"/>
    <w:rsid w:val="00B309C6"/>
    <w:rsid w:val="00B30DF6"/>
    <w:rsid w:val="00B3186D"/>
    <w:rsid w:val="00B31AC1"/>
    <w:rsid w:val="00B31E33"/>
    <w:rsid w:val="00B31EE5"/>
    <w:rsid w:val="00B32047"/>
    <w:rsid w:val="00B3227F"/>
    <w:rsid w:val="00B32401"/>
    <w:rsid w:val="00B33098"/>
    <w:rsid w:val="00B331A4"/>
    <w:rsid w:val="00B33394"/>
    <w:rsid w:val="00B33667"/>
    <w:rsid w:val="00B3374C"/>
    <w:rsid w:val="00B34053"/>
    <w:rsid w:val="00B3546B"/>
    <w:rsid w:val="00B35B53"/>
    <w:rsid w:val="00B36439"/>
    <w:rsid w:val="00B36BD4"/>
    <w:rsid w:val="00B36E58"/>
    <w:rsid w:val="00B37252"/>
    <w:rsid w:val="00B37A82"/>
    <w:rsid w:val="00B37E3F"/>
    <w:rsid w:val="00B4067B"/>
    <w:rsid w:val="00B40738"/>
    <w:rsid w:val="00B40BF4"/>
    <w:rsid w:val="00B412CF"/>
    <w:rsid w:val="00B41AB3"/>
    <w:rsid w:val="00B41BB4"/>
    <w:rsid w:val="00B420C6"/>
    <w:rsid w:val="00B425D8"/>
    <w:rsid w:val="00B425F9"/>
    <w:rsid w:val="00B42D94"/>
    <w:rsid w:val="00B4348B"/>
    <w:rsid w:val="00B4354F"/>
    <w:rsid w:val="00B435CC"/>
    <w:rsid w:val="00B43A2E"/>
    <w:rsid w:val="00B43CFD"/>
    <w:rsid w:val="00B43DBF"/>
    <w:rsid w:val="00B44716"/>
    <w:rsid w:val="00B44805"/>
    <w:rsid w:val="00B44F66"/>
    <w:rsid w:val="00B45463"/>
    <w:rsid w:val="00B45657"/>
    <w:rsid w:val="00B463BC"/>
    <w:rsid w:val="00B46530"/>
    <w:rsid w:val="00B46B33"/>
    <w:rsid w:val="00B46FFD"/>
    <w:rsid w:val="00B47247"/>
    <w:rsid w:val="00B47464"/>
    <w:rsid w:val="00B47FBB"/>
    <w:rsid w:val="00B50941"/>
    <w:rsid w:val="00B51542"/>
    <w:rsid w:val="00B515B3"/>
    <w:rsid w:val="00B51809"/>
    <w:rsid w:val="00B519A6"/>
    <w:rsid w:val="00B51A3F"/>
    <w:rsid w:val="00B524B9"/>
    <w:rsid w:val="00B524DB"/>
    <w:rsid w:val="00B526F5"/>
    <w:rsid w:val="00B52A5A"/>
    <w:rsid w:val="00B5303F"/>
    <w:rsid w:val="00B53479"/>
    <w:rsid w:val="00B53B8C"/>
    <w:rsid w:val="00B53D1B"/>
    <w:rsid w:val="00B549DD"/>
    <w:rsid w:val="00B54A1F"/>
    <w:rsid w:val="00B54E55"/>
    <w:rsid w:val="00B5511F"/>
    <w:rsid w:val="00B555E1"/>
    <w:rsid w:val="00B55933"/>
    <w:rsid w:val="00B565FF"/>
    <w:rsid w:val="00B56618"/>
    <w:rsid w:val="00B577C1"/>
    <w:rsid w:val="00B578E9"/>
    <w:rsid w:val="00B57FB5"/>
    <w:rsid w:val="00B60562"/>
    <w:rsid w:val="00B60E99"/>
    <w:rsid w:val="00B62AB0"/>
    <w:rsid w:val="00B62F55"/>
    <w:rsid w:val="00B63242"/>
    <w:rsid w:val="00B6342A"/>
    <w:rsid w:val="00B63BC7"/>
    <w:rsid w:val="00B63DA5"/>
    <w:rsid w:val="00B63E79"/>
    <w:rsid w:val="00B641FC"/>
    <w:rsid w:val="00B644B1"/>
    <w:rsid w:val="00B645A0"/>
    <w:rsid w:val="00B64B1F"/>
    <w:rsid w:val="00B64FCD"/>
    <w:rsid w:val="00B6555B"/>
    <w:rsid w:val="00B65FC4"/>
    <w:rsid w:val="00B66530"/>
    <w:rsid w:val="00B6687A"/>
    <w:rsid w:val="00B66903"/>
    <w:rsid w:val="00B66F56"/>
    <w:rsid w:val="00B670BF"/>
    <w:rsid w:val="00B67170"/>
    <w:rsid w:val="00B7015B"/>
    <w:rsid w:val="00B7068D"/>
    <w:rsid w:val="00B706A4"/>
    <w:rsid w:val="00B708DA"/>
    <w:rsid w:val="00B70A42"/>
    <w:rsid w:val="00B70A8A"/>
    <w:rsid w:val="00B70B33"/>
    <w:rsid w:val="00B70C3F"/>
    <w:rsid w:val="00B71005"/>
    <w:rsid w:val="00B7173E"/>
    <w:rsid w:val="00B71ACF"/>
    <w:rsid w:val="00B71D7D"/>
    <w:rsid w:val="00B7256F"/>
    <w:rsid w:val="00B72C2B"/>
    <w:rsid w:val="00B72C4D"/>
    <w:rsid w:val="00B731D3"/>
    <w:rsid w:val="00B73585"/>
    <w:rsid w:val="00B73756"/>
    <w:rsid w:val="00B739A8"/>
    <w:rsid w:val="00B73B59"/>
    <w:rsid w:val="00B73E30"/>
    <w:rsid w:val="00B74517"/>
    <w:rsid w:val="00B755F5"/>
    <w:rsid w:val="00B756B6"/>
    <w:rsid w:val="00B75856"/>
    <w:rsid w:val="00B75915"/>
    <w:rsid w:val="00B75BA0"/>
    <w:rsid w:val="00B75C13"/>
    <w:rsid w:val="00B762EB"/>
    <w:rsid w:val="00B767F0"/>
    <w:rsid w:val="00B76AA8"/>
    <w:rsid w:val="00B77267"/>
    <w:rsid w:val="00B77615"/>
    <w:rsid w:val="00B77A24"/>
    <w:rsid w:val="00B77E67"/>
    <w:rsid w:val="00B805BC"/>
    <w:rsid w:val="00B80B64"/>
    <w:rsid w:val="00B80DFE"/>
    <w:rsid w:val="00B80F52"/>
    <w:rsid w:val="00B811ED"/>
    <w:rsid w:val="00B81B33"/>
    <w:rsid w:val="00B81F9F"/>
    <w:rsid w:val="00B82093"/>
    <w:rsid w:val="00B823EE"/>
    <w:rsid w:val="00B82E5E"/>
    <w:rsid w:val="00B830D6"/>
    <w:rsid w:val="00B8324C"/>
    <w:rsid w:val="00B83EE6"/>
    <w:rsid w:val="00B84181"/>
    <w:rsid w:val="00B8491A"/>
    <w:rsid w:val="00B84A4C"/>
    <w:rsid w:val="00B85205"/>
    <w:rsid w:val="00B8527E"/>
    <w:rsid w:val="00B852CA"/>
    <w:rsid w:val="00B85318"/>
    <w:rsid w:val="00B853C2"/>
    <w:rsid w:val="00B85916"/>
    <w:rsid w:val="00B868AD"/>
    <w:rsid w:val="00B86B07"/>
    <w:rsid w:val="00B86D8C"/>
    <w:rsid w:val="00B86F9E"/>
    <w:rsid w:val="00B87037"/>
    <w:rsid w:val="00B8752A"/>
    <w:rsid w:val="00B877E1"/>
    <w:rsid w:val="00B87B15"/>
    <w:rsid w:val="00B90262"/>
    <w:rsid w:val="00B90410"/>
    <w:rsid w:val="00B90AAA"/>
    <w:rsid w:val="00B90DCD"/>
    <w:rsid w:val="00B90EA2"/>
    <w:rsid w:val="00B9127B"/>
    <w:rsid w:val="00B91283"/>
    <w:rsid w:val="00B9197E"/>
    <w:rsid w:val="00B91BBE"/>
    <w:rsid w:val="00B927B0"/>
    <w:rsid w:val="00B92ED7"/>
    <w:rsid w:val="00B92F38"/>
    <w:rsid w:val="00B9330E"/>
    <w:rsid w:val="00B9341E"/>
    <w:rsid w:val="00B93C5D"/>
    <w:rsid w:val="00B93C82"/>
    <w:rsid w:val="00B93F21"/>
    <w:rsid w:val="00B94A4C"/>
    <w:rsid w:val="00B9518F"/>
    <w:rsid w:val="00B95397"/>
    <w:rsid w:val="00B95818"/>
    <w:rsid w:val="00B959EA"/>
    <w:rsid w:val="00B95B5A"/>
    <w:rsid w:val="00B960E7"/>
    <w:rsid w:val="00B962CB"/>
    <w:rsid w:val="00B96576"/>
    <w:rsid w:val="00B96716"/>
    <w:rsid w:val="00B96B8C"/>
    <w:rsid w:val="00B96C25"/>
    <w:rsid w:val="00B96E6D"/>
    <w:rsid w:val="00B972E0"/>
    <w:rsid w:val="00B975DF"/>
    <w:rsid w:val="00B97853"/>
    <w:rsid w:val="00B978E7"/>
    <w:rsid w:val="00BA079E"/>
    <w:rsid w:val="00BA0919"/>
    <w:rsid w:val="00BA0B4F"/>
    <w:rsid w:val="00BA0E27"/>
    <w:rsid w:val="00BA1014"/>
    <w:rsid w:val="00BA1224"/>
    <w:rsid w:val="00BA1B6D"/>
    <w:rsid w:val="00BA1FF3"/>
    <w:rsid w:val="00BA222D"/>
    <w:rsid w:val="00BA2247"/>
    <w:rsid w:val="00BA237C"/>
    <w:rsid w:val="00BA2911"/>
    <w:rsid w:val="00BA33DB"/>
    <w:rsid w:val="00BA41AE"/>
    <w:rsid w:val="00BA467C"/>
    <w:rsid w:val="00BA490D"/>
    <w:rsid w:val="00BA4BBE"/>
    <w:rsid w:val="00BA4BEF"/>
    <w:rsid w:val="00BA514A"/>
    <w:rsid w:val="00BA5229"/>
    <w:rsid w:val="00BA52D8"/>
    <w:rsid w:val="00BA559D"/>
    <w:rsid w:val="00BA5E1D"/>
    <w:rsid w:val="00BA6069"/>
    <w:rsid w:val="00BA6251"/>
    <w:rsid w:val="00BA638C"/>
    <w:rsid w:val="00BA72D8"/>
    <w:rsid w:val="00BA7751"/>
    <w:rsid w:val="00BA7A4F"/>
    <w:rsid w:val="00BA7BA9"/>
    <w:rsid w:val="00BB0148"/>
    <w:rsid w:val="00BB0332"/>
    <w:rsid w:val="00BB0E9E"/>
    <w:rsid w:val="00BB14F9"/>
    <w:rsid w:val="00BB19D7"/>
    <w:rsid w:val="00BB1B2C"/>
    <w:rsid w:val="00BB1FA6"/>
    <w:rsid w:val="00BB2C7B"/>
    <w:rsid w:val="00BB30BC"/>
    <w:rsid w:val="00BB4564"/>
    <w:rsid w:val="00BB45A1"/>
    <w:rsid w:val="00BB4FFD"/>
    <w:rsid w:val="00BB550C"/>
    <w:rsid w:val="00BB59D3"/>
    <w:rsid w:val="00BB5A41"/>
    <w:rsid w:val="00BB5D3B"/>
    <w:rsid w:val="00BB611C"/>
    <w:rsid w:val="00BB635B"/>
    <w:rsid w:val="00BB661D"/>
    <w:rsid w:val="00BB6BCB"/>
    <w:rsid w:val="00BB71AB"/>
    <w:rsid w:val="00BB73CD"/>
    <w:rsid w:val="00BB7718"/>
    <w:rsid w:val="00BB77AB"/>
    <w:rsid w:val="00BB7B62"/>
    <w:rsid w:val="00BB7D4C"/>
    <w:rsid w:val="00BC0386"/>
    <w:rsid w:val="00BC0A96"/>
    <w:rsid w:val="00BC0B70"/>
    <w:rsid w:val="00BC0BC4"/>
    <w:rsid w:val="00BC0F3D"/>
    <w:rsid w:val="00BC1083"/>
    <w:rsid w:val="00BC1598"/>
    <w:rsid w:val="00BC15E5"/>
    <w:rsid w:val="00BC1994"/>
    <w:rsid w:val="00BC1CB7"/>
    <w:rsid w:val="00BC1D21"/>
    <w:rsid w:val="00BC1EE8"/>
    <w:rsid w:val="00BC24B3"/>
    <w:rsid w:val="00BC2588"/>
    <w:rsid w:val="00BC2655"/>
    <w:rsid w:val="00BC2EB7"/>
    <w:rsid w:val="00BC341C"/>
    <w:rsid w:val="00BC34F8"/>
    <w:rsid w:val="00BC3615"/>
    <w:rsid w:val="00BC39A1"/>
    <w:rsid w:val="00BC464E"/>
    <w:rsid w:val="00BC4C5B"/>
    <w:rsid w:val="00BC4F0C"/>
    <w:rsid w:val="00BC4FC6"/>
    <w:rsid w:val="00BC5151"/>
    <w:rsid w:val="00BC6167"/>
    <w:rsid w:val="00BC6CAB"/>
    <w:rsid w:val="00BC6F80"/>
    <w:rsid w:val="00BC7226"/>
    <w:rsid w:val="00BC7301"/>
    <w:rsid w:val="00BC7688"/>
    <w:rsid w:val="00BC77AA"/>
    <w:rsid w:val="00BD007C"/>
    <w:rsid w:val="00BD00D5"/>
    <w:rsid w:val="00BD026C"/>
    <w:rsid w:val="00BD06AF"/>
    <w:rsid w:val="00BD0C60"/>
    <w:rsid w:val="00BD1DE8"/>
    <w:rsid w:val="00BD2027"/>
    <w:rsid w:val="00BD227F"/>
    <w:rsid w:val="00BD22C2"/>
    <w:rsid w:val="00BD27E2"/>
    <w:rsid w:val="00BD2839"/>
    <w:rsid w:val="00BD29F1"/>
    <w:rsid w:val="00BD2BDF"/>
    <w:rsid w:val="00BD313F"/>
    <w:rsid w:val="00BD3273"/>
    <w:rsid w:val="00BD3366"/>
    <w:rsid w:val="00BD3617"/>
    <w:rsid w:val="00BD3DD5"/>
    <w:rsid w:val="00BD3F30"/>
    <w:rsid w:val="00BD403E"/>
    <w:rsid w:val="00BD4997"/>
    <w:rsid w:val="00BD528E"/>
    <w:rsid w:val="00BD58FD"/>
    <w:rsid w:val="00BD6949"/>
    <w:rsid w:val="00BD6B67"/>
    <w:rsid w:val="00BD6CDF"/>
    <w:rsid w:val="00BD6D4E"/>
    <w:rsid w:val="00BD751B"/>
    <w:rsid w:val="00BD7564"/>
    <w:rsid w:val="00BD775C"/>
    <w:rsid w:val="00BD7A02"/>
    <w:rsid w:val="00BD7F30"/>
    <w:rsid w:val="00BE04A9"/>
    <w:rsid w:val="00BE05A3"/>
    <w:rsid w:val="00BE079B"/>
    <w:rsid w:val="00BE0990"/>
    <w:rsid w:val="00BE10CA"/>
    <w:rsid w:val="00BE13E8"/>
    <w:rsid w:val="00BE2883"/>
    <w:rsid w:val="00BE2998"/>
    <w:rsid w:val="00BE2B7C"/>
    <w:rsid w:val="00BE2CBF"/>
    <w:rsid w:val="00BE2DB2"/>
    <w:rsid w:val="00BE3989"/>
    <w:rsid w:val="00BE3A1C"/>
    <w:rsid w:val="00BE3BE7"/>
    <w:rsid w:val="00BE3D5F"/>
    <w:rsid w:val="00BE4095"/>
    <w:rsid w:val="00BE4206"/>
    <w:rsid w:val="00BE43A2"/>
    <w:rsid w:val="00BE4C71"/>
    <w:rsid w:val="00BE4D06"/>
    <w:rsid w:val="00BE531B"/>
    <w:rsid w:val="00BE57B8"/>
    <w:rsid w:val="00BE674F"/>
    <w:rsid w:val="00BE6C37"/>
    <w:rsid w:val="00BE6E5F"/>
    <w:rsid w:val="00BE7026"/>
    <w:rsid w:val="00BE7609"/>
    <w:rsid w:val="00BE7822"/>
    <w:rsid w:val="00BE78B9"/>
    <w:rsid w:val="00BE7EA5"/>
    <w:rsid w:val="00BF0480"/>
    <w:rsid w:val="00BF0850"/>
    <w:rsid w:val="00BF0F1D"/>
    <w:rsid w:val="00BF10FF"/>
    <w:rsid w:val="00BF12C0"/>
    <w:rsid w:val="00BF14A1"/>
    <w:rsid w:val="00BF16CD"/>
    <w:rsid w:val="00BF1913"/>
    <w:rsid w:val="00BF1BBD"/>
    <w:rsid w:val="00BF2F33"/>
    <w:rsid w:val="00BF3167"/>
    <w:rsid w:val="00BF39C9"/>
    <w:rsid w:val="00BF3E10"/>
    <w:rsid w:val="00BF41BB"/>
    <w:rsid w:val="00BF476A"/>
    <w:rsid w:val="00BF4D81"/>
    <w:rsid w:val="00BF55A7"/>
    <w:rsid w:val="00BF569B"/>
    <w:rsid w:val="00BF6038"/>
    <w:rsid w:val="00BF60F1"/>
    <w:rsid w:val="00BF65EE"/>
    <w:rsid w:val="00BF6F21"/>
    <w:rsid w:val="00BF7073"/>
    <w:rsid w:val="00BF71B8"/>
    <w:rsid w:val="00BF76A4"/>
    <w:rsid w:val="00BF7839"/>
    <w:rsid w:val="00BF7A47"/>
    <w:rsid w:val="00C00449"/>
    <w:rsid w:val="00C004D6"/>
    <w:rsid w:val="00C00928"/>
    <w:rsid w:val="00C00A91"/>
    <w:rsid w:val="00C00CA8"/>
    <w:rsid w:val="00C01233"/>
    <w:rsid w:val="00C029CC"/>
    <w:rsid w:val="00C02A89"/>
    <w:rsid w:val="00C03373"/>
    <w:rsid w:val="00C034A4"/>
    <w:rsid w:val="00C037F9"/>
    <w:rsid w:val="00C039C4"/>
    <w:rsid w:val="00C03EA7"/>
    <w:rsid w:val="00C0408B"/>
    <w:rsid w:val="00C04468"/>
    <w:rsid w:val="00C047F0"/>
    <w:rsid w:val="00C04960"/>
    <w:rsid w:val="00C04A79"/>
    <w:rsid w:val="00C04D04"/>
    <w:rsid w:val="00C05079"/>
    <w:rsid w:val="00C05567"/>
    <w:rsid w:val="00C056CB"/>
    <w:rsid w:val="00C05AE6"/>
    <w:rsid w:val="00C05D38"/>
    <w:rsid w:val="00C05DF7"/>
    <w:rsid w:val="00C06077"/>
    <w:rsid w:val="00C06224"/>
    <w:rsid w:val="00C062F5"/>
    <w:rsid w:val="00C065B7"/>
    <w:rsid w:val="00C0672B"/>
    <w:rsid w:val="00C07B56"/>
    <w:rsid w:val="00C07DBE"/>
    <w:rsid w:val="00C07DF4"/>
    <w:rsid w:val="00C1069C"/>
    <w:rsid w:val="00C106C0"/>
    <w:rsid w:val="00C108CF"/>
    <w:rsid w:val="00C10A2F"/>
    <w:rsid w:val="00C10D35"/>
    <w:rsid w:val="00C10DE8"/>
    <w:rsid w:val="00C10ECD"/>
    <w:rsid w:val="00C11161"/>
    <w:rsid w:val="00C115F7"/>
    <w:rsid w:val="00C11700"/>
    <w:rsid w:val="00C117A2"/>
    <w:rsid w:val="00C11A04"/>
    <w:rsid w:val="00C11FEE"/>
    <w:rsid w:val="00C1224B"/>
    <w:rsid w:val="00C1246B"/>
    <w:rsid w:val="00C127C7"/>
    <w:rsid w:val="00C1299B"/>
    <w:rsid w:val="00C12A48"/>
    <w:rsid w:val="00C12AF4"/>
    <w:rsid w:val="00C12CFD"/>
    <w:rsid w:val="00C13B2A"/>
    <w:rsid w:val="00C13C68"/>
    <w:rsid w:val="00C13CF4"/>
    <w:rsid w:val="00C13E80"/>
    <w:rsid w:val="00C140EF"/>
    <w:rsid w:val="00C14476"/>
    <w:rsid w:val="00C14795"/>
    <w:rsid w:val="00C1480E"/>
    <w:rsid w:val="00C15129"/>
    <w:rsid w:val="00C15443"/>
    <w:rsid w:val="00C15B4D"/>
    <w:rsid w:val="00C15D06"/>
    <w:rsid w:val="00C162AE"/>
    <w:rsid w:val="00C1647D"/>
    <w:rsid w:val="00C166E3"/>
    <w:rsid w:val="00C16741"/>
    <w:rsid w:val="00C16787"/>
    <w:rsid w:val="00C16D25"/>
    <w:rsid w:val="00C179B0"/>
    <w:rsid w:val="00C17F51"/>
    <w:rsid w:val="00C2039B"/>
    <w:rsid w:val="00C20855"/>
    <w:rsid w:val="00C20D64"/>
    <w:rsid w:val="00C210FA"/>
    <w:rsid w:val="00C2171C"/>
    <w:rsid w:val="00C227F9"/>
    <w:rsid w:val="00C2288A"/>
    <w:rsid w:val="00C2289E"/>
    <w:rsid w:val="00C23FFA"/>
    <w:rsid w:val="00C240EA"/>
    <w:rsid w:val="00C2458F"/>
    <w:rsid w:val="00C246F2"/>
    <w:rsid w:val="00C24A41"/>
    <w:rsid w:val="00C24B7C"/>
    <w:rsid w:val="00C25488"/>
    <w:rsid w:val="00C2550C"/>
    <w:rsid w:val="00C25739"/>
    <w:rsid w:val="00C268E0"/>
    <w:rsid w:val="00C26A71"/>
    <w:rsid w:val="00C26DFD"/>
    <w:rsid w:val="00C26E4C"/>
    <w:rsid w:val="00C26E8F"/>
    <w:rsid w:val="00C26EEE"/>
    <w:rsid w:val="00C26FC0"/>
    <w:rsid w:val="00C27085"/>
    <w:rsid w:val="00C27123"/>
    <w:rsid w:val="00C27FAC"/>
    <w:rsid w:val="00C305C0"/>
    <w:rsid w:val="00C309F9"/>
    <w:rsid w:val="00C30AEB"/>
    <w:rsid w:val="00C30CF1"/>
    <w:rsid w:val="00C31A0A"/>
    <w:rsid w:val="00C31F62"/>
    <w:rsid w:val="00C32137"/>
    <w:rsid w:val="00C331D3"/>
    <w:rsid w:val="00C332BC"/>
    <w:rsid w:val="00C3352B"/>
    <w:rsid w:val="00C33622"/>
    <w:rsid w:val="00C3397B"/>
    <w:rsid w:val="00C345CF"/>
    <w:rsid w:val="00C34770"/>
    <w:rsid w:val="00C347BC"/>
    <w:rsid w:val="00C34E9C"/>
    <w:rsid w:val="00C3510A"/>
    <w:rsid w:val="00C352EB"/>
    <w:rsid w:val="00C35635"/>
    <w:rsid w:val="00C3598D"/>
    <w:rsid w:val="00C365C9"/>
    <w:rsid w:val="00C36759"/>
    <w:rsid w:val="00C368D4"/>
    <w:rsid w:val="00C36DCA"/>
    <w:rsid w:val="00C36EB4"/>
    <w:rsid w:val="00C37C11"/>
    <w:rsid w:val="00C409AB"/>
    <w:rsid w:val="00C40C02"/>
    <w:rsid w:val="00C40C82"/>
    <w:rsid w:val="00C40E56"/>
    <w:rsid w:val="00C41CC1"/>
    <w:rsid w:val="00C41CEE"/>
    <w:rsid w:val="00C4206A"/>
    <w:rsid w:val="00C420FA"/>
    <w:rsid w:val="00C42684"/>
    <w:rsid w:val="00C42F22"/>
    <w:rsid w:val="00C4331A"/>
    <w:rsid w:val="00C434F4"/>
    <w:rsid w:val="00C4352A"/>
    <w:rsid w:val="00C43CDA"/>
    <w:rsid w:val="00C44F1D"/>
    <w:rsid w:val="00C4510E"/>
    <w:rsid w:val="00C452A4"/>
    <w:rsid w:val="00C45502"/>
    <w:rsid w:val="00C45603"/>
    <w:rsid w:val="00C4572A"/>
    <w:rsid w:val="00C45C53"/>
    <w:rsid w:val="00C45D26"/>
    <w:rsid w:val="00C45FFC"/>
    <w:rsid w:val="00C4624A"/>
    <w:rsid w:val="00C46736"/>
    <w:rsid w:val="00C46A8C"/>
    <w:rsid w:val="00C46B3A"/>
    <w:rsid w:val="00C46F4E"/>
    <w:rsid w:val="00C479BD"/>
    <w:rsid w:val="00C47A0D"/>
    <w:rsid w:val="00C47BF0"/>
    <w:rsid w:val="00C5091E"/>
    <w:rsid w:val="00C50BB9"/>
    <w:rsid w:val="00C51123"/>
    <w:rsid w:val="00C511C4"/>
    <w:rsid w:val="00C51618"/>
    <w:rsid w:val="00C517F2"/>
    <w:rsid w:val="00C5186C"/>
    <w:rsid w:val="00C51D5A"/>
    <w:rsid w:val="00C521AF"/>
    <w:rsid w:val="00C5234D"/>
    <w:rsid w:val="00C5234E"/>
    <w:rsid w:val="00C52376"/>
    <w:rsid w:val="00C527AB"/>
    <w:rsid w:val="00C5291D"/>
    <w:rsid w:val="00C52AF6"/>
    <w:rsid w:val="00C53162"/>
    <w:rsid w:val="00C53A80"/>
    <w:rsid w:val="00C53DA2"/>
    <w:rsid w:val="00C5426A"/>
    <w:rsid w:val="00C542EE"/>
    <w:rsid w:val="00C54658"/>
    <w:rsid w:val="00C54B0C"/>
    <w:rsid w:val="00C54E46"/>
    <w:rsid w:val="00C552A2"/>
    <w:rsid w:val="00C5556E"/>
    <w:rsid w:val="00C55C14"/>
    <w:rsid w:val="00C55F7D"/>
    <w:rsid w:val="00C5629C"/>
    <w:rsid w:val="00C56A6B"/>
    <w:rsid w:val="00C56D2F"/>
    <w:rsid w:val="00C56FCE"/>
    <w:rsid w:val="00C57447"/>
    <w:rsid w:val="00C57F03"/>
    <w:rsid w:val="00C6002A"/>
    <w:rsid w:val="00C613E0"/>
    <w:rsid w:val="00C6153A"/>
    <w:rsid w:val="00C61775"/>
    <w:rsid w:val="00C6193F"/>
    <w:rsid w:val="00C61A50"/>
    <w:rsid w:val="00C61E60"/>
    <w:rsid w:val="00C6291D"/>
    <w:rsid w:val="00C62F4A"/>
    <w:rsid w:val="00C6312F"/>
    <w:rsid w:val="00C636CF"/>
    <w:rsid w:val="00C636D9"/>
    <w:rsid w:val="00C63775"/>
    <w:rsid w:val="00C63A7A"/>
    <w:rsid w:val="00C63BB7"/>
    <w:rsid w:val="00C64559"/>
    <w:rsid w:val="00C64EBC"/>
    <w:rsid w:val="00C65667"/>
    <w:rsid w:val="00C656CC"/>
    <w:rsid w:val="00C6585D"/>
    <w:rsid w:val="00C6618E"/>
    <w:rsid w:val="00C66219"/>
    <w:rsid w:val="00C668C7"/>
    <w:rsid w:val="00C67F22"/>
    <w:rsid w:val="00C70053"/>
    <w:rsid w:val="00C701EE"/>
    <w:rsid w:val="00C70541"/>
    <w:rsid w:val="00C70B7D"/>
    <w:rsid w:val="00C70D6D"/>
    <w:rsid w:val="00C70E6E"/>
    <w:rsid w:val="00C71917"/>
    <w:rsid w:val="00C71A4C"/>
    <w:rsid w:val="00C72650"/>
    <w:rsid w:val="00C7296F"/>
    <w:rsid w:val="00C73A9B"/>
    <w:rsid w:val="00C73D60"/>
    <w:rsid w:val="00C747B1"/>
    <w:rsid w:val="00C75093"/>
    <w:rsid w:val="00C7533F"/>
    <w:rsid w:val="00C7581A"/>
    <w:rsid w:val="00C759FF"/>
    <w:rsid w:val="00C763AC"/>
    <w:rsid w:val="00C76581"/>
    <w:rsid w:val="00C76A57"/>
    <w:rsid w:val="00C76C65"/>
    <w:rsid w:val="00C76D15"/>
    <w:rsid w:val="00C76DD7"/>
    <w:rsid w:val="00C76F5F"/>
    <w:rsid w:val="00C772B5"/>
    <w:rsid w:val="00C7738E"/>
    <w:rsid w:val="00C774E9"/>
    <w:rsid w:val="00C77AC4"/>
    <w:rsid w:val="00C8034B"/>
    <w:rsid w:val="00C8061F"/>
    <w:rsid w:val="00C8093D"/>
    <w:rsid w:val="00C81B07"/>
    <w:rsid w:val="00C81F21"/>
    <w:rsid w:val="00C82597"/>
    <w:rsid w:val="00C8298F"/>
    <w:rsid w:val="00C829BF"/>
    <w:rsid w:val="00C8347C"/>
    <w:rsid w:val="00C83914"/>
    <w:rsid w:val="00C83D9B"/>
    <w:rsid w:val="00C83F52"/>
    <w:rsid w:val="00C840BC"/>
    <w:rsid w:val="00C8410B"/>
    <w:rsid w:val="00C8432C"/>
    <w:rsid w:val="00C84478"/>
    <w:rsid w:val="00C84AE8"/>
    <w:rsid w:val="00C84B9F"/>
    <w:rsid w:val="00C84CD5"/>
    <w:rsid w:val="00C851F7"/>
    <w:rsid w:val="00C853B7"/>
    <w:rsid w:val="00C85669"/>
    <w:rsid w:val="00C859C1"/>
    <w:rsid w:val="00C85BBF"/>
    <w:rsid w:val="00C85F8F"/>
    <w:rsid w:val="00C860A6"/>
    <w:rsid w:val="00C86B3B"/>
    <w:rsid w:val="00C86DA7"/>
    <w:rsid w:val="00C87182"/>
    <w:rsid w:val="00C874DD"/>
    <w:rsid w:val="00C875E3"/>
    <w:rsid w:val="00C878EC"/>
    <w:rsid w:val="00C879B7"/>
    <w:rsid w:val="00C87B72"/>
    <w:rsid w:val="00C903F2"/>
    <w:rsid w:val="00C90757"/>
    <w:rsid w:val="00C90997"/>
    <w:rsid w:val="00C91147"/>
    <w:rsid w:val="00C91417"/>
    <w:rsid w:val="00C91620"/>
    <w:rsid w:val="00C91B51"/>
    <w:rsid w:val="00C91BC8"/>
    <w:rsid w:val="00C92712"/>
    <w:rsid w:val="00C92908"/>
    <w:rsid w:val="00C92E69"/>
    <w:rsid w:val="00C93164"/>
    <w:rsid w:val="00C932DB"/>
    <w:rsid w:val="00C933E6"/>
    <w:rsid w:val="00C936DE"/>
    <w:rsid w:val="00C93CBC"/>
    <w:rsid w:val="00C93E2C"/>
    <w:rsid w:val="00C940F8"/>
    <w:rsid w:val="00C944C1"/>
    <w:rsid w:val="00C9450B"/>
    <w:rsid w:val="00C94B31"/>
    <w:rsid w:val="00C95338"/>
    <w:rsid w:val="00C95CE2"/>
    <w:rsid w:val="00C95E8F"/>
    <w:rsid w:val="00C95FE0"/>
    <w:rsid w:val="00C9604A"/>
    <w:rsid w:val="00C961B3"/>
    <w:rsid w:val="00C96262"/>
    <w:rsid w:val="00C96483"/>
    <w:rsid w:val="00C96599"/>
    <w:rsid w:val="00C966CB"/>
    <w:rsid w:val="00C96AC0"/>
    <w:rsid w:val="00C96C01"/>
    <w:rsid w:val="00C96D17"/>
    <w:rsid w:val="00C96D4C"/>
    <w:rsid w:val="00C97F1F"/>
    <w:rsid w:val="00CA0049"/>
    <w:rsid w:val="00CA009B"/>
    <w:rsid w:val="00CA0917"/>
    <w:rsid w:val="00CA11BD"/>
    <w:rsid w:val="00CA131B"/>
    <w:rsid w:val="00CA1393"/>
    <w:rsid w:val="00CA1423"/>
    <w:rsid w:val="00CA1548"/>
    <w:rsid w:val="00CA17B1"/>
    <w:rsid w:val="00CA1A4F"/>
    <w:rsid w:val="00CA1D63"/>
    <w:rsid w:val="00CA2095"/>
    <w:rsid w:val="00CA25D9"/>
    <w:rsid w:val="00CA3A4D"/>
    <w:rsid w:val="00CA3A61"/>
    <w:rsid w:val="00CA3E10"/>
    <w:rsid w:val="00CA482B"/>
    <w:rsid w:val="00CA4FA7"/>
    <w:rsid w:val="00CA5392"/>
    <w:rsid w:val="00CA57F0"/>
    <w:rsid w:val="00CA5800"/>
    <w:rsid w:val="00CA5F0E"/>
    <w:rsid w:val="00CA612E"/>
    <w:rsid w:val="00CA6257"/>
    <w:rsid w:val="00CA62B9"/>
    <w:rsid w:val="00CA6ECB"/>
    <w:rsid w:val="00CA7032"/>
    <w:rsid w:val="00CA7498"/>
    <w:rsid w:val="00CB0A0F"/>
    <w:rsid w:val="00CB1B50"/>
    <w:rsid w:val="00CB26CC"/>
    <w:rsid w:val="00CB2A06"/>
    <w:rsid w:val="00CB2EEE"/>
    <w:rsid w:val="00CB2F24"/>
    <w:rsid w:val="00CB34B3"/>
    <w:rsid w:val="00CB3713"/>
    <w:rsid w:val="00CB383C"/>
    <w:rsid w:val="00CB3D0A"/>
    <w:rsid w:val="00CB4264"/>
    <w:rsid w:val="00CB44C2"/>
    <w:rsid w:val="00CB469C"/>
    <w:rsid w:val="00CB524B"/>
    <w:rsid w:val="00CB5791"/>
    <w:rsid w:val="00CB5871"/>
    <w:rsid w:val="00CB5B8C"/>
    <w:rsid w:val="00CB6BB5"/>
    <w:rsid w:val="00CB7030"/>
    <w:rsid w:val="00CB7332"/>
    <w:rsid w:val="00CB744A"/>
    <w:rsid w:val="00CB764F"/>
    <w:rsid w:val="00CB76F5"/>
    <w:rsid w:val="00CB7941"/>
    <w:rsid w:val="00CB7B2E"/>
    <w:rsid w:val="00CB7E43"/>
    <w:rsid w:val="00CC0011"/>
    <w:rsid w:val="00CC0196"/>
    <w:rsid w:val="00CC0697"/>
    <w:rsid w:val="00CC089F"/>
    <w:rsid w:val="00CC0F92"/>
    <w:rsid w:val="00CC10A4"/>
    <w:rsid w:val="00CC16F4"/>
    <w:rsid w:val="00CC1A1F"/>
    <w:rsid w:val="00CC1EC7"/>
    <w:rsid w:val="00CC3412"/>
    <w:rsid w:val="00CC3556"/>
    <w:rsid w:val="00CC42E5"/>
    <w:rsid w:val="00CC4692"/>
    <w:rsid w:val="00CC46CE"/>
    <w:rsid w:val="00CC47B8"/>
    <w:rsid w:val="00CC4917"/>
    <w:rsid w:val="00CC49E9"/>
    <w:rsid w:val="00CC4FD7"/>
    <w:rsid w:val="00CC51CF"/>
    <w:rsid w:val="00CC54E2"/>
    <w:rsid w:val="00CC5AD7"/>
    <w:rsid w:val="00CC6057"/>
    <w:rsid w:val="00CC609C"/>
    <w:rsid w:val="00CC61AE"/>
    <w:rsid w:val="00CC648A"/>
    <w:rsid w:val="00CC65BC"/>
    <w:rsid w:val="00CC77FD"/>
    <w:rsid w:val="00CC7F86"/>
    <w:rsid w:val="00CD020C"/>
    <w:rsid w:val="00CD09E2"/>
    <w:rsid w:val="00CD0DA2"/>
    <w:rsid w:val="00CD1F95"/>
    <w:rsid w:val="00CD2187"/>
    <w:rsid w:val="00CD2237"/>
    <w:rsid w:val="00CD22EB"/>
    <w:rsid w:val="00CD2671"/>
    <w:rsid w:val="00CD2912"/>
    <w:rsid w:val="00CD2949"/>
    <w:rsid w:val="00CD29C9"/>
    <w:rsid w:val="00CD3142"/>
    <w:rsid w:val="00CD3400"/>
    <w:rsid w:val="00CD3589"/>
    <w:rsid w:val="00CD3BD1"/>
    <w:rsid w:val="00CD4633"/>
    <w:rsid w:val="00CD47BE"/>
    <w:rsid w:val="00CD4D14"/>
    <w:rsid w:val="00CD5047"/>
    <w:rsid w:val="00CD5876"/>
    <w:rsid w:val="00CD5940"/>
    <w:rsid w:val="00CD5E8C"/>
    <w:rsid w:val="00CD6404"/>
    <w:rsid w:val="00CD6849"/>
    <w:rsid w:val="00CD7094"/>
    <w:rsid w:val="00CD7523"/>
    <w:rsid w:val="00CD7674"/>
    <w:rsid w:val="00CD78E1"/>
    <w:rsid w:val="00CD7FA5"/>
    <w:rsid w:val="00CE0379"/>
    <w:rsid w:val="00CE0EE4"/>
    <w:rsid w:val="00CE0FC4"/>
    <w:rsid w:val="00CE1109"/>
    <w:rsid w:val="00CE1208"/>
    <w:rsid w:val="00CE12B5"/>
    <w:rsid w:val="00CE1352"/>
    <w:rsid w:val="00CE1425"/>
    <w:rsid w:val="00CE150A"/>
    <w:rsid w:val="00CE1944"/>
    <w:rsid w:val="00CE1C05"/>
    <w:rsid w:val="00CE21D0"/>
    <w:rsid w:val="00CE251B"/>
    <w:rsid w:val="00CE28AF"/>
    <w:rsid w:val="00CE3237"/>
    <w:rsid w:val="00CE3EDA"/>
    <w:rsid w:val="00CE42C3"/>
    <w:rsid w:val="00CE4A48"/>
    <w:rsid w:val="00CE4B4C"/>
    <w:rsid w:val="00CE4CDD"/>
    <w:rsid w:val="00CE4CF2"/>
    <w:rsid w:val="00CE5471"/>
    <w:rsid w:val="00CE54F0"/>
    <w:rsid w:val="00CE5876"/>
    <w:rsid w:val="00CE5A18"/>
    <w:rsid w:val="00CE5CEA"/>
    <w:rsid w:val="00CE5F1C"/>
    <w:rsid w:val="00CE6A4E"/>
    <w:rsid w:val="00CE6B88"/>
    <w:rsid w:val="00CE6BE2"/>
    <w:rsid w:val="00CE6D25"/>
    <w:rsid w:val="00CE6EAA"/>
    <w:rsid w:val="00CE71D7"/>
    <w:rsid w:val="00CE7374"/>
    <w:rsid w:val="00CE7469"/>
    <w:rsid w:val="00CE76C9"/>
    <w:rsid w:val="00CE7B61"/>
    <w:rsid w:val="00CE7B68"/>
    <w:rsid w:val="00CE7BCE"/>
    <w:rsid w:val="00CF020A"/>
    <w:rsid w:val="00CF0227"/>
    <w:rsid w:val="00CF0680"/>
    <w:rsid w:val="00CF08BC"/>
    <w:rsid w:val="00CF0B17"/>
    <w:rsid w:val="00CF1EFD"/>
    <w:rsid w:val="00CF20FB"/>
    <w:rsid w:val="00CF2134"/>
    <w:rsid w:val="00CF219A"/>
    <w:rsid w:val="00CF21D7"/>
    <w:rsid w:val="00CF234C"/>
    <w:rsid w:val="00CF2E12"/>
    <w:rsid w:val="00CF30DC"/>
    <w:rsid w:val="00CF35CE"/>
    <w:rsid w:val="00CF4090"/>
    <w:rsid w:val="00CF40E5"/>
    <w:rsid w:val="00CF41A3"/>
    <w:rsid w:val="00CF45F4"/>
    <w:rsid w:val="00CF4793"/>
    <w:rsid w:val="00CF4A14"/>
    <w:rsid w:val="00CF5309"/>
    <w:rsid w:val="00CF5A50"/>
    <w:rsid w:val="00CF608F"/>
    <w:rsid w:val="00CF65E9"/>
    <w:rsid w:val="00CF6813"/>
    <w:rsid w:val="00CF69B3"/>
    <w:rsid w:val="00CF7395"/>
    <w:rsid w:val="00CF755B"/>
    <w:rsid w:val="00CF76CE"/>
    <w:rsid w:val="00CF772E"/>
    <w:rsid w:val="00CF7A13"/>
    <w:rsid w:val="00CF7CAF"/>
    <w:rsid w:val="00CF7E4A"/>
    <w:rsid w:val="00CF7ECB"/>
    <w:rsid w:val="00D00192"/>
    <w:rsid w:val="00D00512"/>
    <w:rsid w:val="00D0062C"/>
    <w:rsid w:val="00D00753"/>
    <w:rsid w:val="00D00B82"/>
    <w:rsid w:val="00D010DD"/>
    <w:rsid w:val="00D0120F"/>
    <w:rsid w:val="00D012FD"/>
    <w:rsid w:val="00D01C21"/>
    <w:rsid w:val="00D01C3A"/>
    <w:rsid w:val="00D01EFD"/>
    <w:rsid w:val="00D01F87"/>
    <w:rsid w:val="00D034CA"/>
    <w:rsid w:val="00D03D02"/>
    <w:rsid w:val="00D04379"/>
    <w:rsid w:val="00D04998"/>
    <w:rsid w:val="00D05169"/>
    <w:rsid w:val="00D0568B"/>
    <w:rsid w:val="00D05BB8"/>
    <w:rsid w:val="00D061F9"/>
    <w:rsid w:val="00D06FC9"/>
    <w:rsid w:val="00D07867"/>
    <w:rsid w:val="00D07C71"/>
    <w:rsid w:val="00D07E6A"/>
    <w:rsid w:val="00D10216"/>
    <w:rsid w:val="00D104EA"/>
    <w:rsid w:val="00D10A8E"/>
    <w:rsid w:val="00D10D94"/>
    <w:rsid w:val="00D11631"/>
    <w:rsid w:val="00D11B8A"/>
    <w:rsid w:val="00D11E11"/>
    <w:rsid w:val="00D1300D"/>
    <w:rsid w:val="00D13305"/>
    <w:rsid w:val="00D138A8"/>
    <w:rsid w:val="00D13A63"/>
    <w:rsid w:val="00D13C1C"/>
    <w:rsid w:val="00D14433"/>
    <w:rsid w:val="00D14499"/>
    <w:rsid w:val="00D14954"/>
    <w:rsid w:val="00D14E04"/>
    <w:rsid w:val="00D14F57"/>
    <w:rsid w:val="00D1572F"/>
    <w:rsid w:val="00D15CCD"/>
    <w:rsid w:val="00D15F00"/>
    <w:rsid w:val="00D15FF7"/>
    <w:rsid w:val="00D16060"/>
    <w:rsid w:val="00D166E8"/>
    <w:rsid w:val="00D1747C"/>
    <w:rsid w:val="00D20004"/>
    <w:rsid w:val="00D207D4"/>
    <w:rsid w:val="00D20C64"/>
    <w:rsid w:val="00D20DA7"/>
    <w:rsid w:val="00D20DE4"/>
    <w:rsid w:val="00D20E5A"/>
    <w:rsid w:val="00D20FF3"/>
    <w:rsid w:val="00D21378"/>
    <w:rsid w:val="00D21A49"/>
    <w:rsid w:val="00D21D64"/>
    <w:rsid w:val="00D22385"/>
    <w:rsid w:val="00D223DC"/>
    <w:rsid w:val="00D22B39"/>
    <w:rsid w:val="00D23A22"/>
    <w:rsid w:val="00D23CE9"/>
    <w:rsid w:val="00D242C3"/>
    <w:rsid w:val="00D243EF"/>
    <w:rsid w:val="00D24507"/>
    <w:rsid w:val="00D24B71"/>
    <w:rsid w:val="00D258C4"/>
    <w:rsid w:val="00D25CF0"/>
    <w:rsid w:val="00D2634D"/>
    <w:rsid w:val="00D265B1"/>
    <w:rsid w:val="00D26784"/>
    <w:rsid w:val="00D2678E"/>
    <w:rsid w:val="00D26BB1"/>
    <w:rsid w:val="00D26D61"/>
    <w:rsid w:val="00D26E61"/>
    <w:rsid w:val="00D271CE"/>
    <w:rsid w:val="00D2760A"/>
    <w:rsid w:val="00D27959"/>
    <w:rsid w:val="00D306A9"/>
    <w:rsid w:val="00D306DB"/>
    <w:rsid w:val="00D3196B"/>
    <w:rsid w:val="00D31B60"/>
    <w:rsid w:val="00D31B6D"/>
    <w:rsid w:val="00D31BFA"/>
    <w:rsid w:val="00D31D28"/>
    <w:rsid w:val="00D3234D"/>
    <w:rsid w:val="00D32DC3"/>
    <w:rsid w:val="00D33160"/>
    <w:rsid w:val="00D33435"/>
    <w:rsid w:val="00D33466"/>
    <w:rsid w:val="00D33F58"/>
    <w:rsid w:val="00D34E7F"/>
    <w:rsid w:val="00D34EE7"/>
    <w:rsid w:val="00D3575A"/>
    <w:rsid w:val="00D362E9"/>
    <w:rsid w:val="00D363F1"/>
    <w:rsid w:val="00D3641A"/>
    <w:rsid w:val="00D36B16"/>
    <w:rsid w:val="00D37050"/>
    <w:rsid w:val="00D370C7"/>
    <w:rsid w:val="00D372A9"/>
    <w:rsid w:val="00D3743A"/>
    <w:rsid w:val="00D37721"/>
    <w:rsid w:val="00D4011D"/>
    <w:rsid w:val="00D4020F"/>
    <w:rsid w:val="00D4075B"/>
    <w:rsid w:val="00D412D0"/>
    <w:rsid w:val="00D412F6"/>
    <w:rsid w:val="00D4141D"/>
    <w:rsid w:val="00D41648"/>
    <w:rsid w:val="00D41B9C"/>
    <w:rsid w:val="00D421C7"/>
    <w:rsid w:val="00D42683"/>
    <w:rsid w:val="00D42CDD"/>
    <w:rsid w:val="00D42FB0"/>
    <w:rsid w:val="00D431AF"/>
    <w:rsid w:val="00D433A5"/>
    <w:rsid w:val="00D4345B"/>
    <w:rsid w:val="00D43D13"/>
    <w:rsid w:val="00D43D4C"/>
    <w:rsid w:val="00D43F8F"/>
    <w:rsid w:val="00D44104"/>
    <w:rsid w:val="00D44143"/>
    <w:rsid w:val="00D45007"/>
    <w:rsid w:val="00D45ABE"/>
    <w:rsid w:val="00D4603D"/>
    <w:rsid w:val="00D46727"/>
    <w:rsid w:val="00D4689E"/>
    <w:rsid w:val="00D46B3E"/>
    <w:rsid w:val="00D473F2"/>
    <w:rsid w:val="00D474F9"/>
    <w:rsid w:val="00D47812"/>
    <w:rsid w:val="00D47EE9"/>
    <w:rsid w:val="00D5010D"/>
    <w:rsid w:val="00D503E8"/>
    <w:rsid w:val="00D50689"/>
    <w:rsid w:val="00D50CC0"/>
    <w:rsid w:val="00D50D5A"/>
    <w:rsid w:val="00D50F9E"/>
    <w:rsid w:val="00D510A2"/>
    <w:rsid w:val="00D519E2"/>
    <w:rsid w:val="00D51C58"/>
    <w:rsid w:val="00D51FB5"/>
    <w:rsid w:val="00D5231D"/>
    <w:rsid w:val="00D525BA"/>
    <w:rsid w:val="00D52A94"/>
    <w:rsid w:val="00D52B06"/>
    <w:rsid w:val="00D52F17"/>
    <w:rsid w:val="00D52F7E"/>
    <w:rsid w:val="00D52FDC"/>
    <w:rsid w:val="00D5326B"/>
    <w:rsid w:val="00D534F3"/>
    <w:rsid w:val="00D5371E"/>
    <w:rsid w:val="00D53C88"/>
    <w:rsid w:val="00D540B9"/>
    <w:rsid w:val="00D544EB"/>
    <w:rsid w:val="00D5484C"/>
    <w:rsid w:val="00D54BDE"/>
    <w:rsid w:val="00D54BF6"/>
    <w:rsid w:val="00D54C7D"/>
    <w:rsid w:val="00D56C24"/>
    <w:rsid w:val="00D56D21"/>
    <w:rsid w:val="00D57040"/>
    <w:rsid w:val="00D5710F"/>
    <w:rsid w:val="00D57566"/>
    <w:rsid w:val="00D57828"/>
    <w:rsid w:val="00D57B14"/>
    <w:rsid w:val="00D6001E"/>
    <w:rsid w:val="00D60049"/>
    <w:rsid w:val="00D60079"/>
    <w:rsid w:val="00D6025C"/>
    <w:rsid w:val="00D60E9C"/>
    <w:rsid w:val="00D60FBD"/>
    <w:rsid w:val="00D623E8"/>
    <w:rsid w:val="00D62727"/>
    <w:rsid w:val="00D62750"/>
    <w:rsid w:val="00D627D2"/>
    <w:rsid w:val="00D629E1"/>
    <w:rsid w:val="00D62D2B"/>
    <w:rsid w:val="00D62EBC"/>
    <w:rsid w:val="00D632CB"/>
    <w:rsid w:val="00D634B7"/>
    <w:rsid w:val="00D638DD"/>
    <w:rsid w:val="00D63E8B"/>
    <w:rsid w:val="00D64895"/>
    <w:rsid w:val="00D649E7"/>
    <w:rsid w:val="00D65258"/>
    <w:rsid w:val="00D65686"/>
    <w:rsid w:val="00D657C8"/>
    <w:rsid w:val="00D66543"/>
    <w:rsid w:val="00D665CC"/>
    <w:rsid w:val="00D66B7D"/>
    <w:rsid w:val="00D673C0"/>
    <w:rsid w:val="00D67663"/>
    <w:rsid w:val="00D67B53"/>
    <w:rsid w:val="00D67D95"/>
    <w:rsid w:val="00D7086C"/>
    <w:rsid w:val="00D709A6"/>
    <w:rsid w:val="00D70E1D"/>
    <w:rsid w:val="00D70FE8"/>
    <w:rsid w:val="00D714AE"/>
    <w:rsid w:val="00D7173B"/>
    <w:rsid w:val="00D71CFB"/>
    <w:rsid w:val="00D721A1"/>
    <w:rsid w:val="00D722F6"/>
    <w:rsid w:val="00D72AFD"/>
    <w:rsid w:val="00D72C81"/>
    <w:rsid w:val="00D72FAD"/>
    <w:rsid w:val="00D733CD"/>
    <w:rsid w:val="00D73E31"/>
    <w:rsid w:val="00D73FA6"/>
    <w:rsid w:val="00D74023"/>
    <w:rsid w:val="00D7489C"/>
    <w:rsid w:val="00D74C7B"/>
    <w:rsid w:val="00D74D1B"/>
    <w:rsid w:val="00D76033"/>
    <w:rsid w:val="00D76349"/>
    <w:rsid w:val="00D76525"/>
    <w:rsid w:val="00D76D4F"/>
    <w:rsid w:val="00D7714F"/>
    <w:rsid w:val="00D7798C"/>
    <w:rsid w:val="00D77B6E"/>
    <w:rsid w:val="00D77B84"/>
    <w:rsid w:val="00D8045C"/>
    <w:rsid w:val="00D804BF"/>
    <w:rsid w:val="00D80563"/>
    <w:rsid w:val="00D8064E"/>
    <w:rsid w:val="00D807FE"/>
    <w:rsid w:val="00D808F2"/>
    <w:rsid w:val="00D80E6E"/>
    <w:rsid w:val="00D80E92"/>
    <w:rsid w:val="00D81663"/>
    <w:rsid w:val="00D816BF"/>
    <w:rsid w:val="00D817DC"/>
    <w:rsid w:val="00D818A4"/>
    <w:rsid w:val="00D81BDE"/>
    <w:rsid w:val="00D82325"/>
    <w:rsid w:val="00D82B90"/>
    <w:rsid w:val="00D82E15"/>
    <w:rsid w:val="00D82ECC"/>
    <w:rsid w:val="00D8306D"/>
    <w:rsid w:val="00D83689"/>
    <w:rsid w:val="00D845E8"/>
    <w:rsid w:val="00D848FE"/>
    <w:rsid w:val="00D84CDF"/>
    <w:rsid w:val="00D84E5E"/>
    <w:rsid w:val="00D85527"/>
    <w:rsid w:val="00D85CBB"/>
    <w:rsid w:val="00D85E33"/>
    <w:rsid w:val="00D85F01"/>
    <w:rsid w:val="00D866DF"/>
    <w:rsid w:val="00D86B22"/>
    <w:rsid w:val="00D86CB3"/>
    <w:rsid w:val="00D87950"/>
    <w:rsid w:val="00D87997"/>
    <w:rsid w:val="00D87E46"/>
    <w:rsid w:val="00D90158"/>
    <w:rsid w:val="00D90283"/>
    <w:rsid w:val="00D905F7"/>
    <w:rsid w:val="00D909AC"/>
    <w:rsid w:val="00D90AF0"/>
    <w:rsid w:val="00D90B6A"/>
    <w:rsid w:val="00D90E6E"/>
    <w:rsid w:val="00D911E2"/>
    <w:rsid w:val="00D91738"/>
    <w:rsid w:val="00D918D9"/>
    <w:rsid w:val="00D91AAD"/>
    <w:rsid w:val="00D922DB"/>
    <w:rsid w:val="00D928CB"/>
    <w:rsid w:val="00D929D1"/>
    <w:rsid w:val="00D92A64"/>
    <w:rsid w:val="00D92C45"/>
    <w:rsid w:val="00D92D57"/>
    <w:rsid w:val="00D9346A"/>
    <w:rsid w:val="00D9352A"/>
    <w:rsid w:val="00D93761"/>
    <w:rsid w:val="00D9450E"/>
    <w:rsid w:val="00D94563"/>
    <w:rsid w:val="00D9480A"/>
    <w:rsid w:val="00D94881"/>
    <w:rsid w:val="00D94A87"/>
    <w:rsid w:val="00D94FE0"/>
    <w:rsid w:val="00D95390"/>
    <w:rsid w:val="00D9590C"/>
    <w:rsid w:val="00D95B19"/>
    <w:rsid w:val="00D95D2E"/>
    <w:rsid w:val="00D964C4"/>
    <w:rsid w:val="00D9699F"/>
    <w:rsid w:val="00D96C4C"/>
    <w:rsid w:val="00D970D6"/>
    <w:rsid w:val="00D97135"/>
    <w:rsid w:val="00D975FB"/>
    <w:rsid w:val="00D97CFF"/>
    <w:rsid w:val="00DA016D"/>
    <w:rsid w:val="00DA018B"/>
    <w:rsid w:val="00DA0346"/>
    <w:rsid w:val="00DA0737"/>
    <w:rsid w:val="00DA0E74"/>
    <w:rsid w:val="00DA0F3D"/>
    <w:rsid w:val="00DA13F5"/>
    <w:rsid w:val="00DA194E"/>
    <w:rsid w:val="00DA232A"/>
    <w:rsid w:val="00DA3850"/>
    <w:rsid w:val="00DA3C47"/>
    <w:rsid w:val="00DA3F35"/>
    <w:rsid w:val="00DA42DF"/>
    <w:rsid w:val="00DA47DF"/>
    <w:rsid w:val="00DA50D2"/>
    <w:rsid w:val="00DA523A"/>
    <w:rsid w:val="00DA55B5"/>
    <w:rsid w:val="00DA5605"/>
    <w:rsid w:val="00DA5B83"/>
    <w:rsid w:val="00DA5BB2"/>
    <w:rsid w:val="00DA5FE7"/>
    <w:rsid w:val="00DA65E5"/>
    <w:rsid w:val="00DA67FA"/>
    <w:rsid w:val="00DA6818"/>
    <w:rsid w:val="00DA6AAF"/>
    <w:rsid w:val="00DA6ADA"/>
    <w:rsid w:val="00DA6C60"/>
    <w:rsid w:val="00DA6DCF"/>
    <w:rsid w:val="00DA769F"/>
    <w:rsid w:val="00DB003D"/>
    <w:rsid w:val="00DB0197"/>
    <w:rsid w:val="00DB0BB7"/>
    <w:rsid w:val="00DB0C42"/>
    <w:rsid w:val="00DB0FD4"/>
    <w:rsid w:val="00DB1476"/>
    <w:rsid w:val="00DB1661"/>
    <w:rsid w:val="00DB1DB0"/>
    <w:rsid w:val="00DB1E0C"/>
    <w:rsid w:val="00DB235C"/>
    <w:rsid w:val="00DB244E"/>
    <w:rsid w:val="00DB26D9"/>
    <w:rsid w:val="00DB29D4"/>
    <w:rsid w:val="00DB2A10"/>
    <w:rsid w:val="00DB2CA9"/>
    <w:rsid w:val="00DB308B"/>
    <w:rsid w:val="00DB3291"/>
    <w:rsid w:val="00DB36B6"/>
    <w:rsid w:val="00DB44E9"/>
    <w:rsid w:val="00DB4CB8"/>
    <w:rsid w:val="00DB4F70"/>
    <w:rsid w:val="00DB505B"/>
    <w:rsid w:val="00DB5068"/>
    <w:rsid w:val="00DB528B"/>
    <w:rsid w:val="00DB5490"/>
    <w:rsid w:val="00DB592A"/>
    <w:rsid w:val="00DB59AF"/>
    <w:rsid w:val="00DB5CF5"/>
    <w:rsid w:val="00DB6981"/>
    <w:rsid w:val="00DB6A84"/>
    <w:rsid w:val="00DB78DF"/>
    <w:rsid w:val="00DB7F5B"/>
    <w:rsid w:val="00DC0055"/>
    <w:rsid w:val="00DC05BD"/>
    <w:rsid w:val="00DC0671"/>
    <w:rsid w:val="00DC0838"/>
    <w:rsid w:val="00DC08FB"/>
    <w:rsid w:val="00DC0BC1"/>
    <w:rsid w:val="00DC1381"/>
    <w:rsid w:val="00DC16F8"/>
    <w:rsid w:val="00DC1896"/>
    <w:rsid w:val="00DC1A39"/>
    <w:rsid w:val="00DC1C7D"/>
    <w:rsid w:val="00DC202C"/>
    <w:rsid w:val="00DC25F5"/>
    <w:rsid w:val="00DC2B43"/>
    <w:rsid w:val="00DC2B7D"/>
    <w:rsid w:val="00DC2D41"/>
    <w:rsid w:val="00DC3291"/>
    <w:rsid w:val="00DC329B"/>
    <w:rsid w:val="00DC3848"/>
    <w:rsid w:val="00DC39E5"/>
    <w:rsid w:val="00DC3C8A"/>
    <w:rsid w:val="00DC3E41"/>
    <w:rsid w:val="00DC401A"/>
    <w:rsid w:val="00DC4299"/>
    <w:rsid w:val="00DC432E"/>
    <w:rsid w:val="00DC455D"/>
    <w:rsid w:val="00DC4A4C"/>
    <w:rsid w:val="00DC4F1C"/>
    <w:rsid w:val="00DC5644"/>
    <w:rsid w:val="00DC56C2"/>
    <w:rsid w:val="00DC5722"/>
    <w:rsid w:val="00DC580A"/>
    <w:rsid w:val="00DC5BF8"/>
    <w:rsid w:val="00DC5FE6"/>
    <w:rsid w:val="00DC63D7"/>
    <w:rsid w:val="00DC69F8"/>
    <w:rsid w:val="00DC6A21"/>
    <w:rsid w:val="00DC6A86"/>
    <w:rsid w:val="00DC6AFD"/>
    <w:rsid w:val="00DC6BF1"/>
    <w:rsid w:val="00DC6DCC"/>
    <w:rsid w:val="00DC6E32"/>
    <w:rsid w:val="00DC7075"/>
    <w:rsid w:val="00DC738D"/>
    <w:rsid w:val="00DC7408"/>
    <w:rsid w:val="00DC7457"/>
    <w:rsid w:val="00DC79DC"/>
    <w:rsid w:val="00DC7D67"/>
    <w:rsid w:val="00DC7F73"/>
    <w:rsid w:val="00DD071E"/>
    <w:rsid w:val="00DD0B5C"/>
    <w:rsid w:val="00DD152F"/>
    <w:rsid w:val="00DD1980"/>
    <w:rsid w:val="00DD21BB"/>
    <w:rsid w:val="00DD2C17"/>
    <w:rsid w:val="00DD2EF6"/>
    <w:rsid w:val="00DD3445"/>
    <w:rsid w:val="00DD34FB"/>
    <w:rsid w:val="00DD3FC4"/>
    <w:rsid w:val="00DD4551"/>
    <w:rsid w:val="00DD466F"/>
    <w:rsid w:val="00DD54A4"/>
    <w:rsid w:val="00DD58C0"/>
    <w:rsid w:val="00DD5F7F"/>
    <w:rsid w:val="00DD5FBD"/>
    <w:rsid w:val="00DD6149"/>
    <w:rsid w:val="00DD620B"/>
    <w:rsid w:val="00DD62D3"/>
    <w:rsid w:val="00DD63AD"/>
    <w:rsid w:val="00DD65A2"/>
    <w:rsid w:val="00DD76B6"/>
    <w:rsid w:val="00DD7751"/>
    <w:rsid w:val="00DD799D"/>
    <w:rsid w:val="00DD79FD"/>
    <w:rsid w:val="00DD7AF9"/>
    <w:rsid w:val="00DE025A"/>
    <w:rsid w:val="00DE05CA"/>
    <w:rsid w:val="00DE0E00"/>
    <w:rsid w:val="00DE0E0E"/>
    <w:rsid w:val="00DE0E56"/>
    <w:rsid w:val="00DE1268"/>
    <w:rsid w:val="00DE13DD"/>
    <w:rsid w:val="00DE1743"/>
    <w:rsid w:val="00DE2168"/>
    <w:rsid w:val="00DE2346"/>
    <w:rsid w:val="00DE26A6"/>
    <w:rsid w:val="00DE2EEE"/>
    <w:rsid w:val="00DE300F"/>
    <w:rsid w:val="00DE3C8E"/>
    <w:rsid w:val="00DE3ED9"/>
    <w:rsid w:val="00DE4000"/>
    <w:rsid w:val="00DE434B"/>
    <w:rsid w:val="00DE4350"/>
    <w:rsid w:val="00DE45F7"/>
    <w:rsid w:val="00DE4627"/>
    <w:rsid w:val="00DE4CBC"/>
    <w:rsid w:val="00DE5233"/>
    <w:rsid w:val="00DE52CF"/>
    <w:rsid w:val="00DE537A"/>
    <w:rsid w:val="00DE5ABF"/>
    <w:rsid w:val="00DE6278"/>
    <w:rsid w:val="00DE66EF"/>
    <w:rsid w:val="00DE678C"/>
    <w:rsid w:val="00DE6A59"/>
    <w:rsid w:val="00DE6D06"/>
    <w:rsid w:val="00DE79D2"/>
    <w:rsid w:val="00DE7DE3"/>
    <w:rsid w:val="00DF0112"/>
    <w:rsid w:val="00DF07D2"/>
    <w:rsid w:val="00DF09C1"/>
    <w:rsid w:val="00DF0B3C"/>
    <w:rsid w:val="00DF10CF"/>
    <w:rsid w:val="00DF19FB"/>
    <w:rsid w:val="00DF2335"/>
    <w:rsid w:val="00DF2D65"/>
    <w:rsid w:val="00DF3B98"/>
    <w:rsid w:val="00DF4176"/>
    <w:rsid w:val="00DF5074"/>
    <w:rsid w:val="00DF543C"/>
    <w:rsid w:val="00DF58B7"/>
    <w:rsid w:val="00DF5A82"/>
    <w:rsid w:val="00DF5D7E"/>
    <w:rsid w:val="00DF5E2A"/>
    <w:rsid w:val="00DF6D36"/>
    <w:rsid w:val="00DF6EC9"/>
    <w:rsid w:val="00DF7034"/>
    <w:rsid w:val="00DF707E"/>
    <w:rsid w:val="00DF7A11"/>
    <w:rsid w:val="00DF7C7F"/>
    <w:rsid w:val="00E00131"/>
    <w:rsid w:val="00E00B61"/>
    <w:rsid w:val="00E00B6C"/>
    <w:rsid w:val="00E01108"/>
    <w:rsid w:val="00E01654"/>
    <w:rsid w:val="00E017BB"/>
    <w:rsid w:val="00E01AA4"/>
    <w:rsid w:val="00E01B43"/>
    <w:rsid w:val="00E02888"/>
    <w:rsid w:val="00E0298E"/>
    <w:rsid w:val="00E02A39"/>
    <w:rsid w:val="00E02D56"/>
    <w:rsid w:val="00E030A4"/>
    <w:rsid w:val="00E03319"/>
    <w:rsid w:val="00E03529"/>
    <w:rsid w:val="00E03AF9"/>
    <w:rsid w:val="00E03EB2"/>
    <w:rsid w:val="00E0427A"/>
    <w:rsid w:val="00E04637"/>
    <w:rsid w:val="00E04AA0"/>
    <w:rsid w:val="00E04B1F"/>
    <w:rsid w:val="00E04E18"/>
    <w:rsid w:val="00E04E21"/>
    <w:rsid w:val="00E05985"/>
    <w:rsid w:val="00E05E0F"/>
    <w:rsid w:val="00E06B1F"/>
    <w:rsid w:val="00E06D52"/>
    <w:rsid w:val="00E06DF5"/>
    <w:rsid w:val="00E071AB"/>
    <w:rsid w:val="00E07628"/>
    <w:rsid w:val="00E078F8"/>
    <w:rsid w:val="00E07E30"/>
    <w:rsid w:val="00E100FB"/>
    <w:rsid w:val="00E10293"/>
    <w:rsid w:val="00E1040A"/>
    <w:rsid w:val="00E10619"/>
    <w:rsid w:val="00E10853"/>
    <w:rsid w:val="00E1090D"/>
    <w:rsid w:val="00E10A9B"/>
    <w:rsid w:val="00E10AD1"/>
    <w:rsid w:val="00E1240B"/>
    <w:rsid w:val="00E12745"/>
    <w:rsid w:val="00E12A27"/>
    <w:rsid w:val="00E12AE1"/>
    <w:rsid w:val="00E12CE7"/>
    <w:rsid w:val="00E1332F"/>
    <w:rsid w:val="00E13410"/>
    <w:rsid w:val="00E1349B"/>
    <w:rsid w:val="00E13681"/>
    <w:rsid w:val="00E14B37"/>
    <w:rsid w:val="00E14EF9"/>
    <w:rsid w:val="00E1522A"/>
    <w:rsid w:val="00E152ED"/>
    <w:rsid w:val="00E15A3A"/>
    <w:rsid w:val="00E15A3F"/>
    <w:rsid w:val="00E162E0"/>
    <w:rsid w:val="00E16364"/>
    <w:rsid w:val="00E16DAA"/>
    <w:rsid w:val="00E1723C"/>
    <w:rsid w:val="00E173B0"/>
    <w:rsid w:val="00E17EB4"/>
    <w:rsid w:val="00E20103"/>
    <w:rsid w:val="00E2041E"/>
    <w:rsid w:val="00E204C0"/>
    <w:rsid w:val="00E20524"/>
    <w:rsid w:val="00E20BBB"/>
    <w:rsid w:val="00E20D98"/>
    <w:rsid w:val="00E2142C"/>
    <w:rsid w:val="00E21850"/>
    <w:rsid w:val="00E21B90"/>
    <w:rsid w:val="00E2238C"/>
    <w:rsid w:val="00E2294F"/>
    <w:rsid w:val="00E23045"/>
    <w:rsid w:val="00E23D6A"/>
    <w:rsid w:val="00E23DC0"/>
    <w:rsid w:val="00E23DF1"/>
    <w:rsid w:val="00E23E39"/>
    <w:rsid w:val="00E24171"/>
    <w:rsid w:val="00E2427E"/>
    <w:rsid w:val="00E24A22"/>
    <w:rsid w:val="00E24B39"/>
    <w:rsid w:val="00E24D72"/>
    <w:rsid w:val="00E2584E"/>
    <w:rsid w:val="00E25AC4"/>
    <w:rsid w:val="00E26101"/>
    <w:rsid w:val="00E26A5E"/>
    <w:rsid w:val="00E27035"/>
    <w:rsid w:val="00E2718A"/>
    <w:rsid w:val="00E275D2"/>
    <w:rsid w:val="00E2777D"/>
    <w:rsid w:val="00E27BE2"/>
    <w:rsid w:val="00E27F82"/>
    <w:rsid w:val="00E30565"/>
    <w:rsid w:val="00E30584"/>
    <w:rsid w:val="00E3073F"/>
    <w:rsid w:val="00E30A3B"/>
    <w:rsid w:val="00E316EB"/>
    <w:rsid w:val="00E322C8"/>
    <w:rsid w:val="00E324BF"/>
    <w:rsid w:val="00E32729"/>
    <w:rsid w:val="00E32B0F"/>
    <w:rsid w:val="00E32C53"/>
    <w:rsid w:val="00E33399"/>
    <w:rsid w:val="00E334E0"/>
    <w:rsid w:val="00E33849"/>
    <w:rsid w:val="00E3447E"/>
    <w:rsid w:val="00E345E7"/>
    <w:rsid w:val="00E3480F"/>
    <w:rsid w:val="00E34C51"/>
    <w:rsid w:val="00E34D1B"/>
    <w:rsid w:val="00E35948"/>
    <w:rsid w:val="00E35CAB"/>
    <w:rsid w:val="00E35E10"/>
    <w:rsid w:val="00E36179"/>
    <w:rsid w:val="00E3655E"/>
    <w:rsid w:val="00E36C6B"/>
    <w:rsid w:val="00E36CD3"/>
    <w:rsid w:val="00E36F9A"/>
    <w:rsid w:val="00E378A3"/>
    <w:rsid w:val="00E37A19"/>
    <w:rsid w:val="00E40922"/>
    <w:rsid w:val="00E409A1"/>
    <w:rsid w:val="00E40C2B"/>
    <w:rsid w:val="00E40E99"/>
    <w:rsid w:val="00E41B9D"/>
    <w:rsid w:val="00E41CA2"/>
    <w:rsid w:val="00E41DFE"/>
    <w:rsid w:val="00E42222"/>
    <w:rsid w:val="00E42238"/>
    <w:rsid w:val="00E43354"/>
    <w:rsid w:val="00E434CF"/>
    <w:rsid w:val="00E437A1"/>
    <w:rsid w:val="00E438DA"/>
    <w:rsid w:val="00E43A80"/>
    <w:rsid w:val="00E43D1F"/>
    <w:rsid w:val="00E441AA"/>
    <w:rsid w:val="00E44242"/>
    <w:rsid w:val="00E44324"/>
    <w:rsid w:val="00E446C7"/>
    <w:rsid w:val="00E44838"/>
    <w:rsid w:val="00E44BAA"/>
    <w:rsid w:val="00E44F81"/>
    <w:rsid w:val="00E453C9"/>
    <w:rsid w:val="00E45A67"/>
    <w:rsid w:val="00E45B86"/>
    <w:rsid w:val="00E45E73"/>
    <w:rsid w:val="00E46149"/>
    <w:rsid w:val="00E46278"/>
    <w:rsid w:val="00E4656D"/>
    <w:rsid w:val="00E467FF"/>
    <w:rsid w:val="00E46844"/>
    <w:rsid w:val="00E46D7F"/>
    <w:rsid w:val="00E477BA"/>
    <w:rsid w:val="00E47B67"/>
    <w:rsid w:val="00E47D83"/>
    <w:rsid w:val="00E50750"/>
    <w:rsid w:val="00E50F49"/>
    <w:rsid w:val="00E512C8"/>
    <w:rsid w:val="00E5168B"/>
    <w:rsid w:val="00E51A0B"/>
    <w:rsid w:val="00E51A39"/>
    <w:rsid w:val="00E51D94"/>
    <w:rsid w:val="00E52296"/>
    <w:rsid w:val="00E525DF"/>
    <w:rsid w:val="00E52684"/>
    <w:rsid w:val="00E52EAC"/>
    <w:rsid w:val="00E53237"/>
    <w:rsid w:val="00E53B22"/>
    <w:rsid w:val="00E54170"/>
    <w:rsid w:val="00E5437D"/>
    <w:rsid w:val="00E5478C"/>
    <w:rsid w:val="00E54CBB"/>
    <w:rsid w:val="00E54DFF"/>
    <w:rsid w:val="00E54F53"/>
    <w:rsid w:val="00E5517B"/>
    <w:rsid w:val="00E555CE"/>
    <w:rsid w:val="00E55863"/>
    <w:rsid w:val="00E558D1"/>
    <w:rsid w:val="00E561F6"/>
    <w:rsid w:val="00E56635"/>
    <w:rsid w:val="00E568AC"/>
    <w:rsid w:val="00E569E6"/>
    <w:rsid w:val="00E56B53"/>
    <w:rsid w:val="00E56D5E"/>
    <w:rsid w:val="00E56EC2"/>
    <w:rsid w:val="00E571ED"/>
    <w:rsid w:val="00E573B5"/>
    <w:rsid w:val="00E57A59"/>
    <w:rsid w:val="00E57E43"/>
    <w:rsid w:val="00E60958"/>
    <w:rsid w:val="00E60A75"/>
    <w:rsid w:val="00E60CA6"/>
    <w:rsid w:val="00E60DC2"/>
    <w:rsid w:val="00E6121B"/>
    <w:rsid w:val="00E61BFD"/>
    <w:rsid w:val="00E61C92"/>
    <w:rsid w:val="00E61F2F"/>
    <w:rsid w:val="00E61FE5"/>
    <w:rsid w:val="00E629C5"/>
    <w:rsid w:val="00E62B2C"/>
    <w:rsid w:val="00E62D4C"/>
    <w:rsid w:val="00E6351A"/>
    <w:rsid w:val="00E63AB2"/>
    <w:rsid w:val="00E63E11"/>
    <w:rsid w:val="00E63ECA"/>
    <w:rsid w:val="00E641D3"/>
    <w:rsid w:val="00E64315"/>
    <w:rsid w:val="00E6447F"/>
    <w:rsid w:val="00E64EAA"/>
    <w:rsid w:val="00E65A1A"/>
    <w:rsid w:val="00E65BDF"/>
    <w:rsid w:val="00E65BED"/>
    <w:rsid w:val="00E65C0B"/>
    <w:rsid w:val="00E65C60"/>
    <w:rsid w:val="00E65E17"/>
    <w:rsid w:val="00E65E96"/>
    <w:rsid w:val="00E663BA"/>
    <w:rsid w:val="00E6681C"/>
    <w:rsid w:val="00E66CA0"/>
    <w:rsid w:val="00E66CB1"/>
    <w:rsid w:val="00E66E6B"/>
    <w:rsid w:val="00E66FF9"/>
    <w:rsid w:val="00E67004"/>
    <w:rsid w:val="00E6732F"/>
    <w:rsid w:val="00E67413"/>
    <w:rsid w:val="00E67507"/>
    <w:rsid w:val="00E678C2"/>
    <w:rsid w:val="00E67CCC"/>
    <w:rsid w:val="00E70D0D"/>
    <w:rsid w:val="00E71A31"/>
    <w:rsid w:val="00E71CAF"/>
    <w:rsid w:val="00E71EBC"/>
    <w:rsid w:val="00E722CD"/>
    <w:rsid w:val="00E72465"/>
    <w:rsid w:val="00E72C29"/>
    <w:rsid w:val="00E72C56"/>
    <w:rsid w:val="00E72FB7"/>
    <w:rsid w:val="00E7325F"/>
    <w:rsid w:val="00E73B9F"/>
    <w:rsid w:val="00E73C7B"/>
    <w:rsid w:val="00E73D98"/>
    <w:rsid w:val="00E74150"/>
    <w:rsid w:val="00E747C2"/>
    <w:rsid w:val="00E74994"/>
    <w:rsid w:val="00E749C0"/>
    <w:rsid w:val="00E74B32"/>
    <w:rsid w:val="00E74D43"/>
    <w:rsid w:val="00E74F5A"/>
    <w:rsid w:val="00E75A60"/>
    <w:rsid w:val="00E75D52"/>
    <w:rsid w:val="00E75E7B"/>
    <w:rsid w:val="00E762B7"/>
    <w:rsid w:val="00E769EA"/>
    <w:rsid w:val="00E76DCC"/>
    <w:rsid w:val="00E76FA6"/>
    <w:rsid w:val="00E77091"/>
    <w:rsid w:val="00E772AD"/>
    <w:rsid w:val="00E772CF"/>
    <w:rsid w:val="00E777B6"/>
    <w:rsid w:val="00E778E9"/>
    <w:rsid w:val="00E77AB7"/>
    <w:rsid w:val="00E77B16"/>
    <w:rsid w:val="00E80256"/>
    <w:rsid w:val="00E803A3"/>
    <w:rsid w:val="00E804D7"/>
    <w:rsid w:val="00E80790"/>
    <w:rsid w:val="00E8088F"/>
    <w:rsid w:val="00E80DF5"/>
    <w:rsid w:val="00E81344"/>
    <w:rsid w:val="00E81568"/>
    <w:rsid w:val="00E817D5"/>
    <w:rsid w:val="00E81856"/>
    <w:rsid w:val="00E81C43"/>
    <w:rsid w:val="00E8225F"/>
    <w:rsid w:val="00E828D3"/>
    <w:rsid w:val="00E832B6"/>
    <w:rsid w:val="00E83321"/>
    <w:rsid w:val="00E83A1B"/>
    <w:rsid w:val="00E83BDA"/>
    <w:rsid w:val="00E83D64"/>
    <w:rsid w:val="00E84272"/>
    <w:rsid w:val="00E842E8"/>
    <w:rsid w:val="00E843F9"/>
    <w:rsid w:val="00E8448A"/>
    <w:rsid w:val="00E84548"/>
    <w:rsid w:val="00E848CB"/>
    <w:rsid w:val="00E84CB4"/>
    <w:rsid w:val="00E84F32"/>
    <w:rsid w:val="00E85307"/>
    <w:rsid w:val="00E85347"/>
    <w:rsid w:val="00E85425"/>
    <w:rsid w:val="00E854ED"/>
    <w:rsid w:val="00E85B7F"/>
    <w:rsid w:val="00E868CE"/>
    <w:rsid w:val="00E86A71"/>
    <w:rsid w:val="00E86CF9"/>
    <w:rsid w:val="00E86DA3"/>
    <w:rsid w:val="00E8700D"/>
    <w:rsid w:val="00E8746D"/>
    <w:rsid w:val="00E875FB"/>
    <w:rsid w:val="00E8798C"/>
    <w:rsid w:val="00E87A67"/>
    <w:rsid w:val="00E87C85"/>
    <w:rsid w:val="00E87F9C"/>
    <w:rsid w:val="00E9026E"/>
    <w:rsid w:val="00E90800"/>
    <w:rsid w:val="00E9092C"/>
    <w:rsid w:val="00E90C08"/>
    <w:rsid w:val="00E90DAD"/>
    <w:rsid w:val="00E90EA8"/>
    <w:rsid w:val="00E911F7"/>
    <w:rsid w:val="00E91B94"/>
    <w:rsid w:val="00E92094"/>
    <w:rsid w:val="00E9232C"/>
    <w:rsid w:val="00E929CC"/>
    <w:rsid w:val="00E9309E"/>
    <w:rsid w:val="00E930CE"/>
    <w:rsid w:val="00E93146"/>
    <w:rsid w:val="00E9334C"/>
    <w:rsid w:val="00E933CE"/>
    <w:rsid w:val="00E933E5"/>
    <w:rsid w:val="00E934E7"/>
    <w:rsid w:val="00E93697"/>
    <w:rsid w:val="00E9397D"/>
    <w:rsid w:val="00E93BE4"/>
    <w:rsid w:val="00E93D81"/>
    <w:rsid w:val="00E948C5"/>
    <w:rsid w:val="00E94B31"/>
    <w:rsid w:val="00E94F9D"/>
    <w:rsid w:val="00E95C2C"/>
    <w:rsid w:val="00E95D3E"/>
    <w:rsid w:val="00E95E57"/>
    <w:rsid w:val="00E96346"/>
    <w:rsid w:val="00E96DE0"/>
    <w:rsid w:val="00E96E80"/>
    <w:rsid w:val="00E973AD"/>
    <w:rsid w:val="00E9765C"/>
    <w:rsid w:val="00E9779A"/>
    <w:rsid w:val="00E97935"/>
    <w:rsid w:val="00E97D5E"/>
    <w:rsid w:val="00EA11F4"/>
    <w:rsid w:val="00EA22BD"/>
    <w:rsid w:val="00EA2319"/>
    <w:rsid w:val="00EA2410"/>
    <w:rsid w:val="00EA246A"/>
    <w:rsid w:val="00EA271B"/>
    <w:rsid w:val="00EA2C0B"/>
    <w:rsid w:val="00EA2CCE"/>
    <w:rsid w:val="00EA2FA9"/>
    <w:rsid w:val="00EA33C2"/>
    <w:rsid w:val="00EA349E"/>
    <w:rsid w:val="00EA37BA"/>
    <w:rsid w:val="00EA3E90"/>
    <w:rsid w:val="00EA40C2"/>
    <w:rsid w:val="00EA4370"/>
    <w:rsid w:val="00EA43E6"/>
    <w:rsid w:val="00EA44B3"/>
    <w:rsid w:val="00EA44C3"/>
    <w:rsid w:val="00EA46C5"/>
    <w:rsid w:val="00EA48D8"/>
    <w:rsid w:val="00EA4C33"/>
    <w:rsid w:val="00EA4EE9"/>
    <w:rsid w:val="00EA4EF4"/>
    <w:rsid w:val="00EA5459"/>
    <w:rsid w:val="00EA6383"/>
    <w:rsid w:val="00EA6AEA"/>
    <w:rsid w:val="00EA6BB7"/>
    <w:rsid w:val="00EA7BD6"/>
    <w:rsid w:val="00EB0049"/>
    <w:rsid w:val="00EB0285"/>
    <w:rsid w:val="00EB0D53"/>
    <w:rsid w:val="00EB0F65"/>
    <w:rsid w:val="00EB16D7"/>
    <w:rsid w:val="00EB3120"/>
    <w:rsid w:val="00EB33CD"/>
    <w:rsid w:val="00EB3612"/>
    <w:rsid w:val="00EB3718"/>
    <w:rsid w:val="00EB385C"/>
    <w:rsid w:val="00EB3BD0"/>
    <w:rsid w:val="00EB3CCC"/>
    <w:rsid w:val="00EB4412"/>
    <w:rsid w:val="00EB47FD"/>
    <w:rsid w:val="00EB4ABE"/>
    <w:rsid w:val="00EB4DCD"/>
    <w:rsid w:val="00EB4E63"/>
    <w:rsid w:val="00EB57BA"/>
    <w:rsid w:val="00EB5CEA"/>
    <w:rsid w:val="00EB5E50"/>
    <w:rsid w:val="00EB6F21"/>
    <w:rsid w:val="00EB7029"/>
    <w:rsid w:val="00EB70B8"/>
    <w:rsid w:val="00EB765D"/>
    <w:rsid w:val="00EB776F"/>
    <w:rsid w:val="00EB7AAF"/>
    <w:rsid w:val="00EB7D10"/>
    <w:rsid w:val="00EB7F72"/>
    <w:rsid w:val="00EC0758"/>
    <w:rsid w:val="00EC0C02"/>
    <w:rsid w:val="00EC0ED1"/>
    <w:rsid w:val="00EC1554"/>
    <w:rsid w:val="00EC188B"/>
    <w:rsid w:val="00EC19BC"/>
    <w:rsid w:val="00EC204D"/>
    <w:rsid w:val="00EC2377"/>
    <w:rsid w:val="00EC2628"/>
    <w:rsid w:val="00EC290C"/>
    <w:rsid w:val="00EC2937"/>
    <w:rsid w:val="00EC2DC6"/>
    <w:rsid w:val="00EC2EA8"/>
    <w:rsid w:val="00EC31FA"/>
    <w:rsid w:val="00EC3434"/>
    <w:rsid w:val="00EC34C3"/>
    <w:rsid w:val="00EC3676"/>
    <w:rsid w:val="00EC370F"/>
    <w:rsid w:val="00EC4066"/>
    <w:rsid w:val="00EC444D"/>
    <w:rsid w:val="00EC4501"/>
    <w:rsid w:val="00EC4853"/>
    <w:rsid w:val="00EC5293"/>
    <w:rsid w:val="00EC55A0"/>
    <w:rsid w:val="00EC5C33"/>
    <w:rsid w:val="00EC5F0B"/>
    <w:rsid w:val="00EC6A29"/>
    <w:rsid w:val="00EC733E"/>
    <w:rsid w:val="00EC7429"/>
    <w:rsid w:val="00EC77B3"/>
    <w:rsid w:val="00EC7946"/>
    <w:rsid w:val="00EC7A9C"/>
    <w:rsid w:val="00EC7CF0"/>
    <w:rsid w:val="00EC7D33"/>
    <w:rsid w:val="00ED021A"/>
    <w:rsid w:val="00ED0532"/>
    <w:rsid w:val="00ED0A84"/>
    <w:rsid w:val="00ED125C"/>
    <w:rsid w:val="00ED13CC"/>
    <w:rsid w:val="00ED141C"/>
    <w:rsid w:val="00ED1750"/>
    <w:rsid w:val="00ED18D4"/>
    <w:rsid w:val="00ED1D34"/>
    <w:rsid w:val="00ED1E2F"/>
    <w:rsid w:val="00ED2C85"/>
    <w:rsid w:val="00ED2CED"/>
    <w:rsid w:val="00ED3643"/>
    <w:rsid w:val="00ED3AB3"/>
    <w:rsid w:val="00ED3B28"/>
    <w:rsid w:val="00ED3EAF"/>
    <w:rsid w:val="00ED4345"/>
    <w:rsid w:val="00ED43CF"/>
    <w:rsid w:val="00ED440D"/>
    <w:rsid w:val="00ED5058"/>
    <w:rsid w:val="00ED5199"/>
    <w:rsid w:val="00ED6C07"/>
    <w:rsid w:val="00EE011F"/>
    <w:rsid w:val="00EE0339"/>
    <w:rsid w:val="00EE041E"/>
    <w:rsid w:val="00EE0D4F"/>
    <w:rsid w:val="00EE0E0C"/>
    <w:rsid w:val="00EE10E7"/>
    <w:rsid w:val="00EE1B17"/>
    <w:rsid w:val="00EE1BBB"/>
    <w:rsid w:val="00EE1E5F"/>
    <w:rsid w:val="00EE25D9"/>
    <w:rsid w:val="00EE3709"/>
    <w:rsid w:val="00EE37FD"/>
    <w:rsid w:val="00EE38F7"/>
    <w:rsid w:val="00EE393F"/>
    <w:rsid w:val="00EE3C2B"/>
    <w:rsid w:val="00EE3CC4"/>
    <w:rsid w:val="00EE3DC5"/>
    <w:rsid w:val="00EE3E3B"/>
    <w:rsid w:val="00EE44B2"/>
    <w:rsid w:val="00EE4622"/>
    <w:rsid w:val="00EE4949"/>
    <w:rsid w:val="00EE4ECF"/>
    <w:rsid w:val="00EE591B"/>
    <w:rsid w:val="00EE5990"/>
    <w:rsid w:val="00EE5E8E"/>
    <w:rsid w:val="00EE6152"/>
    <w:rsid w:val="00EE6405"/>
    <w:rsid w:val="00EE6831"/>
    <w:rsid w:val="00EE6BBA"/>
    <w:rsid w:val="00EE6DA7"/>
    <w:rsid w:val="00EE6DD5"/>
    <w:rsid w:val="00EE732B"/>
    <w:rsid w:val="00EE7467"/>
    <w:rsid w:val="00EE7671"/>
    <w:rsid w:val="00EF0A4B"/>
    <w:rsid w:val="00EF13D6"/>
    <w:rsid w:val="00EF1998"/>
    <w:rsid w:val="00EF1E5E"/>
    <w:rsid w:val="00EF2016"/>
    <w:rsid w:val="00EF2271"/>
    <w:rsid w:val="00EF23AC"/>
    <w:rsid w:val="00EF2BE1"/>
    <w:rsid w:val="00EF2EF5"/>
    <w:rsid w:val="00EF2F9C"/>
    <w:rsid w:val="00EF316B"/>
    <w:rsid w:val="00EF31C7"/>
    <w:rsid w:val="00EF34CF"/>
    <w:rsid w:val="00EF3BE9"/>
    <w:rsid w:val="00EF410F"/>
    <w:rsid w:val="00EF44B8"/>
    <w:rsid w:val="00EF467D"/>
    <w:rsid w:val="00EF4885"/>
    <w:rsid w:val="00EF4C98"/>
    <w:rsid w:val="00EF4DEE"/>
    <w:rsid w:val="00EF56A5"/>
    <w:rsid w:val="00EF5876"/>
    <w:rsid w:val="00EF6341"/>
    <w:rsid w:val="00EF6364"/>
    <w:rsid w:val="00EF6A4F"/>
    <w:rsid w:val="00EF6CF6"/>
    <w:rsid w:val="00EF71F1"/>
    <w:rsid w:val="00EF7541"/>
    <w:rsid w:val="00EF79E5"/>
    <w:rsid w:val="00F00144"/>
    <w:rsid w:val="00F00271"/>
    <w:rsid w:val="00F00AF8"/>
    <w:rsid w:val="00F00B24"/>
    <w:rsid w:val="00F00B52"/>
    <w:rsid w:val="00F00E35"/>
    <w:rsid w:val="00F00F55"/>
    <w:rsid w:val="00F00FD0"/>
    <w:rsid w:val="00F0101A"/>
    <w:rsid w:val="00F01C24"/>
    <w:rsid w:val="00F01E66"/>
    <w:rsid w:val="00F021FD"/>
    <w:rsid w:val="00F0273C"/>
    <w:rsid w:val="00F02787"/>
    <w:rsid w:val="00F02806"/>
    <w:rsid w:val="00F02DD9"/>
    <w:rsid w:val="00F03401"/>
    <w:rsid w:val="00F036F1"/>
    <w:rsid w:val="00F03EAB"/>
    <w:rsid w:val="00F047CC"/>
    <w:rsid w:val="00F04D6A"/>
    <w:rsid w:val="00F04DE2"/>
    <w:rsid w:val="00F05472"/>
    <w:rsid w:val="00F05475"/>
    <w:rsid w:val="00F05C8C"/>
    <w:rsid w:val="00F05C9C"/>
    <w:rsid w:val="00F06558"/>
    <w:rsid w:val="00F06BEE"/>
    <w:rsid w:val="00F0747C"/>
    <w:rsid w:val="00F07572"/>
    <w:rsid w:val="00F1085E"/>
    <w:rsid w:val="00F10B2A"/>
    <w:rsid w:val="00F10CA0"/>
    <w:rsid w:val="00F11228"/>
    <w:rsid w:val="00F114ED"/>
    <w:rsid w:val="00F11E2B"/>
    <w:rsid w:val="00F12AAF"/>
    <w:rsid w:val="00F12D54"/>
    <w:rsid w:val="00F12FD8"/>
    <w:rsid w:val="00F1309A"/>
    <w:rsid w:val="00F13270"/>
    <w:rsid w:val="00F13281"/>
    <w:rsid w:val="00F13EC5"/>
    <w:rsid w:val="00F14585"/>
    <w:rsid w:val="00F14689"/>
    <w:rsid w:val="00F147D3"/>
    <w:rsid w:val="00F14D70"/>
    <w:rsid w:val="00F1513D"/>
    <w:rsid w:val="00F15452"/>
    <w:rsid w:val="00F15668"/>
    <w:rsid w:val="00F156FE"/>
    <w:rsid w:val="00F158FA"/>
    <w:rsid w:val="00F159C0"/>
    <w:rsid w:val="00F15E4B"/>
    <w:rsid w:val="00F16342"/>
    <w:rsid w:val="00F166AA"/>
    <w:rsid w:val="00F16B48"/>
    <w:rsid w:val="00F16BDB"/>
    <w:rsid w:val="00F16D71"/>
    <w:rsid w:val="00F16F1E"/>
    <w:rsid w:val="00F16F42"/>
    <w:rsid w:val="00F1712A"/>
    <w:rsid w:val="00F17195"/>
    <w:rsid w:val="00F17458"/>
    <w:rsid w:val="00F175A8"/>
    <w:rsid w:val="00F177AA"/>
    <w:rsid w:val="00F17A8B"/>
    <w:rsid w:val="00F17E1E"/>
    <w:rsid w:val="00F200C5"/>
    <w:rsid w:val="00F2072A"/>
    <w:rsid w:val="00F20D37"/>
    <w:rsid w:val="00F20DDD"/>
    <w:rsid w:val="00F20E3E"/>
    <w:rsid w:val="00F20E91"/>
    <w:rsid w:val="00F210FC"/>
    <w:rsid w:val="00F2163A"/>
    <w:rsid w:val="00F222B1"/>
    <w:rsid w:val="00F2277E"/>
    <w:rsid w:val="00F227D3"/>
    <w:rsid w:val="00F22D5C"/>
    <w:rsid w:val="00F23227"/>
    <w:rsid w:val="00F23286"/>
    <w:rsid w:val="00F23439"/>
    <w:rsid w:val="00F23BB5"/>
    <w:rsid w:val="00F23DCB"/>
    <w:rsid w:val="00F23ECA"/>
    <w:rsid w:val="00F24226"/>
    <w:rsid w:val="00F24503"/>
    <w:rsid w:val="00F2455C"/>
    <w:rsid w:val="00F24AE1"/>
    <w:rsid w:val="00F24B7B"/>
    <w:rsid w:val="00F24D8A"/>
    <w:rsid w:val="00F24FB1"/>
    <w:rsid w:val="00F258EE"/>
    <w:rsid w:val="00F2595B"/>
    <w:rsid w:val="00F259DE"/>
    <w:rsid w:val="00F25D8A"/>
    <w:rsid w:val="00F2640B"/>
    <w:rsid w:val="00F266E1"/>
    <w:rsid w:val="00F26968"/>
    <w:rsid w:val="00F26C12"/>
    <w:rsid w:val="00F26E72"/>
    <w:rsid w:val="00F2751F"/>
    <w:rsid w:val="00F27563"/>
    <w:rsid w:val="00F27745"/>
    <w:rsid w:val="00F30089"/>
    <w:rsid w:val="00F303AF"/>
    <w:rsid w:val="00F30545"/>
    <w:rsid w:val="00F30727"/>
    <w:rsid w:val="00F3133A"/>
    <w:rsid w:val="00F316DE"/>
    <w:rsid w:val="00F31858"/>
    <w:rsid w:val="00F318CE"/>
    <w:rsid w:val="00F3192D"/>
    <w:rsid w:val="00F31948"/>
    <w:rsid w:val="00F31D81"/>
    <w:rsid w:val="00F32059"/>
    <w:rsid w:val="00F32FBB"/>
    <w:rsid w:val="00F33BB0"/>
    <w:rsid w:val="00F3433E"/>
    <w:rsid w:val="00F3455C"/>
    <w:rsid w:val="00F3456D"/>
    <w:rsid w:val="00F34DCE"/>
    <w:rsid w:val="00F3545D"/>
    <w:rsid w:val="00F35555"/>
    <w:rsid w:val="00F358C3"/>
    <w:rsid w:val="00F35DC3"/>
    <w:rsid w:val="00F35EB2"/>
    <w:rsid w:val="00F35F95"/>
    <w:rsid w:val="00F36021"/>
    <w:rsid w:val="00F36276"/>
    <w:rsid w:val="00F36590"/>
    <w:rsid w:val="00F3698B"/>
    <w:rsid w:val="00F3699D"/>
    <w:rsid w:val="00F36C67"/>
    <w:rsid w:val="00F3715B"/>
    <w:rsid w:val="00F37413"/>
    <w:rsid w:val="00F37762"/>
    <w:rsid w:val="00F37EA8"/>
    <w:rsid w:val="00F40BDD"/>
    <w:rsid w:val="00F41495"/>
    <w:rsid w:val="00F418AF"/>
    <w:rsid w:val="00F41B33"/>
    <w:rsid w:val="00F42288"/>
    <w:rsid w:val="00F42510"/>
    <w:rsid w:val="00F4264D"/>
    <w:rsid w:val="00F4344A"/>
    <w:rsid w:val="00F43777"/>
    <w:rsid w:val="00F4391C"/>
    <w:rsid w:val="00F44199"/>
    <w:rsid w:val="00F44334"/>
    <w:rsid w:val="00F443E3"/>
    <w:rsid w:val="00F445CE"/>
    <w:rsid w:val="00F44ACC"/>
    <w:rsid w:val="00F44C19"/>
    <w:rsid w:val="00F44DF5"/>
    <w:rsid w:val="00F45069"/>
    <w:rsid w:val="00F45100"/>
    <w:rsid w:val="00F4514F"/>
    <w:rsid w:val="00F45389"/>
    <w:rsid w:val="00F453B5"/>
    <w:rsid w:val="00F45626"/>
    <w:rsid w:val="00F45BCF"/>
    <w:rsid w:val="00F46044"/>
    <w:rsid w:val="00F4687A"/>
    <w:rsid w:val="00F46C30"/>
    <w:rsid w:val="00F47305"/>
    <w:rsid w:val="00F47733"/>
    <w:rsid w:val="00F47BCF"/>
    <w:rsid w:val="00F47DBC"/>
    <w:rsid w:val="00F50020"/>
    <w:rsid w:val="00F50605"/>
    <w:rsid w:val="00F50995"/>
    <w:rsid w:val="00F50AE9"/>
    <w:rsid w:val="00F51015"/>
    <w:rsid w:val="00F51030"/>
    <w:rsid w:val="00F5123E"/>
    <w:rsid w:val="00F515AA"/>
    <w:rsid w:val="00F5180F"/>
    <w:rsid w:val="00F51BFC"/>
    <w:rsid w:val="00F51C1F"/>
    <w:rsid w:val="00F522AE"/>
    <w:rsid w:val="00F53195"/>
    <w:rsid w:val="00F541FB"/>
    <w:rsid w:val="00F5445C"/>
    <w:rsid w:val="00F54985"/>
    <w:rsid w:val="00F549F3"/>
    <w:rsid w:val="00F54B4F"/>
    <w:rsid w:val="00F54EE4"/>
    <w:rsid w:val="00F5516C"/>
    <w:rsid w:val="00F55536"/>
    <w:rsid w:val="00F556ED"/>
    <w:rsid w:val="00F55B10"/>
    <w:rsid w:val="00F55C75"/>
    <w:rsid w:val="00F5608B"/>
    <w:rsid w:val="00F563C7"/>
    <w:rsid w:val="00F5688D"/>
    <w:rsid w:val="00F56C53"/>
    <w:rsid w:val="00F575A6"/>
    <w:rsid w:val="00F57613"/>
    <w:rsid w:val="00F576D4"/>
    <w:rsid w:val="00F57C9F"/>
    <w:rsid w:val="00F57F66"/>
    <w:rsid w:val="00F6001B"/>
    <w:rsid w:val="00F6013D"/>
    <w:rsid w:val="00F60EF6"/>
    <w:rsid w:val="00F60FA1"/>
    <w:rsid w:val="00F6201D"/>
    <w:rsid w:val="00F62F85"/>
    <w:rsid w:val="00F631BF"/>
    <w:rsid w:val="00F6321E"/>
    <w:rsid w:val="00F633D6"/>
    <w:rsid w:val="00F636C6"/>
    <w:rsid w:val="00F638A3"/>
    <w:rsid w:val="00F63934"/>
    <w:rsid w:val="00F63F64"/>
    <w:rsid w:val="00F64471"/>
    <w:rsid w:val="00F6473D"/>
    <w:rsid w:val="00F64894"/>
    <w:rsid w:val="00F64900"/>
    <w:rsid w:val="00F651D1"/>
    <w:rsid w:val="00F6552A"/>
    <w:rsid w:val="00F658A4"/>
    <w:rsid w:val="00F66186"/>
    <w:rsid w:val="00F6629E"/>
    <w:rsid w:val="00F666BB"/>
    <w:rsid w:val="00F669E5"/>
    <w:rsid w:val="00F6720C"/>
    <w:rsid w:val="00F672DD"/>
    <w:rsid w:val="00F674D5"/>
    <w:rsid w:val="00F7148A"/>
    <w:rsid w:val="00F71B40"/>
    <w:rsid w:val="00F71C19"/>
    <w:rsid w:val="00F7207F"/>
    <w:rsid w:val="00F721E4"/>
    <w:rsid w:val="00F7249F"/>
    <w:rsid w:val="00F726EC"/>
    <w:rsid w:val="00F72B92"/>
    <w:rsid w:val="00F72EEF"/>
    <w:rsid w:val="00F72F4A"/>
    <w:rsid w:val="00F72F61"/>
    <w:rsid w:val="00F72FEC"/>
    <w:rsid w:val="00F7306B"/>
    <w:rsid w:val="00F73339"/>
    <w:rsid w:val="00F73C4F"/>
    <w:rsid w:val="00F74417"/>
    <w:rsid w:val="00F74D70"/>
    <w:rsid w:val="00F74E05"/>
    <w:rsid w:val="00F750CE"/>
    <w:rsid w:val="00F750D7"/>
    <w:rsid w:val="00F752DD"/>
    <w:rsid w:val="00F754A4"/>
    <w:rsid w:val="00F75748"/>
    <w:rsid w:val="00F7597B"/>
    <w:rsid w:val="00F75FA6"/>
    <w:rsid w:val="00F76141"/>
    <w:rsid w:val="00F76D60"/>
    <w:rsid w:val="00F77068"/>
    <w:rsid w:val="00F77424"/>
    <w:rsid w:val="00F77657"/>
    <w:rsid w:val="00F77DCA"/>
    <w:rsid w:val="00F80083"/>
    <w:rsid w:val="00F8028B"/>
    <w:rsid w:val="00F806CD"/>
    <w:rsid w:val="00F806EE"/>
    <w:rsid w:val="00F80D70"/>
    <w:rsid w:val="00F80ED5"/>
    <w:rsid w:val="00F81746"/>
    <w:rsid w:val="00F81A93"/>
    <w:rsid w:val="00F81BBB"/>
    <w:rsid w:val="00F824C7"/>
    <w:rsid w:val="00F82895"/>
    <w:rsid w:val="00F82A1B"/>
    <w:rsid w:val="00F83057"/>
    <w:rsid w:val="00F8317E"/>
    <w:rsid w:val="00F831ED"/>
    <w:rsid w:val="00F832FC"/>
    <w:rsid w:val="00F8340F"/>
    <w:rsid w:val="00F8343F"/>
    <w:rsid w:val="00F83B58"/>
    <w:rsid w:val="00F841AF"/>
    <w:rsid w:val="00F84837"/>
    <w:rsid w:val="00F84AFD"/>
    <w:rsid w:val="00F84BCF"/>
    <w:rsid w:val="00F84FB3"/>
    <w:rsid w:val="00F85197"/>
    <w:rsid w:val="00F8554B"/>
    <w:rsid w:val="00F858D6"/>
    <w:rsid w:val="00F85CB7"/>
    <w:rsid w:val="00F869E4"/>
    <w:rsid w:val="00F8774A"/>
    <w:rsid w:val="00F90723"/>
    <w:rsid w:val="00F90739"/>
    <w:rsid w:val="00F90A78"/>
    <w:rsid w:val="00F90EB7"/>
    <w:rsid w:val="00F91142"/>
    <w:rsid w:val="00F911D0"/>
    <w:rsid w:val="00F9145A"/>
    <w:rsid w:val="00F919D2"/>
    <w:rsid w:val="00F91F9B"/>
    <w:rsid w:val="00F92052"/>
    <w:rsid w:val="00F92497"/>
    <w:rsid w:val="00F927AD"/>
    <w:rsid w:val="00F92C21"/>
    <w:rsid w:val="00F92D22"/>
    <w:rsid w:val="00F93249"/>
    <w:rsid w:val="00F9324A"/>
    <w:rsid w:val="00F93A91"/>
    <w:rsid w:val="00F93E04"/>
    <w:rsid w:val="00F93E71"/>
    <w:rsid w:val="00F940DB"/>
    <w:rsid w:val="00F94DD8"/>
    <w:rsid w:val="00F95613"/>
    <w:rsid w:val="00F959CE"/>
    <w:rsid w:val="00F95A62"/>
    <w:rsid w:val="00F95A7A"/>
    <w:rsid w:val="00F9609E"/>
    <w:rsid w:val="00F96936"/>
    <w:rsid w:val="00F96952"/>
    <w:rsid w:val="00F96A3D"/>
    <w:rsid w:val="00F96D02"/>
    <w:rsid w:val="00F96FBC"/>
    <w:rsid w:val="00F971CD"/>
    <w:rsid w:val="00F972CE"/>
    <w:rsid w:val="00F97515"/>
    <w:rsid w:val="00F97860"/>
    <w:rsid w:val="00FA0A51"/>
    <w:rsid w:val="00FA0B9B"/>
    <w:rsid w:val="00FA0C99"/>
    <w:rsid w:val="00FA0E42"/>
    <w:rsid w:val="00FA1D0B"/>
    <w:rsid w:val="00FA207F"/>
    <w:rsid w:val="00FA21BB"/>
    <w:rsid w:val="00FA3179"/>
    <w:rsid w:val="00FA32D2"/>
    <w:rsid w:val="00FA3318"/>
    <w:rsid w:val="00FA3DAE"/>
    <w:rsid w:val="00FA4065"/>
    <w:rsid w:val="00FA4313"/>
    <w:rsid w:val="00FA4554"/>
    <w:rsid w:val="00FA4A32"/>
    <w:rsid w:val="00FA4F04"/>
    <w:rsid w:val="00FA5EE0"/>
    <w:rsid w:val="00FA5FB1"/>
    <w:rsid w:val="00FA7004"/>
    <w:rsid w:val="00FA7158"/>
    <w:rsid w:val="00FA7517"/>
    <w:rsid w:val="00FA7A6A"/>
    <w:rsid w:val="00FA7D6B"/>
    <w:rsid w:val="00FA7FA9"/>
    <w:rsid w:val="00FB0028"/>
    <w:rsid w:val="00FB007F"/>
    <w:rsid w:val="00FB0978"/>
    <w:rsid w:val="00FB0B45"/>
    <w:rsid w:val="00FB1729"/>
    <w:rsid w:val="00FB173D"/>
    <w:rsid w:val="00FB21EF"/>
    <w:rsid w:val="00FB24C3"/>
    <w:rsid w:val="00FB2980"/>
    <w:rsid w:val="00FB2A73"/>
    <w:rsid w:val="00FB2BFD"/>
    <w:rsid w:val="00FB343F"/>
    <w:rsid w:val="00FB35FA"/>
    <w:rsid w:val="00FB39AB"/>
    <w:rsid w:val="00FB3ACE"/>
    <w:rsid w:val="00FB3F04"/>
    <w:rsid w:val="00FB4820"/>
    <w:rsid w:val="00FB4C69"/>
    <w:rsid w:val="00FB5083"/>
    <w:rsid w:val="00FB5648"/>
    <w:rsid w:val="00FB565A"/>
    <w:rsid w:val="00FB66C6"/>
    <w:rsid w:val="00FB67EC"/>
    <w:rsid w:val="00FB6E76"/>
    <w:rsid w:val="00FB6FF5"/>
    <w:rsid w:val="00FB7097"/>
    <w:rsid w:val="00FB75D0"/>
    <w:rsid w:val="00FB7DAB"/>
    <w:rsid w:val="00FC07D6"/>
    <w:rsid w:val="00FC08AC"/>
    <w:rsid w:val="00FC0914"/>
    <w:rsid w:val="00FC0D58"/>
    <w:rsid w:val="00FC118A"/>
    <w:rsid w:val="00FC201C"/>
    <w:rsid w:val="00FC2142"/>
    <w:rsid w:val="00FC217E"/>
    <w:rsid w:val="00FC24FF"/>
    <w:rsid w:val="00FC2A1C"/>
    <w:rsid w:val="00FC2C15"/>
    <w:rsid w:val="00FC3019"/>
    <w:rsid w:val="00FC37B6"/>
    <w:rsid w:val="00FC3900"/>
    <w:rsid w:val="00FC39DE"/>
    <w:rsid w:val="00FC3BB5"/>
    <w:rsid w:val="00FC3CB1"/>
    <w:rsid w:val="00FC3CE9"/>
    <w:rsid w:val="00FC471D"/>
    <w:rsid w:val="00FC5405"/>
    <w:rsid w:val="00FC55C5"/>
    <w:rsid w:val="00FC5A22"/>
    <w:rsid w:val="00FC6135"/>
    <w:rsid w:val="00FC640C"/>
    <w:rsid w:val="00FC648F"/>
    <w:rsid w:val="00FC67DF"/>
    <w:rsid w:val="00FC746C"/>
    <w:rsid w:val="00FC75C3"/>
    <w:rsid w:val="00FC762D"/>
    <w:rsid w:val="00FC771F"/>
    <w:rsid w:val="00FC7B71"/>
    <w:rsid w:val="00FC7DD8"/>
    <w:rsid w:val="00FC7E79"/>
    <w:rsid w:val="00FD0034"/>
    <w:rsid w:val="00FD05EE"/>
    <w:rsid w:val="00FD0ACF"/>
    <w:rsid w:val="00FD1120"/>
    <w:rsid w:val="00FD161E"/>
    <w:rsid w:val="00FD181B"/>
    <w:rsid w:val="00FD19DE"/>
    <w:rsid w:val="00FD2015"/>
    <w:rsid w:val="00FD207A"/>
    <w:rsid w:val="00FD2DAA"/>
    <w:rsid w:val="00FD31B5"/>
    <w:rsid w:val="00FD367F"/>
    <w:rsid w:val="00FD3D84"/>
    <w:rsid w:val="00FD40DC"/>
    <w:rsid w:val="00FD4515"/>
    <w:rsid w:val="00FD4E53"/>
    <w:rsid w:val="00FD4F44"/>
    <w:rsid w:val="00FD571F"/>
    <w:rsid w:val="00FD5738"/>
    <w:rsid w:val="00FD5782"/>
    <w:rsid w:val="00FD5C05"/>
    <w:rsid w:val="00FD5C80"/>
    <w:rsid w:val="00FD6033"/>
    <w:rsid w:val="00FD6120"/>
    <w:rsid w:val="00FD68EC"/>
    <w:rsid w:val="00FD6EC1"/>
    <w:rsid w:val="00FD7943"/>
    <w:rsid w:val="00FD7A1A"/>
    <w:rsid w:val="00FD7F0F"/>
    <w:rsid w:val="00FE0369"/>
    <w:rsid w:val="00FE071B"/>
    <w:rsid w:val="00FE0BA8"/>
    <w:rsid w:val="00FE2218"/>
    <w:rsid w:val="00FE25FE"/>
    <w:rsid w:val="00FE28F8"/>
    <w:rsid w:val="00FE2CC2"/>
    <w:rsid w:val="00FE2FD1"/>
    <w:rsid w:val="00FE370D"/>
    <w:rsid w:val="00FE3AC5"/>
    <w:rsid w:val="00FE3C8E"/>
    <w:rsid w:val="00FE4207"/>
    <w:rsid w:val="00FE44D6"/>
    <w:rsid w:val="00FE44DC"/>
    <w:rsid w:val="00FE4B87"/>
    <w:rsid w:val="00FE5C90"/>
    <w:rsid w:val="00FE5D55"/>
    <w:rsid w:val="00FE612E"/>
    <w:rsid w:val="00FE6A06"/>
    <w:rsid w:val="00FE75B3"/>
    <w:rsid w:val="00FE7B5C"/>
    <w:rsid w:val="00FF01AC"/>
    <w:rsid w:val="00FF02B3"/>
    <w:rsid w:val="00FF0322"/>
    <w:rsid w:val="00FF04D4"/>
    <w:rsid w:val="00FF090F"/>
    <w:rsid w:val="00FF0B09"/>
    <w:rsid w:val="00FF0DFA"/>
    <w:rsid w:val="00FF1165"/>
    <w:rsid w:val="00FF1229"/>
    <w:rsid w:val="00FF1D1D"/>
    <w:rsid w:val="00FF2053"/>
    <w:rsid w:val="00FF2176"/>
    <w:rsid w:val="00FF2575"/>
    <w:rsid w:val="00FF2F8B"/>
    <w:rsid w:val="00FF377E"/>
    <w:rsid w:val="00FF3AB7"/>
    <w:rsid w:val="00FF3F38"/>
    <w:rsid w:val="00FF44CA"/>
    <w:rsid w:val="00FF4681"/>
    <w:rsid w:val="00FF494C"/>
    <w:rsid w:val="00FF513D"/>
    <w:rsid w:val="00FF51DC"/>
    <w:rsid w:val="00FF5739"/>
    <w:rsid w:val="00FF639B"/>
    <w:rsid w:val="00FF64E7"/>
    <w:rsid w:val="00FF6A40"/>
    <w:rsid w:val="00FF6AC0"/>
    <w:rsid w:val="00FF727F"/>
    <w:rsid w:val="00FF72A3"/>
    <w:rsid w:val="00FF7974"/>
    <w:rsid w:val="00FF7AF2"/>
    <w:rsid w:val="00FF7C3E"/>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C7B"/>
  </w:style>
  <w:style w:type="paragraph" w:styleId="Heading1">
    <w:name w:val="heading 1"/>
    <w:next w:val="Normal"/>
    <w:link w:val="Heading1Char"/>
    <w:qFormat/>
    <w:rsid w:val="00226934"/>
    <w:pPr>
      <w:spacing w:before="240" w:after="0" w:line="240" w:lineRule="auto"/>
      <w:outlineLvl w:val="0"/>
    </w:pPr>
    <w:rPr>
      <w:rFonts w:ascii="Arial" w:eastAsia="Times New Roman" w:hAnsi="Arial" w:cs="Arial"/>
      <w:sz w:val="48"/>
      <w:szCs w:val="24"/>
    </w:rPr>
  </w:style>
  <w:style w:type="paragraph" w:styleId="Heading2">
    <w:name w:val="heading 2"/>
    <w:basedOn w:val="Normal"/>
    <w:next w:val="Normal"/>
    <w:link w:val="Heading2Char"/>
    <w:uiPriority w:val="9"/>
    <w:semiHidden/>
    <w:unhideWhenUsed/>
    <w:qFormat/>
    <w:rsid w:val="00A96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Text"/>
    <w:link w:val="Heading3Char"/>
    <w:qFormat/>
    <w:rsid w:val="00F45069"/>
    <w:pPr>
      <w:keepNext/>
      <w:keepLines/>
      <w:widowControl w:val="0"/>
      <w:adjustRightInd w:val="0"/>
      <w:spacing w:before="120" w:after="120" w:line="360" w:lineRule="atLeast"/>
      <w:jc w:val="both"/>
      <w:textAlignment w:val="baseline"/>
      <w:outlineLvl w:val="2"/>
    </w:pPr>
    <w:rPr>
      <w:rFonts w:ascii="Arial" w:eastAsia="Times New Roman" w:hAnsi="Arial" w:cs="Arial"/>
      <w:b/>
      <w:bCs/>
      <w:iCs/>
      <w:color w:val="000000"/>
      <w:kern w:val="32"/>
      <w:sz w:val="28"/>
      <w:szCs w:val="28"/>
    </w:rPr>
  </w:style>
  <w:style w:type="paragraph" w:styleId="Heading4">
    <w:name w:val="heading 4"/>
    <w:next w:val="BodyText"/>
    <w:link w:val="Heading4Char"/>
    <w:qFormat/>
    <w:rsid w:val="00F45069"/>
    <w:pPr>
      <w:keepNext/>
      <w:keepLines/>
      <w:widowControl w:val="0"/>
      <w:adjustRightInd w:val="0"/>
      <w:spacing w:before="120" w:after="120" w:line="360" w:lineRule="atLeast"/>
      <w:jc w:val="both"/>
      <w:textAlignment w:val="baseline"/>
      <w:outlineLvl w:val="3"/>
    </w:pPr>
    <w:rPr>
      <w:rFonts w:ascii="Arial" w:eastAsia="Times New Roman" w:hAnsi="Arial" w:cs="Arial"/>
      <w:iCs/>
      <w:color w:val="000000"/>
      <w:kern w:val="32"/>
      <w:sz w:val="24"/>
      <w:szCs w:val="28"/>
      <w:u w:val="single"/>
    </w:rPr>
  </w:style>
  <w:style w:type="paragraph" w:styleId="Heading5">
    <w:name w:val="heading 5"/>
    <w:basedOn w:val="Normal"/>
    <w:next w:val="Normal"/>
    <w:link w:val="Heading5Char"/>
    <w:uiPriority w:val="9"/>
    <w:unhideWhenUsed/>
    <w:qFormat/>
    <w:rsid w:val="00E53B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26934"/>
    <w:pPr>
      <w:keepNext/>
      <w:spacing w:before="60" w:after="60" w:line="240" w:lineRule="auto"/>
      <w:jc w:val="center"/>
      <w:outlineLvl w:val="5"/>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45069"/>
    <w:rPr>
      <w:rFonts w:ascii="Arial" w:eastAsia="Times New Roman" w:hAnsi="Arial" w:cs="Arial"/>
      <w:b/>
      <w:bCs/>
      <w:iCs/>
      <w:color w:val="000000"/>
      <w:kern w:val="32"/>
      <w:sz w:val="28"/>
      <w:szCs w:val="28"/>
    </w:rPr>
  </w:style>
  <w:style w:type="character" w:customStyle="1" w:styleId="Heading4Char">
    <w:name w:val="Heading 4 Char"/>
    <w:basedOn w:val="DefaultParagraphFont"/>
    <w:link w:val="Heading4"/>
    <w:rsid w:val="00F45069"/>
    <w:rPr>
      <w:rFonts w:ascii="Arial" w:eastAsia="Times New Roman" w:hAnsi="Arial" w:cs="Arial"/>
      <w:iCs/>
      <w:color w:val="000000"/>
      <w:kern w:val="32"/>
      <w:sz w:val="24"/>
      <w:szCs w:val="28"/>
      <w:u w:val="single"/>
    </w:rPr>
  </w:style>
  <w:style w:type="paragraph" w:styleId="FootnoteText">
    <w:name w:val="footnote text"/>
    <w:basedOn w:val="Normal"/>
    <w:link w:val="FootnoteTextChar"/>
    <w:autoRedefine/>
    <w:rsid w:val="00E96346"/>
    <w:pPr>
      <w:keepLines/>
      <w:widowControl w:val="0"/>
      <w:adjustRightInd w:val="0"/>
      <w:spacing w:after="0" w:line="240" w:lineRule="auto"/>
      <w:textAlignment w:val="baseline"/>
    </w:pPr>
    <w:rPr>
      <w:rFonts w:ascii="Arial" w:eastAsia="Arial Unicode MS" w:hAnsi="Arial" w:cs="Arial"/>
      <w:sz w:val="18"/>
      <w:szCs w:val="18"/>
    </w:rPr>
  </w:style>
  <w:style w:type="character" w:customStyle="1" w:styleId="FootnoteTextChar">
    <w:name w:val="Footnote Text Char"/>
    <w:basedOn w:val="DefaultParagraphFont"/>
    <w:link w:val="FootnoteText"/>
    <w:rsid w:val="00E96346"/>
    <w:rPr>
      <w:rFonts w:ascii="Arial" w:eastAsia="Arial Unicode MS" w:hAnsi="Arial" w:cs="Arial"/>
      <w:sz w:val="18"/>
      <w:szCs w:val="18"/>
    </w:rPr>
  </w:style>
  <w:style w:type="character" w:styleId="FootnoteReference">
    <w:name w:val="footnote reference"/>
    <w:uiPriority w:val="1"/>
    <w:rsid w:val="00F45069"/>
    <w:rPr>
      <w:vertAlign w:val="superscript"/>
    </w:rPr>
  </w:style>
  <w:style w:type="paragraph" w:styleId="BodyText">
    <w:name w:val="Body Text"/>
    <w:link w:val="BodyTextChar"/>
    <w:qFormat/>
    <w:rsid w:val="00F45069"/>
    <w:pPr>
      <w:widowControl w:val="0"/>
      <w:adjustRightInd w:val="0"/>
      <w:spacing w:after="120" w:line="360" w:lineRule="atLeast"/>
      <w:jc w:val="both"/>
      <w:textAlignment w:val="baseline"/>
    </w:pPr>
    <w:rPr>
      <w:rFonts w:ascii="Arial" w:eastAsia="Times New Roman" w:hAnsi="Arial" w:cs="Times New Roman"/>
      <w:color w:val="000000"/>
      <w:sz w:val="24"/>
      <w:szCs w:val="24"/>
    </w:rPr>
  </w:style>
  <w:style w:type="character" w:customStyle="1" w:styleId="BodyTextChar">
    <w:name w:val="Body Text Char"/>
    <w:basedOn w:val="DefaultParagraphFont"/>
    <w:link w:val="BodyText"/>
    <w:rsid w:val="00F45069"/>
    <w:rPr>
      <w:rFonts w:ascii="Arial" w:eastAsia="Times New Roman" w:hAnsi="Arial" w:cs="Times New Roman"/>
      <w:color w:val="000000"/>
      <w:sz w:val="24"/>
      <w:szCs w:val="24"/>
    </w:rPr>
  </w:style>
  <w:style w:type="paragraph" w:customStyle="1" w:styleId="Table-Note">
    <w:name w:val="Table-Note"/>
    <w:basedOn w:val="BodyText"/>
    <w:link w:val="Table-NoteChar"/>
    <w:rsid w:val="00F45069"/>
    <w:pPr>
      <w:keepNext/>
      <w:ind w:left="360"/>
    </w:pPr>
    <w:rPr>
      <w:i/>
    </w:rPr>
  </w:style>
  <w:style w:type="paragraph" w:customStyle="1" w:styleId="Table-Cell-Left">
    <w:name w:val="Table-Cell-Left"/>
    <w:basedOn w:val="Normal"/>
    <w:rsid w:val="00F45069"/>
    <w:pPr>
      <w:widowControl w:val="0"/>
      <w:adjustRightInd w:val="0"/>
      <w:spacing w:after="0" w:line="360" w:lineRule="atLeast"/>
      <w:jc w:val="both"/>
      <w:textAlignment w:val="baseline"/>
    </w:pPr>
    <w:rPr>
      <w:rFonts w:ascii="Arial" w:eastAsia="Times New Roman" w:hAnsi="Arial" w:cs="Times New Roman"/>
      <w:color w:val="000000"/>
      <w:sz w:val="24"/>
      <w:szCs w:val="24"/>
    </w:rPr>
  </w:style>
  <w:style w:type="paragraph" w:customStyle="1" w:styleId="Table-Cell-Center">
    <w:name w:val="Table-Cell-Center"/>
    <w:basedOn w:val="Normal"/>
    <w:rsid w:val="00F45069"/>
    <w:pPr>
      <w:widowControl w:val="0"/>
      <w:adjustRightInd w:val="0"/>
      <w:spacing w:after="0" w:line="360" w:lineRule="atLeast"/>
      <w:jc w:val="center"/>
      <w:textAlignment w:val="baseline"/>
    </w:pPr>
    <w:rPr>
      <w:rFonts w:ascii="Arial" w:eastAsia="Times New Roman" w:hAnsi="Arial" w:cs="Times New Roman"/>
      <w:color w:val="000000"/>
      <w:sz w:val="24"/>
      <w:szCs w:val="24"/>
    </w:rPr>
  </w:style>
  <w:style w:type="character" w:styleId="Hyperlink">
    <w:name w:val="Hyperlink"/>
    <w:uiPriority w:val="99"/>
    <w:rsid w:val="00F45069"/>
    <w:rPr>
      <w:rFonts w:eastAsia="Arial Unicode MS"/>
      <w:color w:val="0000FF"/>
      <w:u w:val="single"/>
    </w:rPr>
  </w:style>
  <w:style w:type="character" w:styleId="CommentReference">
    <w:name w:val="annotation reference"/>
    <w:uiPriority w:val="99"/>
    <w:rsid w:val="00F45069"/>
    <w:rPr>
      <w:sz w:val="16"/>
      <w:szCs w:val="16"/>
    </w:rPr>
  </w:style>
  <w:style w:type="paragraph" w:styleId="CommentText">
    <w:name w:val="annotation text"/>
    <w:basedOn w:val="Normal"/>
    <w:link w:val="CommentTextChar"/>
    <w:uiPriority w:val="99"/>
    <w:rsid w:val="00F45069"/>
    <w:pPr>
      <w:widowControl w:val="0"/>
      <w:adjustRightInd w:val="0"/>
      <w:spacing w:after="0" w:line="360" w:lineRule="atLeast"/>
      <w:jc w:val="both"/>
      <w:textAlignment w:val="baseline"/>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uiPriority w:val="99"/>
    <w:rsid w:val="00F45069"/>
    <w:rPr>
      <w:rFonts w:ascii="Arial" w:eastAsia="Times New Roman" w:hAnsi="Arial" w:cs="Times New Roman"/>
      <w:color w:val="000000"/>
      <w:sz w:val="20"/>
      <w:szCs w:val="20"/>
    </w:rPr>
  </w:style>
  <w:style w:type="paragraph" w:customStyle="1" w:styleId="FAM-Table-outline">
    <w:name w:val="FAM-Table-outline"/>
    <w:link w:val="FAM-Table-outlineChar"/>
    <w:rsid w:val="00F45069"/>
    <w:pPr>
      <w:widowControl w:val="0"/>
      <w:numPr>
        <w:numId w:val="688"/>
      </w:numPr>
      <w:adjustRightInd w:val="0"/>
      <w:spacing w:before="60" w:after="60" w:line="280" w:lineRule="exact"/>
      <w:textAlignment w:val="baseline"/>
    </w:pPr>
    <w:rPr>
      <w:rFonts w:ascii="Arial" w:eastAsia="Times New Roman" w:hAnsi="Arial" w:cs="Times New Roman"/>
      <w:color w:val="000000"/>
      <w:szCs w:val="24"/>
    </w:rPr>
  </w:style>
  <w:style w:type="paragraph" w:customStyle="1" w:styleId="FAM-Table-outline2">
    <w:name w:val="FAM-Table-outline2"/>
    <w:rsid w:val="00F45069"/>
    <w:pPr>
      <w:widowControl w:val="0"/>
      <w:numPr>
        <w:ilvl w:val="1"/>
        <w:numId w:val="688"/>
      </w:numPr>
      <w:adjustRightInd w:val="0"/>
      <w:spacing w:before="60" w:after="60" w:line="280" w:lineRule="exact"/>
      <w:textAlignment w:val="baseline"/>
    </w:pPr>
    <w:rPr>
      <w:rFonts w:ascii="Arial" w:eastAsia="Times New Roman" w:hAnsi="Arial" w:cs="Times New Roman"/>
      <w:color w:val="000000"/>
      <w:szCs w:val="24"/>
    </w:rPr>
  </w:style>
  <w:style w:type="paragraph" w:customStyle="1" w:styleId="FAM-Table-outline3">
    <w:name w:val="FAM-Table-outline3"/>
    <w:rsid w:val="00F45069"/>
    <w:pPr>
      <w:widowControl w:val="0"/>
      <w:numPr>
        <w:ilvl w:val="2"/>
        <w:numId w:val="688"/>
      </w:numPr>
      <w:adjustRightInd w:val="0"/>
      <w:spacing w:after="0" w:line="360" w:lineRule="atLeast"/>
      <w:textAlignment w:val="baseline"/>
    </w:pPr>
    <w:rPr>
      <w:rFonts w:ascii="Arial" w:eastAsia="Times New Roman" w:hAnsi="Arial" w:cs="Times New Roman"/>
      <w:color w:val="000000"/>
      <w:sz w:val="24"/>
      <w:szCs w:val="24"/>
    </w:rPr>
  </w:style>
  <w:style w:type="paragraph" w:customStyle="1" w:styleId="FAM-Table-outline4">
    <w:name w:val="FAM-Table-outline4"/>
    <w:rsid w:val="00F45069"/>
    <w:pPr>
      <w:widowControl w:val="0"/>
      <w:numPr>
        <w:ilvl w:val="3"/>
        <w:numId w:val="688"/>
      </w:numPr>
      <w:adjustRightInd w:val="0"/>
      <w:spacing w:after="0" w:line="360" w:lineRule="atLeast"/>
      <w:jc w:val="both"/>
      <w:textAlignment w:val="baseline"/>
    </w:pPr>
    <w:rPr>
      <w:rFonts w:ascii="Arial" w:eastAsia="Times New Roman" w:hAnsi="Arial" w:cs="Times New Roman"/>
      <w:color w:val="000000"/>
      <w:sz w:val="24"/>
      <w:szCs w:val="24"/>
    </w:rPr>
  </w:style>
  <w:style w:type="paragraph" w:customStyle="1" w:styleId="FAM-Table-outline5">
    <w:name w:val="FAM-Table-outline5"/>
    <w:rsid w:val="00F45069"/>
    <w:pPr>
      <w:widowControl w:val="0"/>
      <w:numPr>
        <w:ilvl w:val="4"/>
        <w:numId w:val="688"/>
      </w:numPr>
      <w:adjustRightInd w:val="0"/>
      <w:spacing w:after="0" w:line="360" w:lineRule="atLeast"/>
      <w:jc w:val="both"/>
      <w:textAlignment w:val="baseline"/>
    </w:pPr>
    <w:rPr>
      <w:rFonts w:ascii="Arial" w:eastAsia="Times New Roman" w:hAnsi="Arial" w:cs="Times New Roman"/>
      <w:color w:val="000000"/>
      <w:sz w:val="24"/>
      <w:szCs w:val="24"/>
    </w:rPr>
  </w:style>
  <w:style w:type="character" w:customStyle="1" w:styleId="FAM-Table-outlineChar">
    <w:name w:val="FAM-Table-outline Char"/>
    <w:link w:val="FAM-Table-outline"/>
    <w:rsid w:val="00F45069"/>
    <w:rPr>
      <w:rFonts w:ascii="Arial" w:eastAsia="Times New Roman" w:hAnsi="Arial" w:cs="Times New Roman"/>
      <w:color w:val="000000"/>
      <w:szCs w:val="24"/>
    </w:rPr>
  </w:style>
  <w:style w:type="paragraph" w:customStyle="1" w:styleId="Table-Head-Center">
    <w:name w:val="Table-Head-Center"/>
    <w:basedOn w:val="Normal"/>
    <w:rsid w:val="00F45069"/>
    <w:pPr>
      <w:widowControl w:val="0"/>
      <w:adjustRightInd w:val="0"/>
      <w:spacing w:after="0" w:line="360" w:lineRule="atLeast"/>
      <w:jc w:val="center"/>
      <w:textAlignment w:val="baseline"/>
    </w:pPr>
    <w:rPr>
      <w:rFonts w:ascii="Arial" w:eastAsia="Times New Roman" w:hAnsi="Arial" w:cs="Times New Roman"/>
      <w:b/>
      <w:color w:val="000000"/>
      <w:sz w:val="24"/>
      <w:szCs w:val="24"/>
    </w:rPr>
  </w:style>
  <w:style w:type="character" w:customStyle="1" w:styleId="Table-NoteChar">
    <w:name w:val="Table-Note Char"/>
    <w:link w:val="Table-Note"/>
    <w:rsid w:val="00F45069"/>
    <w:rPr>
      <w:rFonts w:ascii="Arial" w:eastAsia="Times New Roman" w:hAnsi="Arial" w:cs="Times New Roman"/>
      <w:i/>
      <w:color w:val="000000"/>
      <w:sz w:val="24"/>
      <w:szCs w:val="24"/>
    </w:rPr>
  </w:style>
  <w:style w:type="paragraph" w:customStyle="1" w:styleId="Default">
    <w:name w:val="Default"/>
    <w:rsid w:val="00F450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69"/>
    <w:rPr>
      <w:rFonts w:ascii="Tahoma" w:hAnsi="Tahoma" w:cs="Tahoma"/>
      <w:sz w:val="16"/>
      <w:szCs w:val="16"/>
    </w:rPr>
  </w:style>
  <w:style w:type="paragraph" w:styleId="ListBullet">
    <w:name w:val="List Bullet"/>
    <w:basedOn w:val="Normal"/>
    <w:qFormat/>
    <w:rsid w:val="00F45069"/>
    <w:pPr>
      <w:numPr>
        <w:numId w:val="3"/>
      </w:numPr>
      <w:spacing w:before="120" w:after="120" w:line="240" w:lineRule="auto"/>
    </w:pPr>
    <w:rPr>
      <w:rFonts w:ascii="Arial" w:eastAsia="Times New Roman" w:hAnsi="Arial" w:cs="Times New Roman"/>
      <w:szCs w:val="24"/>
    </w:rPr>
  </w:style>
  <w:style w:type="paragraph" w:customStyle="1" w:styleId="TableCellCenter">
    <w:name w:val="Table Cell Center"/>
    <w:basedOn w:val="Normal"/>
    <w:semiHidden/>
    <w:qFormat/>
    <w:rsid w:val="00F45069"/>
    <w:pPr>
      <w:spacing w:before="40" w:after="40" w:line="240" w:lineRule="auto"/>
      <w:jc w:val="center"/>
    </w:pPr>
    <w:rPr>
      <w:rFonts w:ascii="Arial" w:eastAsia="Times New Roman" w:hAnsi="Arial" w:cs="Arial"/>
      <w:b/>
      <w:szCs w:val="20"/>
    </w:rPr>
  </w:style>
  <w:style w:type="paragraph" w:customStyle="1" w:styleId="Table-Cell-CenterBoldBefore6ptAfter6pt">
    <w:name w:val="Table-Cell-Center + Bold Before:  6 pt After:  6 pt"/>
    <w:basedOn w:val="Table-Cell-Center"/>
    <w:rsid w:val="00F45069"/>
    <w:pPr>
      <w:widowControl/>
      <w:adjustRightInd/>
      <w:spacing w:before="120" w:after="120" w:line="240" w:lineRule="auto"/>
      <w:textAlignment w:val="auto"/>
    </w:pPr>
    <w:rPr>
      <w:b/>
      <w:bCs/>
      <w:color w:val="auto"/>
      <w:sz w:val="22"/>
      <w:szCs w:val="20"/>
    </w:rPr>
  </w:style>
  <w:style w:type="paragraph" w:styleId="Header">
    <w:name w:val="header"/>
    <w:basedOn w:val="Normal"/>
    <w:link w:val="HeaderChar"/>
    <w:unhideWhenUsed/>
    <w:rsid w:val="00424CCA"/>
    <w:pPr>
      <w:tabs>
        <w:tab w:val="center" w:pos="4680"/>
        <w:tab w:val="right" w:pos="9360"/>
      </w:tabs>
      <w:spacing w:after="0" w:line="240" w:lineRule="auto"/>
    </w:pPr>
  </w:style>
  <w:style w:type="character" w:customStyle="1" w:styleId="HeaderChar">
    <w:name w:val="Header Char"/>
    <w:basedOn w:val="DefaultParagraphFont"/>
    <w:link w:val="Header"/>
    <w:rsid w:val="00424CCA"/>
  </w:style>
  <w:style w:type="paragraph" w:styleId="Footer">
    <w:name w:val="footer"/>
    <w:basedOn w:val="Normal"/>
    <w:link w:val="FooterChar"/>
    <w:uiPriority w:val="99"/>
    <w:unhideWhenUsed/>
    <w:rsid w:val="0042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CCA"/>
  </w:style>
  <w:style w:type="character" w:styleId="PageNumber">
    <w:name w:val="page number"/>
    <w:basedOn w:val="DefaultParagraphFont"/>
    <w:semiHidden/>
    <w:rsid w:val="00226934"/>
  </w:style>
  <w:style w:type="paragraph" w:customStyle="1" w:styleId="Table-Head-Left">
    <w:name w:val="Table-Head-Left"/>
    <w:basedOn w:val="Normal"/>
    <w:rsid w:val="00226934"/>
    <w:pPr>
      <w:spacing w:after="0" w:line="240" w:lineRule="auto"/>
    </w:pPr>
    <w:rPr>
      <w:rFonts w:ascii="Arial" w:eastAsia="Times New Roman" w:hAnsi="Arial" w:cs="Times New Roman"/>
      <w:b/>
      <w:szCs w:val="24"/>
    </w:rPr>
  </w:style>
  <w:style w:type="paragraph" w:customStyle="1" w:styleId="Table-Cell-Indent">
    <w:name w:val="Table-Cell-Indent"/>
    <w:basedOn w:val="Normal"/>
    <w:rsid w:val="00226934"/>
    <w:pPr>
      <w:spacing w:before="120" w:after="120" w:line="240" w:lineRule="auto"/>
      <w:ind w:left="360"/>
    </w:pPr>
    <w:rPr>
      <w:rFonts w:ascii="Arial" w:eastAsia="Times New Roman" w:hAnsi="Arial" w:cs="Times New Roman"/>
      <w:szCs w:val="24"/>
    </w:rPr>
  </w:style>
  <w:style w:type="character" w:customStyle="1" w:styleId="Heading6Char">
    <w:name w:val="Heading 6 Char"/>
    <w:basedOn w:val="DefaultParagraphFont"/>
    <w:link w:val="Heading6"/>
    <w:uiPriority w:val="9"/>
    <w:rsid w:val="00226934"/>
    <w:rPr>
      <w:rFonts w:ascii="Arial" w:eastAsia="Times New Roman" w:hAnsi="Arial" w:cs="Times New Roman"/>
      <w:szCs w:val="24"/>
    </w:rPr>
  </w:style>
  <w:style w:type="character" w:customStyle="1" w:styleId="Heading1Char">
    <w:name w:val="Heading 1 Char"/>
    <w:basedOn w:val="DefaultParagraphFont"/>
    <w:link w:val="Heading1"/>
    <w:rsid w:val="00226934"/>
    <w:rPr>
      <w:rFonts w:ascii="Arial" w:eastAsia="Times New Roman" w:hAnsi="Arial" w:cs="Arial"/>
      <w:sz w:val="48"/>
      <w:szCs w:val="24"/>
    </w:rPr>
  </w:style>
  <w:style w:type="paragraph" w:styleId="BodyTextIndent">
    <w:name w:val="Body Text Indent"/>
    <w:basedOn w:val="Normal"/>
    <w:link w:val="BodyTextIndentChar"/>
    <w:semiHidden/>
    <w:rsid w:val="00226934"/>
    <w:pPr>
      <w:spacing w:after="120" w:line="240" w:lineRule="auto"/>
      <w:ind w:left="360"/>
    </w:pPr>
    <w:rPr>
      <w:rFonts w:ascii="Arial" w:eastAsia="Times New Roman" w:hAnsi="Arial" w:cs="Times New Roman"/>
      <w:szCs w:val="24"/>
    </w:rPr>
  </w:style>
  <w:style w:type="character" w:customStyle="1" w:styleId="BodyTextIndentChar">
    <w:name w:val="Body Text Indent Char"/>
    <w:basedOn w:val="DefaultParagraphFont"/>
    <w:link w:val="BodyTextIndent"/>
    <w:semiHidden/>
    <w:rsid w:val="00226934"/>
    <w:rPr>
      <w:rFonts w:ascii="Arial" w:eastAsia="Times New Roman" w:hAnsi="Arial" w:cs="Times New Roman"/>
      <w:szCs w:val="24"/>
    </w:rPr>
  </w:style>
  <w:style w:type="paragraph" w:styleId="Date">
    <w:name w:val="Date"/>
    <w:basedOn w:val="Normal"/>
    <w:next w:val="Normal"/>
    <w:link w:val="DateChar"/>
    <w:semiHidden/>
    <w:rsid w:val="00226934"/>
    <w:pPr>
      <w:spacing w:after="120" w:line="240" w:lineRule="auto"/>
    </w:pPr>
    <w:rPr>
      <w:rFonts w:ascii="Arial" w:eastAsia="Times New Roman" w:hAnsi="Arial" w:cs="Times New Roman"/>
      <w:szCs w:val="24"/>
    </w:rPr>
  </w:style>
  <w:style w:type="character" w:customStyle="1" w:styleId="DateChar">
    <w:name w:val="Date Char"/>
    <w:basedOn w:val="DefaultParagraphFont"/>
    <w:link w:val="Date"/>
    <w:semiHidden/>
    <w:rsid w:val="00226934"/>
    <w:rPr>
      <w:rFonts w:ascii="Arial" w:eastAsia="Times New Roman" w:hAnsi="Arial" w:cs="Times New Roman"/>
      <w:szCs w:val="24"/>
    </w:rPr>
  </w:style>
  <w:style w:type="character" w:styleId="FollowedHyperlink">
    <w:name w:val="FollowedHyperlink"/>
    <w:basedOn w:val="DefaultParagraphFont"/>
    <w:uiPriority w:val="99"/>
    <w:semiHidden/>
    <w:unhideWhenUsed/>
    <w:rsid w:val="000B4804"/>
    <w:rPr>
      <w:color w:val="800080" w:themeColor="followedHyperlink"/>
      <w:u w:val="single"/>
    </w:rPr>
  </w:style>
  <w:style w:type="character" w:customStyle="1" w:styleId="Heading2Char">
    <w:name w:val="Heading 2 Char"/>
    <w:basedOn w:val="DefaultParagraphFont"/>
    <w:link w:val="Heading2"/>
    <w:uiPriority w:val="1"/>
    <w:rsid w:val="00A96FC8"/>
    <w:rPr>
      <w:rFonts w:asciiTheme="majorHAnsi" w:eastAsiaTheme="majorEastAsia" w:hAnsiTheme="majorHAnsi" w:cstheme="majorBidi"/>
      <w:b/>
      <w:bCs/>
      <w:color w:val="4F81BD" w:themeColor="accent1"/>
      <w:sz w:val="26"/>
      <w:szCs w:val="26"/>
    </w:rPr>
  </w:style>
  <w:style w:type="paragraph" w:styleId="TOC2">
    <w:name w:val="toc 2"/>
    <w:basedOn w:val="BodyText"/>
    <w:next w:val="BodyText"/>
    <w:uiPriority w:val="39"/>
    <w:rsid w:val="00A96FC8"/>
    <w:pPr>
      <w:spacing w:after="60"/>
      <w:ind w:left="245"/>
    </w:pPr>
    <w:rPr>
      <w:b/>
      <w:sz w:val="28"/>
    </w:rPr>
  </w:style>
  <w:style w:type="paragraph" w:styleId="TOC3">
    <w:name w:val="toc 3"/>
    <w:basedOn w:val="BodyText"/>
    <w:next w:val="BodyText"/>
    <w:uiPriority w:val="39"/>
    <w:rsid w:val="00A96FC8"/>
    <w:pPr>
      <w:spacing w:after="60"/>
      <w:ind w:left="475"/>
    </w:pPr>
  </w:style>
  <w:style w:type="paragraph" w:styleId="Subtitle">
    <w:name w:val="Subtitle"/>
    <w:basedOn w:val="BodyText"/>
    <w:link w:val="SubtitleChar"/>
    <w:qFormat/>
    <w:rsid w:val="00A96FC8"/>
    <w:pPr>
      <w:keepNext/>
      <w:keepLines/>
      <w:spacing w:after="240"/>
      <w:contextualSpacing/>
      <w:jc w:val="center"/>
      <w:outlineLvl w:val="1"/>
    </w:pPr>
    <w:rPr>
      <w:rFonts w:cs="Arial"/>
      <w:sz w:val="48"/>
    </w:rPr>
  </w:style>
  <w:style w:type="character" w:customStyle="1" w:styleId="SubtitleChar">
    <w:name w:val="Subtitle Char"/>
    <w:basedOn w:val="DefaultParagraphFont"/>
    <w:link w:val="Subtitle"/>
    <w:rsid w:val="00A96FC8"/>
    <w:rPr>
      <w:rFonts w:ascii="Arial" w:eastAsia="Times New Roman" w:hAnsi="Arial" w:cs="Arial"/>
      <w:color w:val="000000"/>
      <w:sz w:val="48"/>
      <w:szCs w:val="24"/>
    </w:rPr>
  </w:style>
  <w:style w:type="paragraph" w:styleId="NoSpacing">
    <w:name w:val="No Spacing"/>
    <w:link w:val="NoSpacingChar"/>
    <w:uiPriority w:val="1"/>
    <w:qFormat/>
    <w:rsid w:val="00A96FC8"/>
    <w:pPr>
      <w:widowControl w:val="0"/>
      <w:adjustRightInd w:val="0"/>
      <w:spacing w:after="0" w:line="240" w:lineRule="auto"/>
      <w:jc w:val="both"/>
      <w:textAlignment w:val="baseline"/>
    </w:pPr>
    <w:rPr>
      <w:rFonts w:ascii="Arial" w:eastAsia="Times New Roman" w:hAnsi="Arial"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E2305"/>
    <w:pPr>
      <w:widowControl/>
      <w:adjustRightInd/>
      <w:spacing w:after="200" w:line="240" w:lineRule="auto"/>
      <w:jc w:val="left"/>
      <w:textAlignment w:val="auto"/>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E2305"/>
    <w:rPr>
      <w:rFonts w:ascii="Arial" w:eastAsia="Times New Roman" w:hAnsi="Arial" w:cs="Times New Roman"/>
      <w:b/>
      <w:bCs/>
      <w:color w:val="000000"/>
      <w:sz w:val="20"/>
      <w:szCs w:val="20"/>
    </w:rPr>
  </w:style>
  <w:style w:type="character" w:customStyle="1" w:styleId="Heading5Char">
    <w:name w:val="Heading 5 Char"/>
    <w:basedOn w:val="DefaultParagraphFont"/>
    <w:link w:val="Heading5"/>
    <w:uiPriority w:val="9"/>
    <w:rsid w:val="00E53B2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BB0148"/>
    <w:pPr>
      <w:widowControl w:val="0"/>
      <w:adjustRightInd w:val="0"/>
      <w:spacing w:after="0" w:line="360" w:lineRule="atLeast"/>
      <w:ind w:left="720"/>
      <w:jc w:val="both"/>
      <w:textAlignment w:val="baseline"/>
    </w:pPr>
    <w:rPr>
      <w:rFonts w:ascii="Arial" w:eastAsia="Times New Roman" w:hAnsi="Arial" w:cs="Times New Roman"/>
      <w:color w:val="000000"/>
      <w:sz w:val="24"/>
      <w:szCs w:val="24"/>
    </w:rPr>
  </w:style>
  <w:style w:type="paragraph" w:customStyle="1" w:styleId="StyleLeft055">
    <w:name w:val="Style Left:  0.55&quot;"/>
    <w:basedOn w:val="Normal"/>
    <w:rsid w:val="009118E5"/>
    <w:pPr>
      <w:spacing w:after="0" w:line="240" w:lineRule="auto"/>
      <w:ind w:left="792"/>
    </w:pPr>
    <w:rPr>
      <w:rFonts w:ascii="Arial" w:eastAsia="Times New Roman" w:hAnsi="Arial" w:cs="Times New Roman"/>
      <w:szCs w:val="20"/>
    </w:rPr>
  </w:style>
  <w:style w:type="paragraph" w:customStyle="1" w:styleId="StyleLeft09">
    <w:name w:val="Style Left:  0.9&quot;"/>
    <w:basedOn w:val="Normal"/>
    <w:rsid w:val="009118E5"/>
    <w:pPr>
      <w:spacing w:after="0" w:line="240" w:lineRule="auto"/>
      <w:ind w:left="1296"/>
    </w:pPr>
    <w:rPr>
      <w:rFonts w:ascii="Arial" w:eastAsia="Times New Roman" w:hAnsi="Arial" w:cs="Times New Roman"/>
      <w:szCs w:val="20"/>
    </w:rPr>
  </w:style>
  <w:style w:type="paragraph" w:customStyle="1" w:styleId="StyleLeft07">
    <w:name w:val="Style Left:  0.7&quot;"/>
    <w:basedOn w:val="Normal"/>
    <w:rsid w:val="009118E5"/>
    <w:pPr>
      <w:spacing w:after="0" w:line="240" w:lineRule="auto"/>
      <w:ind w:left="1008"/>
    </w:pPr>
    <w:rPr>
      <w:rFonts w:ascii="Arial" w:eastAsia="Times New Roman" w:hAnsi="Arial" w:cs="Times New Roman"/>
      <w:szCs w:val="20"/>
    </w:rPr>
  </w:style>
  <w:style w:type="paragraph" w:customStyle="1" w:styleId="StyleLeft115">
    <w:name w:val="Style Left:  1.15&quot;"/>
    <w:basedOn w:val="Normal"/>
    <w:rsid w:val="009118E5"/>
    <w:pPr>
      <w:spacing w:after="0" w:line="240" w:lineRule="auto"/>
      <w:ind w:left="1656"/>
    </w:pPr>
    <w:rPr>
      <w:rFonts w:ascii="Arial" w:eastAsia="Times New Roman" w:hAnsi="Arial" w:cs="Times New Roman"/>
      <w:szCs w:val="20"/>
    </w:rPr>
  </w:style>
  <w:style w:type="paragraph" w:styleId="Quote">
    <w:name w:val="Quote"/>
    <w:basedOn w:val="Normal"/>
    <w:next w:val="Normal"/>
    <w:link w:val="QuoteChar"/>
    <w:unhideWhenUsed/>
    <w:rsid w:val="004473BF"/>
    <w:pPr>
      <w:tabs>
        <w:tab w:val="num" w:pos="2088"/>
      </w:tabs>
      <w:suppressAutoHyphens/>
      <w:spacing w:after="240" w:line="260" w:lineRule="atLeast"/>
      <w:ind w:left="2088" w:hanging="432"/>
    </w:pPr>
    <w:rPr>
      <w:rFonts w:ascii="Arial" w:eastAsia="Times New Roman" w:hAnsi="Arial" w:cs="Times New Roman"/>
      <w:sz w:val="18"/>
      <w:szCs w:val="24"/>
    </w:rPr>
  </w:style>
  <w:style w:type="character" w:customStyle="1" w:styleId="QuoteChar">
    <w:name w:val="Quote Char"/>
    <w:basedOn w:val="DefaultParagraphFont"/>
    <w:link w:val="Quote"/>
    <w:rsid w:val="004473BF"/>
    <w:rPr>
      <w:rFonts w:ascii="Arial" w:eastAsia="Times New Roman" w:hAnsi="Arial" w:cs="Times New Roman"/>
      <w:sz w:val="18"/>
      <w:szCs w:val="24"/>
    </w:rPr>
  </w:style>
  <w:style w:type="paragraph" w:customStyle="1" w:styleId="FAMtest">
    <w:name w:val="FAMtest"/>
    <w:basedOn w:val="Normal"/>
    <w:qFormat/>
    <w:rsid w:val="00E2427E"/>
    <w:pPr>
      <w:tabs>
        <w:tab w:val="left" w:pos="1800"/>
      </w:tabs>
      <w:spacing w:before="120" w:after="120" w:line="240" w:lineRule="auto"/>
      <w:ind w:left="1800" w:hanging="1440"/>
    </w:pPr>
    <w:rPr>
      <w:rFonts w:ascii="Arial" w:eastAsia="Times New Roman" w:hAnsi="Arial" w:cs="Times New Roman"/>
      <w:szCs w:val="24"/>
    </w:rPr>
  </w:style>
  <w:style w:type="paragraph" w:styleId="BodyText2">
    <w:name w:val="Body Text 2"/>
    <w:basedOn w:val="Normal"/>
    <w:link w:val="BodyText2Char"/>
    <w:semiHidden/>
    <w:unhideWhenUsed/>
    <w:rsid w:val="00CF08BC"/>
    <w:pPr>
      <w:spacing w:after="120" w:line="480" w:lineRule="auto"/>
    </w:pPr>
  </w:style>
  <w:style w:type="character" w:customStyle="1" w:styleId="BodyText2Char">
    <w:name w:val="Body Text 2 Char"/>
    <w:basedOn w:val="DefaultParagraphFont"/>
    <w:link w:val="BodyText2"/>
    <w:uiPriority w:val="99"/>
    <w:semiHidden/>
    <w:rsid w:val="00CF08BC"/>
  </w:style>
  <w:style w:type="paragraph" w:styleId="BodyTextIndent2">
    <w:name w:val="Body Text Indent 2"/>
    <w:basedOn w:val="BodyText"/>
    <w:link w:val="BodyTextIndent2Char"/>
    <w:semiHidden/>
    <w:rsid w:val="009C2B08"/>
    <w:pPr>
      <w:ind w:left="720"/>
    </w:pPr>
  </w:style>
  <w:style w:type="character" w:customStyle="1" w:styleId="BodyTextIndent2Char">
    <w:name w:val="Body Text Indent 2 Char"/>
    <w:basedOn w:val="DefaultParagraphFont"/>
    <w:link w:val="BodyTextIndent2"/>
    <w:semiHidden/>
    <w:rsid w:val="009C2B08"/>
    <w:rPr>
      <w:rFonts w:ascii="Arial" w:eastAsia="Times New Roman" w:hAnsi="Arial" w:cs="Times New Roman"/>
      <w:color w:val="000000"/>
      <w:sz w:val="24"/>
      <w:szCs w:val="24"/>
    </w:rPr>
  </w:style>
  <w:style w:type="paragraph" w:customStyle="1" w:styleId="FAM-out-1">
    <w:name w:val="FAM-out-1"/>
    <w:rsid w:val="009C2B08"/>
    <w:pPr>
      <w:widowControl w:val="0"/>
      <w:numPr>
        <w:numId w:val="43"/>
      </w:numPr>
      <w:adjustRightInd w:val="0"/>
      <w:spacing w:after="120" w:line="360" w:lineRule="atLeast"/>
      <w:jc w:val="both"/>
      <w:textAlignment w:val="baseline"/>
    </w:pPr>
    <w:rPr>
      <w:rFonts w:ascii="Arial" w:eastAsia="Times New Roman" w:hAnsi="Arial" w:cs="Times New Roman"/>
      <w:color w:val="000000"/>
      <w:sz w:val="24"/>
      <w:szCs w:val="24"/>
    </w:rPr>
  </w:style>
  <w:style w:type="paragraph" w:customStyle="1" w:styleId="FAM-out-2">
    <w:name w:val="FAM-out-2"/>
    <w:rsid w:val="009C2B08"/>
    <w:pPr>
      <w:widowControl w:val="0"/>
      <w:numPr>
        <w:ilvl w:val="1"/>
        <w:numId w:val="43"/>
      </w:numPr>
      <w:adjustRightInd w:val="0"/>
      <w:spacing w:after="120" w:line="360" w:lineRule="atLeast"/>
      <w:jc w:val="both"/>
      <w:textAlignment w:val="baseline"/>
    </w:pPr>
    <w:rPr>
      <w:rFonts w:ascii="Arial" w:eastAsia="Times New Roman" w:hAnsi="Arial" w:cs="Times New Roman"/>
      <w:color w:val="000000"/>
      <w:sz w:val="24"/>
      <w:szCs w:val="24"/>
    </w:rPr>
  </w:style>
  <w:style w:type="paragraph" w:customStyle="1" w:styleId="FAM-out-3">
    <w:name w:val="FAM-out-3"/>
    <w:rsid w:val="009C2B08"/>
    <w:pPr>
      <w:widowControl w:val="0"/>
      <w:numPr>
        <w:ilvl w:val="2"/>
        <w:numId w:val="43"/>
      </w:numPr>
      <w:adjustRightInd w:val="0"/>
      <w:spacing w:after="120" w:line="360" w:lineRule="atLeast"/>
      <w:jc w:val="both"/>
      <w:textAlignment w:val="baseline"/>
    </w:pPr>
    <w:rPr>
      <w:rFonts w:ascii="Arial" w:eastAsia="Times New Roman" w:hAnsi="Arial" w:cs="Times New Roman"/>
      <w:color w:val="000000"/>
      <w:sz w:val="24"/>
      <w:szCs w:val="24"/>
    </w:rPr>
  </w:style>
  <w:style w:type="paragraph" w:customStyle="1" w:styleId="FAM-out-4">
    <w:name w:val="FAM-out-4"/>
    <w:semiHidden/>
    <w:rsid w:val="009C2B08"/>
    <w:pPr>
      <w:widowControl w:val="0"/>
      <w:numPr>
        <w:ilvl w:val="3"/>
        <w:numId w:val="43"/>
      </w:numPr>
      <w:adjustRightInd w:val="0"/>
      <w:spacing w:after="120" w:line="360" w:lineRule="atLeast"/>
      <w:jc w:val="both"/>
      <w:textAlignment w:val="baseline"/>
    </w:pPr>
    <w:rPr>
      <w:rFonts w:ascii="Arial" w:eastAsia="Times New Roman" w:hAnsi="Arial" w:cs="Times New Roman"/>
      <w:color w:val="000000"/>
      <w:sz w:val="24"/>
      <w:szCs w:val="24"/>
    </w:rPr>
  </w:style>
  <w:style w:type="paragraph" w:customStyle="1" w:styleId="FAM-alpha-4">
    <w:name w:val="FAM-alpha-4"/>
    <w:semiHidden/>
    <w:rsid w:val="00427DD5"/>
    <w:pPr>
      <w:widowControl w:val="0"/>
      <w:numPr>
        <w:numId w:val="44"/>
      </w:numPr>
      <w:adjustRightInd w:val="0"/>
      <w:spacing w:after="120" w:line="360" w:lineRule="atLeast"/>
      <w:jc w:val="both"/>
      <w:textAlignment w:val="baseline"/>
    </w:pPr>
    <w:rPr>
      <w:rFonts w:ascii="Arial" w:eastAsia="Times New Roman" w:hAnsi="Arial" w:cs="Times New Roman"/>
      <w:color w:val="000000"/>
      <w:sz w:val="24"/>
      <w:szCs w:val="24"/>
    </w:rPr>
  </w:style>
  <w:style w:type="paragraph" w:styleId="Revision">
    <w:name w:val="Revision"/>
    <w:hidden/>
    <w:uiPriority w:val="99"/>
    <w:semiHidden/>
    <w:rsid w:val="0059377D"/>
    <w:pPr>
      <w:spacing w:after="0" w:line="240" w:lineRule="auto"/>
    </w:pPr>
  </w:style>
  <w:style w:type="paragraph" w:customStyle="1" w:styleId="FAM-Num-5">
    <w:name w:val="FAM-Num-5"/>
    <w:semiHidden/>
    <w:rsid w:val="00DC2D41"/>
    <w:pPr>
      <w:widowControl w:val="0"/>
      <w:numPr>
        <w:numId w:val="46"/>
      </w:numPr>
      <w:adjustRightInd w:val="0"/>
      <w:spacing w:after="120" w:line="360" w:lineRule="atLeast"/>
      <w:jc w:val="both"/>
      <w:textAlignment w:val="baseline"/>
    </w:pPr>
    <w:rPr>
      <w:rFonts w:ascii="Arial" w:eastAsia="Times New Roman" w:hAnsi="Arial" w:cs="Times New Roman"/>
      <w:color w:val="000000"/>
      <w:sz w:val="24"/>
      <w:szCs w:val="24"/>
    </w:rPr>
  </w:style>
  <w:style w:type="paragraph" w:customStyle="1" w:styleId="FAM-Table-Bullet">
    <w:name w:val="FAM-Table-Bullet"/>
    <w:rsid w:val="005738FB"/>
    <w:pPr>
      <w:widowControl w:val="0"/>
      <w:numPr>
        <w:numId w:val="47"/>
      </w:numPr>
      <w:adjustRightInd w:val="0"/>
      <w:spacing w:after="0" w:line="360" w:lineRule="atLeast"/>
      <w:jc w:val="both"/>
      <w:textAlignment w:val="baseline"/>
    </w:pPr>
    <w:rPr>
      <w:rFonts w:ascii="Arial" w:eastAsia="Times New Roman" w:hAnsi="Arial" w:cs="Times New Roman"/>
      <w:color w:val="000000"/>
      <w:sz w:val="24"/>
      <w:szCs w:val="24"/>
    </w:rPr>
  </w:style>
  <w:style w:type="paragraph" w:customStyle="1" w:styleId="FAM-Table-alpha-list">
    <w:name w:val="FAM-Table-alpha-list"/>
    <w:rsid w:val="00263271"/>
    <w:pPr>
      <w:widowControl w:val="0"/>
      <w:numPr>
        <w:numId w:val="48"/>
      </w:numPr>
      <w:adjustRightInd w:val="0"/>
      <w:spacing w:after="0" w:line="360" w:lineRule="atLeast"/>
      <w:jc w:val="both"/>
      <w:textAlignment w:val="baseline"/>
    </w:pPr>
    <w:rPr>
      <w:rFonts w:ascii="Arial" w:eastAsia="Times New Roman" w:hAnsi="Arial" w:cs="Times New Roman"/>
      <w:color w:val="000000"/>
      <w:sz w:val="24"/>
      <w:szCs w:val="24"/>
    </w:rPr>
  </w:style>
  <w:style w:type="paragraph" w:customStyle="1" w:styleId="FAM-Subsection">
    <w:name w:val="FAM-Subsection"/>
    <w:rsid w:val="000D539C"/>
    <w:pPr>
      <w:widowControl w:val="0"/>
      <w:numPr>
        <w:numId w:val="50"/>
      </w:numPr>
      <w:adjustRightInd w:val="0"/>
      <w:spacing w:after="120" w:line="360" w:lineRule="atLeast"/>
      <w:jc w:val="both"/>
      <w:textAlignment w:val="baseline"/>
      <w:outlineLvl w:val="2"/>
    </w:pPr>
    <w:rPr>
      <w:rFonts w:ascii="Arial" w:eastAsia="Times New Roman" w:hAnsi="Arial" w:cs="Times New Roman"/>
      <w:color w:val="000000"/>
      <w:sz w:val="24"/>
      <w:szCs w:val="24"/>
    </w:rPr>
  </w:style>
  <w:style w:type="paragraph" w:customStyle="1" w:styleId="FAM-Bullet-1">
    <w:name w:val="FAM-Bullet-1"/>
    <w:rsid w:val="00477D34"/>
    <w:pPr>
      <w:widowControl w:val="0"/>
      <w:numPr>
        <w:numId w:val="55"/>
      </w:numPr>
      <w:adjustRightInd w:val="0"/>
      <w:spacing w:after="120" w:line="360" w:lineRule="atLeast"/>
      <w:contextualSpacing/>
      <w:jc w:val="both"/>
      <w:textAlignment w:val="baseline"/>
    </w:pPr>
    <w:rPr>
      <w:rFonts w:ascii="Arial" w:eastAsia="Times New Roman" w:hAnsi="Arial" w:cs="Times New Roman"/>
      <w:color w:val="000000"/>
      <w:sz w:val="24"/>
      <w:szCs w:val="24"/>
    </w:rPr>
  </w:style>
  <w:style w:type="table" w:styleId="TableContemporary">
    <w:name w:val="Table Contemporary"/>
    <w:basedOn w:val="TableNormal"/>
    <w:semiHidden/>
    <w:rsid w:val="001240A5"/>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FAM-Bullet-2">
    <w:name w:val="FAM-Bullet-2"/>
    <w:rsid w:val="0003424A"/>
    <w:pPr>
      <w:widowControl w:val="0"/>
      <w:numPr>
        <w:numId w:val="56"/>
      </w:numPr>
      <w:adjustRightInd w:val="0"/>
      <w:spacing w:after="120" w:line="360" w:lineRule="atLeast"/>
      <w:contextualSpacing/>
      <w:jc w:val="both"/>
      <w:textAlignment w:val="baseline"/>
    </w:pPr>
    <w:rPr>
      <w:rFonts w:ascii="Arial" w:eastAsia="Times New Roman" w:hAnsi="Arial" w:cs="Times New Roman"/>
      <w:color w:val="000000"/>
      <w:sz w:val="24"/>
      <w:szCs w:val="24"/>
    </w:rPr>
  </w:style>
  <w:style w:type="paragraph" w:styleId="TOC9">
    <w:name w:val="toc 9"/>
    <w:basedOn w:val="BodyText"/>
    <w:next w:val="BodyText"/>
    <w:semiHidden/>
    <w:rsid w:val="008750D7"/>
    <w:pPr>
      <w:spacing w:after="60"/>
      <w:ind w:left="1915"/>
    </w:pPr>
    <w:rPr>
      <w:sz w:val="20"/>
    </w:rPr>
  </w:style>
  <w:style w:type="paragraph" w:customStyle="1" w:styleId="FAM-Bullet-4">
    <w:name w:val="FAM-Bullet-4"/>
    <w:semiHidden/>
    <w:rsid w:val="00A07FE6"/>
    <w:pPr>
      <w:widowControl w:val="0"/>
      <w:numPr>
        <w:numId w:val="57"/>
      </w:numPr>
      <w:adjustRightInd w:val="0"/>
      <w:spacing w:after="120" w:line="360" w:lineRule="atLeast"/>
      <w:contextualSpacing/>
      <w:jc w:val="both"/>
      <w:textAlignment w:val="baseline"/>
    </w:pPr>
    <w:rPr>
      <w:rFonts w:ascii="Arial" w:eastAsia="Times New Roman" w:hAnsi="Arial" w:cs="Times New Roman"/>
      <w:color w:val="000000"/>
      <w:sz w:val="24"/>
      <w:szCs w:val="24"/>
    </w:rPr>
  </w:style>
  <w:style w:type="paragraph" w:styleId="ListBullet4">
    <w:name w:val="List Bullet 4"/>
    <w:basedOn w:val="BodyText"/>
    <w:semiHidden/>
    <w:rsid w:val="001A028C"/>
    <w:pPr>
      <w:numPr>
        <w:numId w:val="58"/>
      </w:numPr>
      <w:tabs>
        <w:tab w:val="clear" w:pos="1830"/>
        <w:tab w:val="num" w:pos="1440"/>
      </w:tabs>
      <w:ind w:left="1440"/>
      <w:contextualSpacing/>
    </w:pPr>
  </w:style>
  <w:style w:type="paragraph" w:customStyle="1" w:styleId="BodyText-Cont-FAM">
    <w:name w:val="Body Text-Cont-FAM"/>
    <w:rsid w:val="00C14795"/>
    <w:pPr>
      <w:widowControl w:val="0"/>
      <w:adjustRightInd w:val="0"/>
      <w:spacing w:after="120" w:line="360" w:lineRule="atLeast"/>
      <w:ind w:left="1440"/>
      <w:jc w:val="both"/>
      <w:textAlignment w:val="baseline"/>
    </w:pPr>
    <w:rPr>
      <w:rFonts w:ascii="Arial" w:eastAsia="Times New Roman" w:hAnsi="Arial" w:cs="Times New Roman"/>
      <w:color w:val="000000"/>
      <w:sz w:val="24"/>
      <w:szCs w:val="24"/>
    </w:rPr>
  </w:style>
  <w:style w:type="paragraph" w:styleId="TOC1">
    <w:name w:val="toc 1"/>
    <w:basedOn w:val="Normal"/>
    <w:next w:val="Normal"/>
    <w:autoRedefine/>
    <w:uiPriority w:val="39"/>
    <w:unhideWhenUsed/>
    <w:rsid w:val="00AD07D9"/>
    <w:pPr>
      <w:spacing w:after="100"/>
    </w:pPr>
  </w:style>
  <w:style w:type="paragraph" w:customStyle="1" w:styleId="note-body-2em">
    <w:name w:val="note-body-2em"/>
    <w:basedOn w:val="Normal"/>
    <w:rsid w:val="00391F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410C"/>
    <w:rPr>
      <w:b/>
      <w:bCs/>
    </w:rPr>
  </w:style>
  <w:style w:type="character" w:customStyle="1" w:styleId="NoSpacingChar">
    <w:name w:val="No Spacing Char"/>
    <w:basedOn w:val="DefaultParagraphFont"/>
    <w:link w:val="NoSpacing"/>
    <w:uiPriority w:val="1"/>
    <w:rsid w:val="006E5D1E"/>
    <w:rPr>
      <w:rFonts w:ascii="Arial" w:eastAsia="Times New Roman" w:hAnsi="Arial" w:cs="Times New Roman"/>
      <w:color w:val="000000"/>
      <w:sz w:val="24"/>
      <w:szCs w:val="24"/>
    </w:rPr>
  </w:style>
  <w:style w:type="table" w:styleId="TableGridLight">
    <w:name w:val="Grid Table Light"/>
    <w:basedOn w:val="TableNormal"/>
    <w:uiPriority w:val="40"/>
    <w:rsid w:val="004B37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9A77CB"/>
    <w:pPr>
      <w:widowControl w:val="0"/>
      <w:spacing w:after="0" w:line="240" w:lineRule="auto"/>
    </w:pPr>
  </w:style>
  <w:style w:type="paragraph" w:styleId="Caption">
    <w:name w:val="caption"/>
    <w:basedOn w:val="Normal"/>
    <w:next w:val="Normal"/>
    <w:uiPriority w:val="35"/>
    <w:unhideWhenUsed/>
    <w:qFormat/>
    <w:rsid w:val="00E322C8"/>
    <w:pPr>
      <w:spacing w:line="240" w:lineRule="auto"/>
    </w:pPr>
    <w:rPr>
      <w:i/>
      <w:iCs/>
      <w:color w:val="1F497D" w:themeColor="text2"/>
      <w:sz w:val="18"/>
      <w:szCs w:val="18"/>
    </w:rPr>
  </w:style>
  <w:style w:type="paragraph" w:styleId="NormalWeb">
    <w:name w:val="Normal (Web)"/>
    <w:basedOn w:val="Normal"/>
    <w:uiPriority w:val="99"/>
    <w:semiHidden/>
    <w:unhideWhenUsed/>
    <w:rsid w:val="00295A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64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07406">
      <w:bodyDiv w:val="1"/>
      <w:marLeft w:val="0"/>
      <w:marRight w:val="0"/>
      <w:marTop w:val="0"/>
      <w:marBottom w:val="0"/>
      <w:divBdr>
        <w:top w:val="none" w:sz="0" w:space="0" w:color="auto"/>
        <w:left w:val="none" w:sz="0" w:space="0" w:color="auto"/>
        <w:bottom w:val="none" w:sz="0" w:space="0" w:color="auto"/>
        <w:right w:val="none" w:sz="0" w:space="0" w:color="auto"/>
      </w:divBdr>
    </w:div>
    <w:div w:id="275791469">
      <w:bodyDiv w:val="1"/>
      <w:marLeft w:val="0"/>
      <w:marRight w:val="0"/>
      <w:marTop w:val="0"/>
      <w:marBottom w:val="0"/>
      <w:divBdr>
        <w:top w:val="none" w:sz="0" w:space="0" w:color="auto"/>
        <w:left w:val="none" w:sz="0" w:space="0" w:color="auto"/>
        <w:bottom w:val="none" w:sz="0" w:space="0" w:color="auto"/>
        <w:right w:val="none" w:sz="0" w:space="0" w:color="auto"/>
      </w:divBdr>
    </w:div>
    <w:div w:id="574366540">
      <w:bodyDiv w:val="1"/>
      <w:marLeft w:val="0"/>
      <w:marRight w:val="0"/>
      <w:marTop w:val="0"/>
      <w:marBottom w:val="0"/>
      <w:divBdr>
        <w:top w:val="none" w:sz="0" w:space="0" w:color="auto"/>
        <w:left w:val="none" w:sz="0" w:space="0" w:color="auto"/>
        <w:bottom w:val="none" w:sz="0" w:space="0" w:color="auto"/>
        <w:right w:val="none" w:sz="0" w:space="0" w:color="auto"/>
      </w:divBdr>
    </w:div>
    <w:div w:id="662666469">
      <w:bodyDiv w:val="1"/>
      <w:marLeft w:val="0"/>
      <w:marRight w:val="0"/>
      <w:marTop w:val="0"/>
      <w:marBottom w:val="0"/>
      <w:divBdr>
        <w:top w:val="none" w:sz="0" w:space="0" w:color="auto"/>
        <w:left w:val="none" w:sz="0" w:space="0" w:color="auto"/>
        <w:bottom w:val="none" w:sz="0" w:space="0" w:color="auto"/>
        <w:right w:val="none" w:sz="0" w:space="0" w:color="auto"/>
      </w:divBdr>
    </w:div>
    <w:div w:id="713120741">
      <w:bodyDiv w:val="1"/>
      <w:marLeft w:val="0"/>
      <w:marRight w:val="0"/>
      <w:marTop w:val="0"/>
      <w:marBottom w:val="0"/>
      <w:divBdr>
        <w:top w:val="none" w:sz="0" w:space="0" w:color="auto"/>
        <w:left w:val="none" w:sz="0" w:space="0" w:color="auto"/>
        <w:bottom w:val="none" w:sz="0" w:space="0" w:color="auto"/>
        <w:right w:val="none" w:sz="0" w:space="0" w:color="auto"/>
      </w:divBdr>
    </w:div>
    <w:div w:id="730152026">
      <w:bodyDiv w:val="1"/>
      <w:marLeft w:val="0"/>
      <w:marRight w:val="0"/>
      <w:marTop w:val="0"/>
      <w:marBottom w:val="0"/>
      <w:divBdr>
        <w:top w:val="none" w:sz="0" w:space="0" w:color="auto"/>
        <w:left w:val="none" w:sz="0" w:space="0" w:color="auto"/>
        <w:bottom w:val="none" w:sz="0" w:space="0" w:color="auto"/>
        <w:right w:val="none" w:sz="0" w:space="0" w:color="auto"/>
      </w:divBdr>
    </w:div>
    <w:div w:id="774591653">
      <w:bodyDiv w:val="1"/>
      <w:marLeft w:val="0"/>
      <w:marRight w:val="0"/>
      <w:marTop w:val="0"/>
      <w:marBottom w:val="0"/>
      <w:divBdr>
        <w:top w:val="none" w:sz="0" w:space="0" w:color="auto"/>
        <w:left w:val="none" w:sz="0" w:space="0" w:color="auto"/>
        <w:bottom w:val="none" w:sz="0" w:space="0" w:color="auto"/>
        <w:right w:val="none" w:sz="0" w:space="0" w:color="auto"/>
      </w:divBdr>
    </w:div>
    <w:div w:id="1595360847">
      <w:bodyDiv w:val="1"/>
      <w:marLeft w:val="0"/>
      <w:marRight w:val="0"/>
      <w:marTop w:val="0"/>
      <w:marBottom w:val="0"/>
      <w:divBdr>
        <w:top w:val="none" w:sz="0" w:space="0" w:color="auto"/>
        <w:left w:val="none" w:sz="0" w:space="0" w:color="auto"/>
        <w:bottom w:val="none" w:sz="0" w:space="0" w:color="auto"/>
        <w:right w:val="none" w:sz="0" w:space="0" w:color="auto"/>
      </w:divBdr>
    </w:div>
    <w:div w:id="1682657591">
      <w:bodyDiv w:val="1"/>
      <w:marLeft w:val="0"/>
      <w:marRight w:val="0"/>
      <w:marTop w:val="0"/>
      <w:marBottom w:val="0"/>
      <w:divBdr>
        <w:top w:val="none" w:sz="0" w:space="0" w:color="auto"/>
        <w:left w:val="none" w:sz="0" w:space="0" w:color="auto"/>
        <w:bottom w:val="none" w:sz="0" w:space="0" w:color="auto"/>
        <w:right w:val="none" w:sz="0" w:space="0" w:color="auto"/>
      </w:divBdr>
    </w:div>
    <w:div w:id="18955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hitehouse.gov/wp-content/uploads/2024/07/OMB-Bulletin-No.-24-02.pdf" TargetMode="External"/><Relationship Id="rId18" Type="http://schemas.openxmlformats.org/officeDocument/2006/relationships/hyperlink" Target="https://community-dc.max.gov/x/8f43kg" TargetMode="External"/><Relationship Id="rId3" Type="http://schemas.openxmlformats.org/officeDocument/2006/relationships/styles" Target="styles.xml"/><Relationship Id="rId21" Type="http://schemas.openxmlformats.org/officeDocument/2006/relationships/hyperlink" Target="https://www.paymentaccuracy.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aymentIntegrity@omb.eop.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aymentaccuracy.gov/" TargetMode="External"/><Relationship Id="rId20" Type="http://schemas.openxmlformats.org/officeDocument/2006/relationships/hyperlink" Target="https://www.paymentaccurac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aymentaccuracy.gov/" TargetMode="External"/><Relationship Id="rId23" Type="http://schemas.openxmlformats.org/officeDocument/2006/relationships/hyperlink" Target="https://www.paymentaccuracy.gov/" TargetMode="External"/><Relationship Id="rId10" Type="http://schemas.openxmlformats.org/officeDocument/2006/relationships/header" Target="header2.xml"/><Relationship Id="rId19" Type="http://schemas.openxmlformats.org/officeDocument/2006/relationships/hyperlink" Target="https://www.paymentaccuracy.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ao.gov/products/gao-24-106986" TargetMode="External"/><Relationship Id="rId22" Type="http://schemas.openxmlformats.org/officeDocument/2006/relationships/hyperlink" Target="https://www.paymentaccurac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EAC06-A44B-46FC-B39E-E79BCD0CC096}">
  <ds:schemaRefs>
    <ds:schemaRef ds:uri="http://schemas.openxmlformats.org/officeDocument/2006/bibliography"/>
  </ds:schemaRefs>
</ds:datastoreItem>
</file>

<file path=docMetadata/LabelInfo.xml><?xml version="1.0" encoding="utf-8"?>
<clbl:labelList xmlns:clbl="http://schemas.microsoft.com/office/2020/mipLabelMetadata">
  <clbl:label id="{02196101-be9e-4fa4-917b-76125218361f}" enabled="0" method="" siteId="{02196101-be9e-4fa4-917b-76125218361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347</Pages>
  <Words>69848</Words>
  <Characters>398139</Characters>
  <Application>Microsoft Office Word</Application>
  <DocSecurity>0</DocSecurity>
  <Lines>3317</Lines>
  <Paragraphs>934</Paragraphs>
  <ScaleCrop>false</ScaleCrop>
  <Company/>
  <LinksUpToDate>false</LinksUpToDate>
  <CharactersWithSpaces>467053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2025-08-13T20:12:00Z</dcterms:created>
  <dcterms:modified xsi:type="dcterms:W3CDTF">2025-08-13T20:12:00Z</dcterms:modified>
  <cp:contentStatus/>
</cp:coreProperties>
</file>